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E871B">
      <w:pPr>
        <w:jc w:val="center"/>
        <w:outlineLvl w:val="0"/>
        <w:rPr>
          <w:rFonts w:hint="eastAsia" w:ascii="黑体" w:hAnsi="黑体" w:eastAsia="黑体" w:cs="黑体"/>
          <w:b/>
          <w:bCs/>
          <w:color w:val="000000"/>
          <w:spacing w:val="80"/>
          <w:sz w:val="72"/>
          <w:szCs w:val="72"/>
        </w:rPr>
      </w:pPr>
    </w:p>
    <w:p w14:paraId="467BC16B">
      <w:pPr>
        <w:jc w:val="center"/>
        <w:outlineLvl w:val="0"/>
        <w:rPr>
          <w:rFonts w:hint="eastAsia" w:ascii="黑体" w:hAnsi="黑体" w:eastAsia="黑体" w:cs="黑体"/>
          <w:b/>
          <w:bCs/>
          <w:color w:val="000000"/>
          <w:spacing w:val="80"/>
          <w:sz w:val="72"/>
          <w:szCs w:val="72"/>
        </w:rPr>
      </w:pPr>
      <w:r>
        <w:rPr>
          <w:rFonts w:hint="eastAsia" w:ascii="黑体" w:hAnsi="黑体" w:eastAsia="黑体" w:cs="黑体"/>
          <w:b/>
          <w:bCs/>
          <w:color w:val="000000"/>
          <w:spacing w:val="80"/>
          <w:sz w:val="72"/>
          <w:szCs w:val="72"/>
        </w:rPr>
        <w:t>竞争性比选文件</w:t>
      </w:r>
    </w:p>
    <w:p w14:paraId="6306D5F2">
      <w:pPr>
        <w:spacing w:line="360" w:lineRule="auto"/>
        <w:ind w:left="0" w:leftChars="0" w:firstLine="0" w:firstLineChars="0"/>
        <w:jc w:val="center"/>
        <w:outlineLvl w:val="0"/>
        <w:rPr>
          <w:rFonts w:hint="eastAsia" w:ascii="宋体" w:hAnsi="宋体" w:eastAsia="宋体" w:cs="宋体"/>
          <w:b/>
          <w:bCs/>
          <w:color w:val="auto"/>
          <w:sz w:val="36"/>
          <w:szCs w:val="30"/>
          <w:highlight w:val="none"/>
        </w:rPr>
      </w:pPr>
    </w:p>
    <w:p w14:paraId="2C1CE7A6">
      <w:pPr>
        <w:pStyle w:val="5"/>
        <w:rPr>
          <w:rFonts w:hint="eastAsia" w:ascii="宋体" w:hAnsi="宋体" w:eastAsia="宋体" w:cs="宋体"/>
          <w:b/>
          <w:bCs/>
          <w:color w:val="auto"/>
          <w:sz w:val="36"/>
          <w:szCs w:val="30"/>
          <w:highlight w:val="none"/>
        </w:rPr>
      </w:pPr>
    </w:p>
    <w:p w14:paraId="2FE9F26F">
      <w:pPr>
        <w:rPr>
          <w:rFonts w:hint="eastAsia" w:ascii="宋体" w:hAnsi="宋体" w:eastAsia="宋体" w:cs="宋体"/>
          <w:b/>
          <w:bCs/>
          <w:color w:val="auto"/>
          <w:sz w:val="36"/>
          <w:szCs w:val="30"/>
          <w:highlight w:val="none"/>
        </w:rPr>
      </w:pPr>
    </w:p>
    <w:p w14:paraId="1AA18DB2">
      <w:pPr>
        <w:rPr>
          <w:rFonts w:hint="eastAsia" w:ascii="宋体" w:hAnsi="宋体" w:eastAsia="宋体" w:cs="宋体"/>
          <w:b/>
          <w:bCs/>
          <w:color w:val="auto"/>
          <w:sz w:val="36"/>
          <w:szCs w:val="30"/>
          <w:highlight w:val="none"/>
        </w:rPr>
      </w:pPr>
    </w:p>
    <w:p w14:paraId="127B0D95">
      <w:pPr>
        <w:pStyle w:val="5"/>
        <w:rPr>
          <w:rFonts w:hint="eastAsia" w:ascii="宋体" w:hAnsi="宋体" w:eastAsia="宋体" w:cs="宋体"/>
          <w:b/>
          <w:bCs/>
          <w:color w:val="auto"/>
          <w:sz w:val="36"/>
          <w:szCs w:val="30"/>
          <w:highlight w:val="none"/>
        </w:rPr>
      </w:pPr>
    </w:p>
    <w:p w14:paraId="0983EEE7">
      <w:pPr>
        <w:rPr>
          <w:rFonts w:hint="eastAsia" w:ascii="黑体" w:hAnsi="黑体" w:eastAsia="黑体" w:cs="黑体"/>
          <w:b/>
          <w:bCs/>
          <w:color w:val="auto"/>
          <w:sz w:val="30"/>
          <w:szCs w:val="30"/>
          <w:highlight w:val="none"/>
        </w:rPr>
      </w:pPr>
    </w:p>
    <w:p w14:paraId="527C0962">
      <w:pPr>
        <w:pStyle w:val="5"/>
        <w:rPr>
          <w:rFonts w:hint="default" w:ascii="黑体" w:hAnsi="黑体" w:eastAsia="黑体" w:cs="黑体"/>
          <w:b/>
          <w:bCs/>
          <w:color w:val="auto"/>
          <w:kern w:val="2"/>
          <w:sz w:val="30"/>
          <w:szCs w:val="30"/>
          <w:highlight w:val="none"/>
          <w:lang w:val="en-US" w:eastAsia="zh-CN" w:bidi="ar-SA"/>
        </w:rPr>
      </w:pPr>
      <w:r>
        <w:rPr>
          <w:rFonts w:hint="eastAsia" w:ascii="黑体" w:hAnsi="黑体" w:eastAsia="黑体" w:cs="黑体"/>
          <w:sz w:val="30"/>
          <w:szCs w:val="30"/>
          <w:lang w:val="en-US" w:eastAsia="zh-CN"/>
        </w:rPr>
        <w:t xml:space="preserve">   </w:t>
      </w:r>
    </w:p>
    <w:p w14:paraId="59C4DBCF">
      <w:pPr>
        <w:jc w:val="both"/>
        <w:outlineLvl w:val="0"/>
        <w:rPr>
          <w:rFonts w:hint="eastAsia" w:ascii="黑体" w:hAnsi="黑体" w:eastAsia="黑体" w:cs="黑体"/>
          <w:b/>
          <w:bCs/>
          <w:color w:val="auto"/>
          <w:sz w:val="30"/>
          <w:szCs w:val="30"/>
          <w:highlight w:val="none"/>
        </w:rPr>
      </w:pPr>
    </w:p>
    <w:p w14:paraId="72002DD2">
      <w:pPr>
        <w:spacing w:line="480" w:lineRule="auto"/>
        <w:ind w:firstLine="1285" w:firstLineChars="400"/>
        <w:outlineLvl w:val="0"/>
        <w:rPr>
          <w:rFonts w:hint="eastAsia" w:ascii="黑体" w:hAnsi="黑体" w:eastAsia="黑体" w:cs="黑体"/>
          <w:b/>
          <w:sz w:val="32"/>
          <w:szCs w:val="32"/>
          <w:lang w:eastAsia="zh-CN"/>
        </w:rPr>
      </w:pPr>
      <w:r>
        <w:rPr>
          <w:rFonts w:hint="eastAsia" w:ascii="黑体" w:hAnsi="黑体" w:eastAsia="黑体" w:cs="黑体"/>
          <w:b/>
          <w:sz w:val="32"/>
          <w:szCs w:val="32"/>
        </w:rPr>
        <w:t>项</w:t>
      </w:r>
      <w:r>
        <w:rPr>
          <w:rFonts w:hint="eastAsia" w:ascii="黑体" w:hAnsi="黑体" w:eastAsia="黑体" w:cs="黑体"/>
          <w:b/>
          <w:sz w:val="32"/>
          <w:szCs w:val="32"/>
          <w:lang w:val="en-US" w:eastAsia="zh-CN"/>
        </w:rPr>
        <w:t xml:space="preserve"> </w:t>
      </w:r>
      <w:r>
        <w:rPr>
          <w:rFonts w:hint="eastAsia" w:ascii="黑体" w:hAnsi="黑体" w:eastAsia="黑体" w:cs="黑体"/>
          <w:b/>
          <w:sz w:val="32"/>
          <w:szCs w:val="32"/>
        </w:rPr>
        <w:t>目</w:t>
      </w:r>
      <w:r>
        <w:rPr>
          <w:rFonts w:hint="eastAsia" w:ascii="黑体" w:hAnsi="黑体" w:eastAsia="黑体" w:cs="黑体"/>
          <w:b/>
          <w:sz w:val="32"/>
          <w:szCs w:val="32"/>
          <w:lang w:val="en-US" w:eastAsia="zh-CN"/>
        </w:rPr>
        <w:t xml:space="preserve"> </w:t>
      </w:r>
      <w:r>
        <w:rPr>
          <w:rFonts w:hint="eastAsia" w:ascii="黑体" w:hAnsi="黑体" w:eastAsia="黑体" w:cs="黑体"/>
          <w:b/>
          <w:sz w:val="32"/>
          <w:szCs w:val="32"/>
        </w:rPr>
        <w:t>名</w:t>
      </w:r>
      <w:r>
        <w:rPr>
          <w:rFonts w:hint="eastAsia" w:ascii="黑体" w:hAnsi="黑体" w:eastAsia="黑体" w:cs="黑体"/>
          <w:b/>
          <w:sz w:val="32"/>
          <w:szCs w:val="32"/>
          <w:lang w:val="en-US" w:eastAsia="zh-CN"/>
        </w:rPr>
        <w:t xml:space="preserve"> </w:t>
      </w:r>
      <w:r>
        <w:rPr>
          <w:rFonts w:hint="eastAsia" w:ascii="黑体" w:hAnsi="黑体" w:eastAsia="黑体" w:cs="黑体"/>
          <w:b/>
          <w:sz w:val="32"/>
          <w:szCs w:val="32"/>
        </w:rPr>
        <w:t>称</w:t>
      </w:r>
      <w:r>
        <w:rPr>
          <w:rFonts w:hint="eastAsia" w:ascii="黑体" w:hAnsi="黑体" w:eastAsia="黑体" w:cs="黑体"/>
          <w:b/>
          <w:sz w:val="32"/>
          <w:szCs w:val="32"/>
          <w:lang w:eastAsia="zh-CN"/>
        </w:rPr>
        <w:t>：泽足公司制水药品采购</w:t>
      </w:r>
    </w:p>
    <w:p w14:paraId="2F10CF9D">
      <w:pPr>
        <w:jc w:val="center"/>
        <w:outlineLvl w:val="0"/>
        <w:rPr>
          <w:rFonts w:hint="eastAsia" w:ascii="黑体" w:hAnsi="黑体" w:eastAsia="黑体" w:cs="黑体"/>
          <w:b/>
          <w:bCs/>
          <w:color w:val="auto"/>
          <w:sz w:val="32"/>
          <w:szCs w:val="32"/>
          <w:highlight w:val="none"/>
        </w:rPr>
      </w:pPr>
    </w:p>
    <w:p w14:paraId="06BC63D6">
      <w:pPr>
        <w:jc w:val="center"/>
        <w:outlineLvl w:val="0"/>
        <w:rPr>
          <w:rFonts w:hint="eastAsia" w:ascii="黑体" w:hAnsi="黑体" w:eastAsia="黑体" w:cs="黑体"/>
          <w:color w:val="000000"/>
          <w:sz w:val="32"/>
          <w:szCs w:val="32"/>
        </w:rPr>
      </w:pPr>
    </w:p>
    <w:p w14:paraId="1D39179E">
      <w:pPr>
        <w:jc w:val="center"/>
        <w:outlineLvl w:val="0"/>
        <w:rPr>
          <w:rFonts w:hint="eastAsia" w:ascii="黑体" w:hAnsi="黑体" w:eastAsia="黑体" w:cs="黑体"/>
          <w:color w:val="000000"/>
          <w:sz w:val="32"/>
          <w:szCs w:val="32"/>
        </w:rPr>
      </w:pPr>
    </w:p>
    <w:p w14:paraId="1F6AEF2D">
      <w:pPr>
        <w:jc w:val="center"/>
        <w:outlineLvl w:val="0"/>
        <w:rPr>
          <w:rFonts w:hint="eastAsia" w:ascii="黑体" w:hAnsi="黑体" w:eastAsia="黑体" w:cs="黑体"/>
          <w:color w:val="000000"/>
          <w:sz w:val="32"/>
          <w:szCs w:val="32"/>
        </w:rPr>
      </w:pPr>
    </w:p>
    <w:p w14:paraId="258B85FE">
      <w:pPr>
        <w:jc w:val="center"/>
        <w:outlineLvl w:val="0"/>
        <w:rPr>
          <w:rFonts w:hint="eastAsia" w:ascii="黑体" w:hAnsi="黑体" w:eastAsia="黑体" w:cs="黑体"/>
          <w:color w:val="000000"/>
          <w:sz w:val="32"/>
          <w:szCs w:val="32"/>
        </w:rPr>
      </w:pPr>
    </w:p>
    <w:p w14:paraId="7D693AFD">
      <w:pPr>
        <w:jc w:val="center"/>
        <w:outlineLvl w:val="0"/>
        <w:rPr>
          <w:rFonts w:hint="eastAsia" w:ascii="黑体" w:hAnsi="黑体" w:eastAsia="黑体" w:cs="黑体"/>
          <w:color w:val="000000"/>
          <w:sz w:val="32"/>
          <w:szCs w:val="32"/>
        </w:rPr>
      </w:pPr>
    </w:p>
    <w:p w14:paraId="0FF4C9BD">
      <w:pPr>
        <w:spacing w:line="480" w:lineRule="auto"/>
        <w:ind w:firstLine="1285" w:firstLineChars="400"/>
        <w:outlineLvl w:val="0"/>
        <w:rPr>
          <w:rFonts w:hint="eastAsia" w:ascii="黑体" w:hAnsi="黑体" w:eastAsia="黑体" w:cs="黑体"/>
          <w:b/>
          <w:bCs/>
          <w:color w:val="auto"/>
          <w:sz w:val="32"/>
          <w:szCs w:val="32"/>
          <w:highlight w:val="none"/>
          <w:lang w:eastAsia="zh-CN"/>
        </w:rPr>
      </w:pPr>
      <w:r>
        <w:rPr>
          <w:rFonts w:hint="eastAsia" w:ascii="黑体" w:hAnsi="黑体" w:eastAsia="黑体" w:cs="黑体"/>
          <w:b/>
          <w:bCs/>
          <w:color w:val="auto"/>
          <w:sz w:val="32"/>
          <w:szCs w:val="32"/>
          <w:highlight w:val="none"/>
        </w:rPr>
        <w:t>采 购 人：</w:t>
      </w:r>
      <w:r>
        <w:rPr>
          <w:rFonts w:hint="eastAsia" w:ascii="黑体" w:hAnsi="黑体" w:eastAsia="黑体" w:cs="黑体"/>
          <w:b/>
          <w:bCs/>
          <w:color w:val="auto"/>
          <w:sz w:val="32"/>
          <w:szCs w:val="32"/>
          <w:highlight w:val="none"/>
          <w:lang w:eastAsia="zh-CN"/>
        </w:rPr>
        <w:t>重庆泽足水务投资建设有限公司</w:t>
      </w:r>
    </w:p>
    <w:p w14:paraId="45FABFE0">
      <w:pPr>
        <w:spacing w:line="480" w:lineRule="auto"/>
        <w:ind w:firstLine="1285" w:firstLineChars="400"/>
        <w:outlineLvl w:val="0"/>
        <w:rPr>
          <w:rFonts w:hint="eastAsia" w:ascii="黑体" w:hAnsi="黑体" w:eastAsia="黑体" w:cs="黑体"/>
          <w:b/>
          <w:bCs/>
          <w:color w:val="auto"/>
          <w:sz w:val="32"/>
          <w:szCs w:val="32"/>
          <w:highlight w:val="none"/>
          <w:lang w:eastAsia="zh-CN"/>
        </w:rPr>
      </w:pPr>
      <w:r>
        <w:rPr>
          <w:rFonts w:hint="eastAsia" w:ascii="黑体" w:hAnsi="黑体" w:eastAsia="黑体" w:cs="黑体"/>
          <w:b/>
          <w:bCs/>
          <w:color w:val="auto"/>
          <w:sz w:val="32"/>
          <w:szCs w:val="32"/>
          <w:highlight w:val="none"/>
        </w:rPr>
        <w:t>代理机构：</w:t>
      </w:r>
      <w:r>
        <w:rPr>
          <w:rFonts w:hint="eastAsia" w:ascii="黑体" w:hAnsi="黑体" w:eastAsia="黑体" w:cs="黑体"/>
          <w:b/>
          <w:sz w:val="32"/>
          <w:szCs w:val="32"/>
        </w:rPr>
        <w:t>重庆大学建筑规划设计研究总院有限公司</w:t>
      </w:r>
    </w:p>
    <w:p w14:paraId="5D85A877">
      <w:pPr>
        <w:spacing w:line="480" w:lineRule="auto"/>
        <w:ind w:firstLine="4498" w:firstLineChars="1400"/>
        <w:jc w:val="both"/>
        <w:outlineLvl w:val="0"/>
        <w:rPr>
          <w:rFonts w:hint="eastAsia" w:ascii="黑体" w:hAnsi="黑体" w:eastAsia="黑体" w:cs="黑体"/>
          <w:b/>
          <w:bCs/>
          <w:color w:val="auto"/>
          <w:kern w:val="0"/>
          <w:sz w:val="32"/>
          <w:szCs w:val="32"/>
          <w:highlight w:val="none"/>
        </w:rPr>
      </w:pPr>
    </w:p>
    <w:p w14:paraId="543279B6">
      <w:pPr>
        <w:spacing w:line="480" w:lineRule="auto"/>
        <w:jc w:val="center"/>
        <w:outlineLvl w:val="0"/>
        <w:rPr>
          <w:rFonts w:hint="eastAsia" w:ascii="黑体" w:hAnsi="黑体" w:eastAsia="黑体" w:cs="黑体"/>
          <w:b/>
          <w:bCs/>
          <w:color w:val="auto"/>
          <w:kern w:val="0"/>
          <w:sz w:val="32"/>
          <w:szCs w:val="32"/>
          <w:highlight w:val="none"/>
        </w:rPr>
        <w:sectPr>
          <w:footerReference r:id="rId3" w:type="default"/>
          <w:pgSz w:w="11907" w:h="16840"/>
          <w:pgMar w:top="1134" w:right="1191" w:bottom="1134" w:left="1304" w:header="851" w:footer="992" w:gutter="0"/>
          <w:pgNumType w:fmt="decimal" w:start="1"/>
          <w:cols w:space="720" w:num="1"/>
          <w:docGrid w:linePitch="380" w:charSpace="-5735"/>
        </w:sectPr>
      </w:pPr>
      <w:r>
        <w:rPr>
          <w:rFonts w:hint="eastAsia" w:ascii="黑体" w:hAnsi="黑体" w:eastAsia="黑体" w:cs="黑体"/>
          <w:b/>
          <w:bCs/>
          <w:color w:val="auto"/>
          <w:kern w:val="0"/>
          <w:sz w:val="32"/>
          <w:szCs w:val="32"/>
          <w:highlight w:val="none"/>
        </w:rPr>
        <w:t>二〇二</w:t>
      </w:r>
      <w:r>
        <w:rPr>
          <w:rFonts w:hint="eastAsia" w:ascii="黑体" w:hAnsi="黑体" w:eastAsia="黑体" w:cs="黑体"/>
          <w:b/>
          <w:bCs/>
          <w:color w:val="auto"/>
          <w:kern w:val="0"/>
          <w:sz w:val="32"/>
          <w:szCs w:val="32"/>
          <w:highlight w:val="none"/>
          <w:lang w:eastAsia="zh-CN"/>
        </w:rPr>
        <w:t>六</w:t>
      </w:r>
      <w:r>
        <w:rPr>
          <w:rFonts w:hint="eastAsia" w:ascii="黑体" w:hAnsi="黑体" w:eastAsia="黑体" w:cs="黑体"/>
          <w:b/>
          <w:bCs/>
          <w:color w:val="auto"/>
          <w:kern w:val="0"/>
          <w:sz w:val="32"/>
          <w:szCs w:val="32"/>
          <w:highlight w:val="none"/>
        </w:rPr>
        <w:t>年</w:t>
      </w:r>
      <w:r>
        <w:rPr>
          <w:rFonts w:hint="eastAsia" w:ascii="黑体" w:hAnsi="黑体" w:eastAsia="黑体" w:cs="黑体"/>
          <w:b/>
          <w:bCs/>
          <w:color w:val="auto"/>
          <w:kern w:val="0"/>
          <w:sz w:val="32"/>
          <w:szCs w:val="32"/>
          <w:highlight w:val="none"/>
          <w:lang w:val="en-US" w:eastAsia="zh-CN"/>
        </w:rPr>
        <w:t>十</w:t>
      </w:r>
      <w:r>
        <w:rPr>
          <w:rFonts w:hint="eastAsia" w:ascii="黑体" w:hAnsi="黑体" w:eastAsia="黑体" w:cs="黑体"/>
          <w:b/>
          <w:bCs/>
          <w:color w:val="auto"/>
          <w:kern w:val="0"/>
          <w:sz w:val="32"/>
          <w:szCs w:val="32"/>
          <w:highlight w:val="none"/>
        </w:rPr>
        <w:t>月</w:t>
      </w:r>
    </w:p>
    <w:p w14:paraId="412DDD52">
      <w:pPr>
        <w:pStyle w:val="6"/>
        <w:tabs>
          <w:tab w:val="right" w:leader="dot" w:pos="9402"/>
        </w:tabs>
        <w:spacing w:line="360" w:lineRule="auto"/>
        <w:ind w:left="0" w:leftChars="0"/>
        <w:jc w:val="center"/>
        <w:rPr>
          <w:rFonts w:hint="eastAsia" w:ascii="宋体" w:hAnsi="宋体" w:cs="宋体"/>
          <w:sz w:val="24"/>
          <w:szCs w:val="24"/>
        </w:rPr>
      </w:pPr>
    </w:p>
    <w:p w14:paraId="00CC5F85">
      <w:pPr>
        <w:pStyle w:val="6"/>
        <w:tabs>
          <w:tab w:val="right" w:leader="dot" w:pos="9402"/>
        </w:tabs>
        <w:spacing w:line="360" w:lineRule="auto"/>
        <w:ind w:left="0" w:leftChars="0"/>
        <w:jc w:val="center"/>
        <w:rPr>
          <w:rFonts w:hint="eastAsia" w:ascii="黑体" w:hAnsi="黑体" w:eastAsia="黑体" w:cs="黑体"/>
          <w:b/>
          <w:bCs/>
          <w:sz w:val="32"/>
          <w:szCs w:val="32"/>
        </w:rPr>
      </w:pPr>
      <w:r>
        <w:rPr>
          <w:rFonts w:hint="eastAsia" w:ascii="宋体" w:hAnsi="宋体" w:cs="宋体"/>
          <w:sz w:val="24"/>
          <w:szCs w:val="24"/>
        </w:rPr>
        <w:fldChar w:fldCharType="begin"/>
      </w:r>
      <w:r>
        <w:rPr>
          <w:rFonts w:hint="eastAsia" w:ascii="宋体" w:hAnsi="宋体" w:cs="宋体"/>
          <w:sz w:val="24"/>
          <w:szCs w:val="24"/>
        </w:rPr>
        <w:instrText xml:space="preserve"> TOC \o "1-3" \h \z </w:instrText>
      </w:r>
      <w:r>
        <w:rPr>
          <w:rFonts w:hint="eastAsia" w:ascii="宋体" w:hAnsi="宋体" w:cs="宋体"/>
          <w:sz w:val="24"/>
          <w:szCs w:val="24"/>
        </w:rPr>
        <w:fldChar w:fldCharType="separate"/>
      </w:r>
      <w:r>
        <w:rPr>
          <w:rFonts w:hint="eastAsia" w:ascii="黑体" w:hAnsi="黑体" w:eastAsia="黑体" w:cs="黑体"/>
          <w:b/>
          <w:bCs/>
          <w:sz w:val="32"/>
          <w:szCs w:val="32"/>
        </w:rPr>
        <w:t>目 录</w:t>
      </w:r>
    </w:p>
    <w:p w14:paraId="16AD972F">
      <w:pPr>
        <w:pStyle w:val="11"/>
        <w:keepNext w:val="0"/>
        <w:keepLines w:val="0"/>
        <w:pageBreakBefore w:val="0"/>
        <w:widowControl w:val="0"/>
        <w:tabs>
          <w:tab w:val="right" w:leader="dot" w:pos="9402"/>
          <w:tab w:val="clear" w:pos="9515"/>
        </w:tabs>
        <w:kinsoku/>
        <w:wordWrap/>
        <w:overflowPunct/>
        <w:topLinePunct w:val="0"/>
        <w:autoSpaceDE/>
        <w:autoSpaceDN/>
        <w:bidi w:val="0"/>
        <w:adjustRightInd/>
        <w:snapToGrid/>
        <w:spacing w:line="600" w:lineRule="exact"/>
        <w:ind w:left="560"/>
        <w:jc w:val="left"/>
        <w:textAlignment w:val="auto"/>
        <w:rPr>
          <w:rFonts w:hint="eastAsia" w:ascii="黑体" w:hAnsi="黑体" w:eastAsia="黑体" w:cs="黑体"/>
          <w:sz w:val="24"/>
          <w:szCs w:val="24"/>
        </w:rPr>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TOC \o "1-3" \h \z </w:instrText>
      </w:r>
      <w:r>
        <w:rPr>
          <w:rFonts w:hint="eastAsia" w:ascii="黑体" w:hAnsi="黑体" w:eastAsia="黑体" w:cs="黑体"/>
          <w:sz w:val="24"/>
          <w:szCs w:val="24"/>
        </w:rPr>
        <w:fldChar w:fldCharType="separate"/>
      </w:r>
      <w:r>
        <w:rPr>
          <w:rStyle w:val="16"/>
          <w:rFonts w:hint="eastAsia" w:ascii="黑体" w:hAnsi="黑体" w:eastAsia="黑体" w:cs="黑体"/>
          <w:b/>
          <w:bCs/>
          <w:sz w:val="24"/>
          <w:szCs w:val="24"/>
        </w:rPr>
        <w:fldChar w:fldCharType="begin"/>
      </w:r>
      <w:r>
        <w:rPr>
          <w:rStyle w:val="16"/>
          <w:rFonts w:hint="eastAsia" w:ascii="黑体" w:hAnsi="黑体" w:eastAsia="黑体" w:cs="黑体"/>
          <w:b/>
          <w:bCs/>
          <w:sz w:val="24"/>
          <w:szCs w:val="24"/>
        </w:rPr>
        <w:instrText xml:space="preserve"> </w:instrText>
      </w:r>
      <w:r>
        <w:rPr>
          <w:rFonts w:hint="eastAsia" w:ascii="黑体" w:hAnsi="黑体" w:eastAsia="黑体" w:cs="黑体"/>
          <w:b/>
          <w:bCs/>
          <w:sz w:val="24"/>
          <w:szCs w:val="24"/>
        </w:rPr>
        <w:instrText xml:space="preserve">HYPERLINK \l "_Toc106034769"</w:instrText>
      </w:r>
      <w:r>
        <w:rPr>
          <w:rStyle w:val="16"/>
          <w:rFonts w:hint="eastAsia" w:ascii="黑体" w:hAnsi="黑体" w:eastAsia="黑体" w:cs="黑体"/>
          <w:b/>
          <w:bCs/>
          <w:sz w:val="24"/>
          <w:szCs w:val="24"/>
        </w:rPr>
        <w:instrText xml:space="preserve"> </w:instrText>
      </w:r>
      <w:r>
        <w:rPr>
          <w:rStyle w:val="16"/>
          <w:rFonts w:hint="eastAsia" w:ascii="黑体" w:hAnsi="黑体" w:eastAsia="黑体" w:cs="黑体"/>
          <w:b/>
          <w:bCs/>
          <w:sz w:val="24"/>
          <w:szCs w:val="24"/>
        </w:rPr>
        <w:fldChar w:fldCharType="separate"/>
      </w:r>
      <w:r>
        <w:rPr>
          <w:rStyle w:val="16"/>
          <w:rFonts w:hint="eastAsia" w:ascii="黑体" w:hAnsi="黑体" w:eastAsia="黑体" w:cs="黑体"/>
          <w:b/>
          <w:bCs/>
          <w:sz w:val="24"/>
          <w:szCs w:val="24"/>
        </w:rPr>
        <w:t>第一篇  采购邀请书</w:t>
      </w:r>
      <w:r>
        <w:rPr>
          <w:rFonts w:hint="eastAsia" w:ascii="黑体" w:hAnsi="黑体" w:eastAsia="黑体" w:cs="黑体"/>
          <w:b/>
          <w:bCs/>
          <w:sz w:val="24"/>
          <w:szCs w:val="24"/>
        </w:rPr>
        <w:tab/>
      </w:r>
      <w:r>
        <w:rPr>
          <w:rFonts w:hint="eastAsia" w:ascii="黑体" w:hAnsi="黑体" w:eastAsia="黑体" w:cs="黑体"/>
          <w:b/>
          <w:bCs/>
          <w:sz w:val="24"/>
          <w:szCs w:val="24"/>
          <w:lang w:val="en-US" w:eastAsia="zh-CN"/>
        </w:rPr>
        <w:t>3</w:t>
      </w:r>
      <w:r>
        <w:rPr>
          <w:rStyle w:val="16"/>
          <w:rFonts w:hint="eastAsia" w:ascii="黑体" w:hAnsi="黑体" w:eastAsia="黑体" w:cs="黑体"/>
          <w:b/>
          <w:bCs/>
          <w:sz w:val="24"/>
          <w:szCs w:val="24"/>
        </w:rPr>
        <w:fldChar w:fldCharType="end"/>
      </w:r>
    </w:p>
    <w:p w14:paraId="4778FDB6">
      <w:pPr>
        <w:pStyle w:val="11"/>
        <w:keepNext w:val="0"/>
        <w:keepLines w:val="0"/>
        <w:pageBreakBefore w:val="0"/>
        <w:widowControl w:val="0"/>
        <w:tabs>
          <w:tab w:val="right" w:leader="dot" w:pos="9402"/>
          <w:tab w:val="clear" w:pos="9515"/>
        </w:tabs>
        <w:kinsoku/>
        <w:wordWrap/>
        <w:overflowPunct/>
        <w:topLinePunct w:val="0"/>
        <w:autoSpaceDE/>
        <w:autoSpaceDN/>
        <w:bidi w:val="0"/>
        <w:adjustRightInd/>
        <w:snapToGrid/>
        <w:spacing w:line="600" w:lineRule="exact"/>
        <w:ind w:left="560"/>
        <w:jc w:val="left"/>
        <w:textAlignment w:val="auto"/>
        <w:rPr>
          <w:rFonts w:hint="eastAsia" w:ascii="黑体" w:hAnsi="黑体" w:eastAsia="黑体" w:cs="黑体"/>
          <w:sz w:val="24"/>
          <w:szCs w:val="24"/>
        </w:rPr>
      </w:pPr>
      <w:r>
        <w:rPr>
          <w:rStyle w:val="16"/>
          <w:rFonts w:hint="eastAsia" w:ascii="黑体" w:hAnsi="黑体" w:eastAsia="黑体" w:cs="黑体"/>
          <w:b/>
          <w:bCs/>
          <w:sz w:val="24"/>
          <w:szCs w:val="24"/>
        </w:rPr>
        <w:fldChar w:fldCharType="begin"/>
      </w:r>
      <w:r>
        <w:rPr>
          <w:rStyle w:val="16"/>
          <w:rFonts w:hint="eastAsia" w:ascii="黑体" w:hAnsi="黑体" w:eastAsia="黑体" w:cs="黑体"/>
          <w:b/>
          <w:bCs/>
          <w:sz w:val="24"/>
          <w:szCs w:val="24"/>
        </w:rPr>
        <w:instrText xml:space="preserve"> </w:instrText>
      </w:r>
      <w:r>
        <w:rPr>
          <w:rFonts w:hint="eastAsia" w:ascii="黑体" w:hAnsi="黑体" w:eastAsia="黑体" w:cs="黑体"/>
          <w:b/>
          <w:bCs/>
          <w:sz w:val="24"/>
          <w:szCs w:val="24"/>
        </w:rPr>
        <w:instrText xml:space="preserve">HYPERLINK \l "_Toc106034778"</w:instrText>
      </w:r>
      <w:r>
        <w:rPr>
          <w:rStyle w:val="16"/>
          <w:rFonts w:hint="eastAsia" w:ascii="黑体" w:hAnsi="黑体" w:eastAsia="黑体" w:cs="黑体"/>
          <w:b/>
          <w:bCs/>
          <w:sz w:val="24"/>
          <w:szCs w:val="24"/>
        </w:rPr>
        <w:instrText xml:space="preserve"> </w:instrText>
      </w:r>
      <w:r>
        <w:rPr>
          <w:rStyle w:val="16"/>
          <w:rFonts w:hint="eastAsia" w:ascii="黑体" w:hAnsi="黑体" w:eastAsia="黑体" w:cs="黑体"/>
          <w:b/>
          <w:bCs/>
          <w:sz w:val="24"/>
          <w:szCs w:val="24"/>
        </w:rPr>
        <w:fldChar w:fldCharType="separate"/>
      </w:r>
      <w:r>
        <w:rPr>
          <w:rStyle w:val="16"/>
          <w:rFonts w:hint="eastAsia" w:ascii="黑体" w:hAnsi="黑体" w:eastAsia="黑体" w:cs="黑体"/>
          <w:b/>
          <w:bCs/>
          <w:sz w:val="24"/>
          <w:szCs w:val="24"/>
        </w:rPr>
        <w:t>第二篇  项目</w:t>
      </w:r>
      <w:r>
        <w:rPr>
          <w:rStyle w:val="16"/>
          <w:rFonts w:hint="eastAsia" w:ascii="黑体" w:hAnsi="黑体" w:eastAsia="黑体" w:cs="黑体"/>
          <w:b/>
          <w:bCs/>
          <w:sz w:val="24"/>
          <w:szCs w:val="24"/>
          <w:lang w:eastAsia="zh-CN"/>
        </w:rPr>
        <w:t>技术</w:t>
      </w:r>
      <w:r>
        <w:rPr>
          <w:rStyle w:val="16"/>
          <w:rFonts w:hint="eastAsia" w:ascii="黑体" w:hAnsi="黑体" w:eastAsia="黑体" w:cs="黑体"/>
          <w:b/>
          <w:bCs/>
          <w:sz w:val="24"/>
          <w:szCs w:val="24"/>
          <w:lang w:val="en-US" w:eastAsia="zh-CN"/>
        </w:rPr>
        <w:t>需求</w:t>
      </w:r>
      <w:r>
        <w:rPr>
          <w:rFonts w:hint="eastAsia" w:ascii="黑体" w:hAnsi="黑体" w:eastAsia="黑体" w:cs="黑体"/>
          <w:b/>
          <w:bCs/>
          <w:sz w:val="24"/>
          <w:szCs w:val="24"/>
        </w:rPr>
        <w:tab/>
      </w:r>
      <w:r>
        <w:rPr>
          <w:rFonts w:hint="eastAsia" w:ascii="黑体" w:hAnsi="黑体" w:eastAsia="黑体" w:cs="黑体"/>
          <w:b/>
          <w:bCs/>
          <w:sz w:val="24"/>
          <w:szCs w:val="24"/>
          <w:lang w:val="en-US" w:eastAsia="zh-CN"/>
        </w:rPr>
        <w:t>6</w:t>
      </w:r>
      <w:r>
        <w:rPr>
          <w:rStyle w:val="16"/>
          <w:rFonts w:hint="eastAsia" w:ascii="黑体" w:hAnsi="黑体" w:eastAsia="黑体" w:cs="黑体"/>
          <w:b/>
          <w:bCs/>
          <w:sz w:val="24"/>
          <w:szCs w:val="24"/>
        </w:rPr>
        <w:fldChar w:fldCharType="end"/>
      </w:r>
    </w:p>
    <w:p w14:paraId="136E04B5">
      <w:pPr>
        <w:pStyle w:val="11"/>
        <w:keepNext w:val="0"/>
        <w:keepLines w:val="0"/>
        <w:pageBreakBefore w:val="0"/>
        <w:widowControl w:val="0"/>
        <w:tabs>
          <w:tab w:val="right" w:leader="dot" w:pos="9402"/>
          <w:tab w:val="clear" w:pos="9515"/>
        </w:tabs>
        <w:kinsoku/>
        <w:wordWrap/>
        <w:overflowPunct/>
        <w:topLinePunct w:val="0"/>
        <w:autoSpaceDE/>
        <w:autoSpaceDN/>
        <w:bidi w:val="0"/>
        <w:adjustRightInd/>
        <w:snapToGrid/>
        <w:spacing w:line="600" w:lineRule="exact"/>
        <w:ind w:left="560"/>
        <w:jc w:val="left"/>
        <w:textAlignment w:val="auto"/>
        <w:rPr>
          <w:rFonts w:hint="default" w:ascii="黑体" w:hAnsi="黑体" w:eastAsia="黑体" w:cs="黑体"/>
          <w:sz w:val="24"/>
          <w:szCs w:val="24"/>
          <w:lang w:val="en-US" w:eastAsia="zh-CN"/>
        </w:rPr>
      </w:pPr>
      <w:r>
        <w:rPr>
          <w:rStyle w:val="16"/>
          <w:rFonts w:hint="eastAsia" w:ascii="黑体" w:hAnsi="黑体" w:eastAsia="黑体" w:cs="黑体"/>
          <w:b/>
          <w:bCs/>
          <w:sz w:val="24"/>
          <w:szCs w:val="24"/>
        </w:rPr>
        <w:fldChar w:fldCharType="begin"/>
      </w:r>
      <w:r>
        <w:rPr>
          <w:rStyle w:val="16"/>
          <w:rFonts w:hint="eastAsia" w:ascii="黑体" w:hAnsi="黑体" w:eastAsia="黑体" w:cs="黑体"/>
          <w:b/>
          <w:bCs/>
          <w:sz w:val="24"/>
          <w:szCs w:val="24"/>
        </w:rPr>
        <w:instrText xml:space="preserve"> </w:instrText>
      </w:r>
      <w:r>
        <w:rPr>
          <w:rFonts w:hint="eastAsia" w:ascii="黑体" w:hAnsi="黑体" w:eastAsia="黑体" w:cs="黑体"/>
          <w:b/>
          <w:bCs/>
          <w:sz w:val="24"/>
          <w:szCs w:val="24"/>
        </w:rPr>
        <w:instrText xml:space="preserve">HYPERLINK \l "_Toc106034781"</w:instrText>
      </w:r>
      <w:r>
        <w:rPr>
          <w:rStyle w:val="16"/>
          <w:rFonts w:hint="eastAsia" w:ascii="黑体" w:hAnsi="黑体" w:eastAsia="黑体" w:cs="黑体"/>
          <w:b/>
          <w:bCs/>
          <w:sz w:val="24"/>
          <w:szCs w:val="24"/>
        </w:rPr>
        <w:instrText xml:space="preserve"> </w:instrText>
      </w:r>
      <w:r>
        <w:rPr>
          <w:rStyle w:val="16"/>
          <w:rFonts w:hint="eastAsia" w:ascii="黑体" w:hAnsi="黑体" w:eastAsia="黑体" w:cs="黑体"/>
          <w:b/>
          <w:bCs/>
          <w:sz w:val="24"/>
          <w:szCs w:val="24"/>
        </w:rPr>
        <w:fldChar w:fldCharType="separate"/>
      </w:r>
      <w:r>
        <w:rPr>
          <w:rStyle w:val="16"/>
          <w:rFonts w:hint="eastAsia" w:ascii="黑体" w:hAnsi="黑体" w:eastAsia="黑体" w:cs="黑体"/>
          <w:b/>
          <w:bCs/>
          <w:sz w:val="24"/>
          <w:szCs w:val="24"/>
        </w:rPr>
        <w:t>第三篇  项目</w:t>
      </w:r>
      <w:r>
        <w:rPr>
          <w:rStyle w:val="16"/>
          <w:rFonts w:hint="eastAsia" w:ascii="黑体" w:hAnsi="黑体" w:eastAsia="黑体" w:cs="黑体"/>
          <w:b/>
          <w:bCs/>
          <w:sz w:val="24"/>
          <w:szCs w:val="24"/>
          <w:lang w:val="en-US" w:eastAsia="zh-CN"/>
        </w:rPr>
        <w:t>商务</w:t>
      </w:r>
      <w:r>
        <w:rPr>
          <w:rStyle w:val="16"/>
          <w:rFonts w:hint="eastAsia" w:ascii="黑体" w:hAnsi="黑体" w:eastAsia="黑体" w:cs="黑体"/>
          <w:b/>
          <w:bCs/>
          <w:sz w:val="24"/>
          <w:szCs w:val="24"/>
        </w:rPr>
        <w:t>需求</w:t>
      </w:r>
      <w:r>
        <w:rPr>
          <w:rFonts w:hint="eastAsia" w:ascii="黑体" w:hAnsi="黑体" w:eastAsia="黑体" w:cs="黑体"/>
          <w:b/>
          <w:bCs/>
          <w:sz w:val="24"/>
          <w:szCs w:val="24"/>
        </w:rPr>
        <w:tab/>
      </w:r>
      <w:r>
        <w:rPr>
          <w:rStyle w:val="16"/>
          <w:rFonts w:hint="eastAsia" w:ascii="黑体" w:hAnsi="黑体" w:eastAsia="黑体" w:cs="黑体"/>
          <w:b/>
          <w:bCs/>
          <w:sz w:val="24"/>
          <w:szCs w:val="24"/>
        </w:rPr>
        <w:fldChar w:fldCharType="end"/>
      </w:r>
      <w:r>
        <w:rPr>
          <w:rStyle w:val="16"/>
          <w:rFonts w:hint="eastAsia" w:ascii="黑体" w:hAnsi="黑体" w:eastAsia="黑体" w:cs="黑体"/>
          <w:b/>
          <w:bCs/>
          <w:sz w:val="24"/>
          <w:szCs w:val="24"/>
          <w:lang w:val="en-US" w:eastAsia="zh-CN"/>
        </w:rPr>
        <w:t>11</w:t>
      </w:r>
    </w:p>
    <w:p w14:paraId="1C0823F5">
      <w:pPr>
        <w:pStyle w:val="11"/>
        <w:keepNext w:val="0"/>
        <w:keepLines w:val="0"/>
        <w:pageBreakBefore w:val="0"/>
        <w:widowControl w:val="0"/>
        <w:tabs>
          <w:tab w:val="right" w:leader="dot" w:pos="9402"/>
          <w:tab w:val="clear" w:pos="9515"/>
        </w:tabs>
        <w:kinsoku/>
        <w:wordWrap/>
        <w:overflowPunct/>
        <w:topLinePunct w:val="0"/>
        <w:autoSpaceDE/>
        <w:autoSpaceDN/>
        <w:bidi w:val="0"/>
        <w:adjustRightInd/>
        <w:snapToGrid/>
        <w:spacing w:line="600" w:lineRule="exact"/>
        <w:ind w:left="560"/>
        <w:jc w:val="left"/>
        <w:textAlignment w:val="auto"/>
        <w:rPr>
          <w:rFonts w:hint="eastAsia" w:ascii="黑体" w:hAnsi="黑体" w:eastAsia="黑体" w:cs="黑体"/>
          <w:sz w:val="24"/>
          <w:szCs w:val="24"/>
          <w:lang w:val="en-US" w:eastAsia="zh-CN"/>
        </w:rPr>
      </w:pPr>
      <w:r>
        <w:rPr>
          <w:rStyle w:val="16"/>
          <w:rFonts w:hint="eastAsia" w:ascii="黑体" w:hAnsi="黑体" w:eastAsia="黑体" w:cs="黑体"/>
          <w:b/>
          <w:bCs/>
          <w:sz w:val="24"/>
          <w:szCs w:val="24"/>
        </w:rPr>
        <w:fldChar w:fldCharType="begin"/>
      </w:r>
      <w:r>
        <w:rPr>
          <w:rStyle w:val="16"/>
          <w:rFonts w:hint="eastAsia" w:ascii="黑体" w:hAnsi="黑体" w:eastAsia="黑体" w:cs="黑体"/>
          <w:b/>
          <w:bCs/>
          <w:sz w:val="24"/>
          <w:szCs w:val="24"/>
        </w:rPr>
        <w:instrText xml:space="preserve"> </w:instrText>
      </w:r>
      <w:r>
        <w:rPr>
          <w:rFonts w:hint="eastAsia" w:ascii="黑体" w:hAnsi="黑体" w:eastAsia="黑体" w:cs="黑体"/>
          <w:b/>
          <w:bCs/>
          <w:sz w:val="24"/>
          <w:szCs w:val="24"/>
        </w:rPr>
        <w:instrText xml:space="preserve">HYPERLINK \l "_Toc106034789"</w:instrText>
      </w:r>
      <w:r>
        <w:rPr>
          <w:rStyle w:val="16"/>
          <w:rFonts w:hint="eastAsia" w:ascii="黑体" w:hAnsi="黑体" w:eastAsia="黑体" w:cs="黑体"/>
          <w:b/>
          <w:bCs/>
          <w:sz w:val="24"/>
          <w:szCs w:val="24"/>
        </w:rPr>
        <w:instrText xml:space="preserve"> </w:instrText>
      </w:r>
      <w:r>
        <w:rPr>
          <w:rStyle w:val="16"/>
          <w:rFonts w:hint="eastAsia" w:ascii="黑体" w:hAnsi="黑体" w:eastAsia="黑体" w:cs="黑体"/>
          <w:b/>
          <w:bCs/>
          <w:sz w:val="24"/>
          <w:szCs w:val="24"/>
        </w:rPr>
        <w:fldChar w:fldCharType="separate"/>
      </w:r>
      <w:r>
        <w:rPr>
          <w:rStyle w:val="16"/>
          <w:rFonts w:hint="eastAsia" w:ascii="黑体" w:hAnsi="黑体" w:eastAsia="黑体" w:cs="黑体"/>
          <w:b/>
          <w:bCs/>
          <w:sz w:val="24"/>
          <w:szCs w:val="24"/>
        </w:rPr>
        <w:t xml:space="preserve">第四篇  </w:t>
      </w:r>
      <w:r>
        <w:rPr>
          <w:rStyle w:val="16"/>
          <w:rFonts w:hint="eastAsia" w:ascii="黑体" w:hAnsi="黑体" w:eastAsia="黑体" w:cs="黑体"/>
          <w:b/>
          <w:bCs/>
          <w:sz w:val="24"/>
          <w:szCs w:val="24"/>
          <w:lang w:eastAsia="zh-CN"/>
        </w:rPr>
        <w:t>比选</w:t>
      </w:r>
      <w:r>
        <w:rPr>
          <w:rStyle w:val="16"/>
          <w:rFonts w:hint="eastAsia" w:ascii="黑体" w:hAnsi="黑体" w:eastAsia="黑体" w:cs="黑体"/>
          <w:b/>
          <w:bCs/>
          <w:sz w:val="24"/>
          <w:szCs w:val="24"/>
        </w:rPr>
        <w:t>程序</w:t>
      </w:r>
      <w:r>
        <w:rPr>
          <w:rStyle w:val="16"/>
          <w:rFonts w:hint="eastAsia" w:ascii="黑体" w:hAnsi="黑体" w:eastAsia="黑体" w:cs="黑体"/>
          <w:b/>
          <w:bCs/>
          <w:sz w:val="24"/>
          <w:szCs w:val="24"/>
          <w:lang w:eastAsia="zh-CN"/>
        </w:rPr>
        <w:t>及方法</w:t>
      </w:r>
      <w:r>
        <w:rPr>
          <w:rStyle w:val="16"/>
          <w:rFonts w:hint="eastAsia" w:ascii="黑体" w:hAnsi="黑体" w:eastAsia="黑体" w:cs="黑体"/>
          <w:b/>
          <w:bCs/>
          <w:sz w:val="24"/>
          <w:szCs w:val="24"/>
        </w:rPr>
        <w:t>、评</w:t>
      </w:r>
      <w:r>
        <w:rPr>
          <w:rStyle w:val="16"/>
          <w:rFonts w:hint="eastAsia" w:ascii="黑体" w:hAnsi="黑体" w:eastAsia="黑体" w:cs="黑体"/>
          <w:b/>
          <w:bCs/>
          <w:sz w:val="24"/>
          <w:szCs w:val="24"/>
          <w:lang w:eastAsia="zh-CN"/>
        </w:rPr>
        <w:t>审</w:t>
      </w:r>
      <w:r>
        <w:rPr>
          <w:rStyle w:val="16"/>
          <w:rFonts w:hint="eastAsia" w:ascii="黑体" w:hAnsi="黑体" w:eastAsia="黑体" w:cs="黑体"/>
          <w:b/>
          <w:bCs/>
          <w:sz w:val="24"/>
          <w:szCs w:val="24"/>
        </w:rPr>
        <w:t>标准、无效报价及采购终止</w:t>
      </w:r>
      <w:r>
        <w:rPr>
          <w:rFonts w:hint="eastAsia" w:ascii="黑体" w:hAnsi="黑体" w:eastAsia="黑体" w:cs="黑体"/>
          <w:b/>
          <w:bCs/>
          <w:sz w:val="24"/>
          <w:szCs w:val="24"/>
        </w:rPr>
        <w:tab/>
      </w:r>
      <w:r>
        <w:rPr>
          <w:rFonts w:hint="eastAsia" w:ascii="黑体" w:hAnsi="黑体" w:eastAsia="黑体" w:cs="黑体"/>
          <w:b/>
          <w:bCs/>
          <w:sz w:val="24"/>
          <w:szCs w:val="24"/>
          <w:lang w:val="en-US" w:eastAsia="zh-CN"/>
        </w:rPr>
        <w:t>1</w:t>
      </w:r>
      <w:r>
        <w:rPr>
          <w:rStyle w:val="16"/>
          <w:rFonts w:hint="eastAsia" w:ascii="黑体" w:hAnsi="黑体" w:eastAsia="黑体" w:cs="黑体"/>
          <w:b/>
          <w:bCs/>
          <w:sz w:val="24"/>
          <w:szCs w:val="24"/>
        </w:rPr>
        <w:fldChar w:fldCharType="end"/>
      </w:r>
      <w:r>
        <w:rPr>
          <w:rStyle w:val="16"/>
          <w:rFonts w:hint="eastAsia" w:ascii="黑体" w:hAnsi="黑体" w:eastAsia="黑体" w:cs="黑体"/>
          <w:b/>
          <w:bCs/>
          <w:sz w:val="24"/>
          <w:szCs w:val="24"/>
          <w:lang w:val="en-US" w:eastAsia="zh-CN"/>
        </w:rPr>
        <w:t>4</w:t>
      </w:r>
    </w:p>
    <w:p w14:paraId="282A3226">
      <w:pPr>
        <w:pStyle w:val="11"/>
        <w:keepNext w:val="0"/>
        <w:keepLines w:val="0"/>
        <w:pageBreakBefore w:val="0"/>
        <w:widowControl w:val="0"/>
        <w:tabs>
          <w:tab w:val="right" w:leader="dot" w:pos="9402"/>
          <w:tab w:val="clear" w:pos="9515"/>
        </w:tabs>
        <w:kinsoku/>
        <w:wordWrap/>
        <w:overflowPunct/>
        <w:topLinePunct w:val="0"/>
        <w:autoSpaceDE/>
        <w:autoSpaceDN/>
        <w:bidi w:val="0"/>
        <w:adjustRightInd/>
        <w:snapToGrid/>
        <w:spacing w:line="600" w:lineRule="exact"/>
        <w:ind w:left="560"/>
        <w:jc w:val="left"/>
        <w:textAlignment w:val="auto"/>
        <w:rPr>
          <w:rFonts w:hint="eastAsia" w:ascii="黑体" w:hAnsi="黑体" w:eastAsia="黑体" w:cs="黑体"/>
          <w:b/>
          <w:bCs/>
          <w:sz w:val="24"/>
          <w:szCs w:val="24"/>
          <w:lang w:val="en-US" w:eastAsia="zh-CN"/>
        </w:rPr>
      </w:pPr>
      <w:r>
        <w:rPr>
          <w:rStyle w:val="16"/>
          <w:rFonts w:hint="eastAsia" w:ascii="黑体" w:hAnsi="黑体" w:eastAsia="黑体" w:cs="黑体"/>
          <w:b/>
          <w:bCs/>
          <w:sz w:val="24"/>
          <w:szCs w:val="24"/>
        </w:rPr>
        <w:fldChar w:fldCharType="begin"/>
      </w:r>
      <w:r>
        <w:rPr>
          <w:rStyle w:val="16"/>
          <w:rFonts w:hint="eastAsia" w:ascii="黑体" w:hAnsi="黑体" w:eastAsia="黑体" w:cs="黑体"/>
          <w:b/>
          <w:bCs/>
          <w:sz w:val="24"/>
          <w:szCs w:val="24"/>
        </w:rPr>
        <w:instrText xml:space="preserve"> </w:instrText>
      </w:r>
      <w:r>
        <w:rPr>
          <w:rFonts w:hint="eastAsia" w:ascii="黑体" w:hAnsi="黑体" w:eastAsia="黑体" w:cs="黑体"/>
          <w:b/>
          <w:bCs/>
          <w:sz w:val="24"/>
          <w:szCs w:val="24"/>
        </w:rPr>
        <w:instrText xml:space="preserve">HYPERLINK \l "_Toc106034794"</w:instrText>
      </w:r>
      <w:r>
        <w:rPr>
          <w:rStyle w:val="16"/>
          <w:rFonts w:hint="eastAsia" w:ascii="黑体" w:hAnsi="黑体" w:eastAsia="黑体" w:cs="黑体"/>
          <w:b/>
          <w:bCs/>
          <w:sz w:val="24"/>
          <w:szCs w:val="24"/>
        </w:rPr>
        <w:instrText xml:space="preserve"> </w:instrText>
      </w:r>
      <w:r>
        <w:rPr>
          <w:rStyle w:val="16"/>
          <w:rFonts w:hint="eastAsia" w:ascii="黑体" w:hAnsi="黑体" w:eastAsia="黑体" w:cs="黑体"/>
          <w:b/>
          <w:bCs/>
          <w:sz w:val="24"/>
          <w:szCs w:val="24"/>
        </w:rPr>
        <w:fldChar w:fldCharType="separate"/>
      </w:r>
      <w:r>
        <w:rPr>
          <w:rStyle w:val="16"/>
          <w:rFonts w:hint="eastAsia" w:ascii="黑体" w:hAnsi="黑体" w:eastAsia="黑体" w:cs="黑体"/>
          <w:b/>
          <w:bCs/>
          <w:sz w:val="24"/>
          <w:szCs w:val="24"/>
        </w:rPr>
        <w:t>第五篇  供应商须知</w:t>
      </w:r>
      <w:r>
        <w:rPr>
          <w:rFonts w:hint="eastAsia" w:ascii="黑体" w:hAnsi="黑体" w:eastAsia="黑体" w:cs="黑体"/>
          <w:b/>
          <w:bCs/>
          <w:sz w:val="24"/>
          <w:szCs w:val="24"/>
        </w:rPr>
        <w:tab/>
      </w:r>
      <w:r>
        <w:rPr>
          <w:rStyle w:val="16"/>
          <w:rFonts w:hint="eastAsia" w:ascii="黑体" w:hAnsi="黑体" w:eastAsia="黑体" w:cs="黑体"/>
          <w:b/>
          <w:bCs/>
          <w:sz w:val="24"/>
          <w:szCs w:val="24"/>
        </w:rPr>
        <w:fldChar w:fldCharType="end"/>
      </w:r>
      <w:r>
        <w:rPr>
          <w:rStyle w:val="16"/>
          <w:rFonts w:hint="eastAsia" w:ascii="黑体" w:hAnsi="黑体" w:eastAsia="黑体" w:cs="黑体"/>
          <w:b/>
          <w:bCs/>
          <w:sz w:val="24"/>
          <w:szCs w:val="24"/>
          <w:lang w:val="en-US" w:eastAsia="zh-CN"/>
        </w:rPr>
        <w:t>17</w:t>
      </w:r>
    </w:p>
    <w:p w14:paraId="447F8551">
      <w:pPr>
        <w:pStyle w:val="11"/>
        <w:keepNext w:val="0"/>
        <w:keepLines w:val="0"/>
        <w:pageBreakBefore w:val="0"/>
        <w:widowControl w:val="0"/>
        <w:tabs>
          <w:tab w:val="right" w:leader="dot" w:pos="9402"/>
          <w:tab w:val="clear" w:pos="9515"/>
        </w:tabs>
        <w:kinsoku/>
        <w:wordWrap/>
        <w:overflowPunct/>
        <w:topLinePunct w:val="0"/>
        <w:autoSpaceDE/>
        <w:autoSpaceDN/>
        <w:bidi w:val="0"/>
        <w:adjustRightInd/>
        <w:snapToGrid/>
        <w:spacing w:line="600" w:lineRule="exact"/>
        <w:ind w:left="560"/>
        <w:jc w:val="left"/>
        <w:textAlignment w:val="auto"/>
        <w:rPr>
          <w:rFonts w:hint="eastAsia" w:ascii="黑体" w:hAnsi="黑体" w:eastAsia="黑体" w:cs="黑体"/>
          <w:b/>
          <w:bCs/>
          <w:sz w:val="24"/>
          <w:szCs w:val="24"/>
          <w:lang w:val="en-US" w:eastAsia="zh-CN"/>
        </w:rPr>
      </w:pPr>
      <w:r>
        <w:rPr>
          <w:rStyle w:val="16"/>
          <w:rFonts w:hint="eastAsia" w:ascii="黑体" w:hAnsi="黑体" w:eastAsia="黑体" w:cs="黑体"/>
          <w:b/>
          <w:bCs/>
          <w:sz w:val="24"/>
          <w:szCs w:val="24"/>
        </w:rPr>
        <w:fldChar w:fldCharType="begin"/>
      </w:r>
      <w:r>
        <w:rPr>
          <w:rStyle w:val="16"/>
          <w:rFonts w:hint="eastAsia" w:ascii="黑体" w:hAnsi="黑体" w:eastAsia="黑体" w:cs="黑体"/>
          <w:b/>
          <w:bCs/>
          <w:sz w:val="24"/>
          <w:szCs w:val="24"/>
        </w:rPr>
        <w:instrText xml:space="preserve"> </w:instrText>
      </w:r>
      <w:r>
        <w:rPr>
          <w:rFonts w:hint="eastAsia" w:ascii="黑体" w:hAnsi="黑体" w:eastAsia="黑体" w:cs="黑体"/>
          <w:b/>
          <w:bCs/>
          <w:sz w:val="24"/>
          <w:szCs w:val="24"/>
        </w:rPr>
        <w:instrText xml:space="preserve">HYPERLINK \l "_Toc106034806"</w:instrText>
      </w:r>
      <w:r>
        <w:rPr>
          <w:rStyle w:val="16"/>
          <w:rFonts w:hint="eastAsia" w:ascii="黑体" w:hAnsi="黑体" w:eastAsia="黑体" w:cs="黑体"/>
          <w:b/>
          <w:bCs/>
          <w:sz w:val="24"/>
          <w:szCs w:val="24"/>
        </w:rPr>
        <w:instrText xml:space="preserve"> </w:instrText>
      </w:r>
      <w:r>
        <w:rPr>
          <w:rStyle w:val="16"/>
          <w:rFonts w:hint="eastAsia" w:ascii="黑体" w:hAnsi="黑体" w:eastAsia="黑体" w:cs="黑体"/>
          <w:b/>
          <w:bCs/>
          <w:sz w:val="24"/>
          <w:szCs w:val="24"/>
        </w:rPr>
        <w:fldChar w:fldCharType="separate"/>
      </w:r>
      <w:r>
        <w:rPr>
          <w:rStyle w:val="16"/>
          <w:rFonts w:hint="eastAsia" w:ascii="黑体" w:hAnsi="黑体" w:eastAsia="黑体" w:cs="黑体"/>
          <w:b/>
          <w:bCs/>
          <w:sz w:val="24"/>
          <w:szCs w:val="24"/>
        </w:rPr>
        <w:t>第六篇  合同草案条款</w:t>
      </w:r>
      <w:r>
        <w:rPr>
          <w:rFonts w:hint="eastAsia" w:ascii="黑体" w:hAnsi="黑体" w:eastAsia="黑体" w:cs="黑体"/>
          <w:b/>
          <w:bCs/>
          <w:sz w:val="24"/>
          <w:szCs w:val="24"/>
        </w:rPr>
        <w:tab/>
      </w:r>
      <w:r>
        <w:rPr>
          <w:rFonts w:hint="eastAsia" w:ascii="黑体" w:hAnsi="黑体" w:eastAsia="黑体" w:cs="黑体"/>
          <w:b/>
          <w:bCs/>
          <w:sz w:val="24"/>
          <w:szCs w:val="24"/>
          <w:lang w:val="en-US" w:eastAsia="zh-CN"/>
        </w:rPr>
        <w:t>2</w:t>
      </w:r>
      <w:r>
        <w:rPr>
          <w:rStyle w:val="16"/>
          <w:rFonts w:hint="eastAsia" w:ascii="黑体" w:hAnsi="黑体" w:eastAsia="黑体" w:cs="黑体"/>
          <w:b/>
          <w:bCs/>
          <w:sz w:val="24"/>
          <w:szCs w:val="24"/>
        </w:rPr>
        <w:fldChar w:fldCharType="end"/>
      </w:r>
      <w:r>
        <w:rPr>
          <w:rStyle w:val="16"/>
          <w:rFonts w:hint="eastAsia" w:ascii="黑体" w:hAnsi="黑体" w:eastAsia="黑体" w:cs="黑体"/>
          <w:b/>
          <w:bCs/>
          <w:sz w:val="24"/>
          <w:szCs w:val="24"/>
          <w:lang w:val="en-US" w:eastAsia="zh-CN"/>
        </w:rPr>
        <w:t>2</w:t>
      </w:r>
    </w:p>
    <w:p w14:paraId="44007A49">
      <w:pPr>
        <w:pStyle w:val="11"/>
        <w:keepNext w:val="0"/>
        <w:keepLines w:val="0"/>
        <w:pageBreakBefore w:val="0"/>
        <w:widowControl w:val="0"/>
        <w:tabs>
          <w:tab w:val="right" w:leader="dot" w:pos="9402"/>
          <w:tab w:val="clear" w:pos="9515"/>
        </w:tabs>
        <w:kinsoku/>
        <w:wordWrap/>
        <w:overflowPunct/>
        <w:topLinePunct w:val="0"/>
        <w:autoSpaceDE/>
        <w:autoSpaceDN/>
        <w:bidi w:val="0"/>
        <w:adjustRightInd/>
        <w:snapToGrid/>
        <w:spacing w:line="600" w:lineRule="exact"/>
        <w:ind w:left="560"/>
        <w:jc w:val="left"/>
        <w:textAlignment w:val="auto"/>
        <w:rPr>
          <w:rFonts w:hint="eastAsia" w:ascii="黑体" w:hAnsi="黑体" w:eastAsia="黑体" w:cs="黑体"/>
          <w:b/>
          <w:bCs/>
          <w:sz w:val="24"/>
          <w:szCs w:val="24"/>
          <w:lang w:val="en-US" w:eastAsia="zh-CN"/>
        </w:rPr>
      </w:pPr>
      <w:r>
        <w:rPr>
          <w:rStyle w:val="16"/>
          <w:rFonts w:hint="eastAsia" w:ascii="黑体" w:hAnsi="黑体" w:eastAsia="黑体" w:cs="黑体"/>
          <w:b/>
          <w:bCs/>
          <w:sz w:val="24"/>
          <w:szCs w:val="24"/>
        </w:rPr>
        <w:fldChar w:fldCharType="begin"/>
      </w:r>
      <w:r>
        <w:rPr>
          <w:rStyle w:val="16"/>
          <w:rFonts w:hint="eastAsia" w:ascii="黑体" w:hAnsi="黑体" w:eastAsia="黑体" w:cs="黑体"/>
          <w:b/>
          <w:bCs/>
          <w:sz w:val="24"/>
          <w:szCs w:val="24"/>
        </w:rPr>
        <w:instrText xml:space="preserve"> </w:instrText>
      </w:r>
      <w:r>
        <w:rPr>
          <w:rFonts w:hint="eastAsia" w:ascii="黑体" w:hAnsi="黑体" w:eastAsia="黑体" w:cs="黑体"/>
          <w:b/>
          <w:bCs/>
          <w:sz w:val="24"/>
          <w:szCs w:val="24"/>
        </w:rPr>
        <w:instrText xml:space="preserve">HYPERLINK \l "_Toc106034807"</w:instrText>
      </w:r>
      <w:r>
        <w:rPr>
          <w:rStyle w:val="16"/>
          <w:rFonts w:hint="eastAsia" w:ascii="黑体" w:hAnsi="黑体" w:eastAsia="黑体" w:cs="黑体"/>
          <w:b/>
          <w:bCs/>
          <w:sz w:val="24"/>
          <w:szCs w:val="24"/>
        </w:rPr>
        <w:instrText xml:space="preserve"> </w:instrText>
      </w:r>
      <w:r>
        <w:rPr>
          <w:rStyle w:val="16"/>
          <w:rFonts w:hint="eastAsia" w:ascii="黑体" w:hAnsi="黑体" w:eastAsia="黑体" w:cs="黑体"/>
          <w:b/>
          <w:bCs/>
          <w:sz w:val="24"/>
          <w:szCs w:val="24"/>
        </w:rPr>
        <w:fldChar w:fldCharType="separate"/>
      </w:r>
      <w:r>
        <w:rPr>
          <w:rStyle w:val="16"/>
          <w:rFonts w:hint="eastAsia" w:ascii="黑体" w:hAnsi="黑体" w:eastAsia="黑体" w:cs="黑体"/>
          <w:b/>
          <w:bCs/>
          <w:sz w:val="24"/>
          <w:szCs w:val="24"/>
        </w:rPr>
        <w:t>第七篇  响应文件</w:t>
      </w:r>
      <w:r>
        <w:rPr>
          <w:rStyle w:val="16"/>
          <w:rFonts w:hint="eastAsia" w:ascii="黑体" w:hAnsi="黑体" w:eastAsia="黑体" w:cs="黑体"/>
          <w:b/>
          <w:bCs/>
          <w:sz w:val="24"/>
          <w:szCs w:val="24"/>
          <w:lang w:eastAsia="zh-CN"/>
        </w:rPr>
        <w:t>编制</w:t>
      </w:r>
      <w:r>
        <w:rPr>
          <w:rStyle w:val="16"/>
          <w:rFonts w:hint="eastAsia" w:ascii="黑体" w:hAnsi="黑体" w:eastAsia="黑体" w:cs="黑体"/>
          <w:b/>
          <w:bCs/>
          <w:sz w:val="24"/>
          <w:szCs w:val="24"/>
        </w:rPr>
        <w:t>要求</w:t>
      </w:r>
      <w:r>
        <w:rPr>
          <w:rFonts w:hint="eastAsia" w:ascii="黑体" w:hAnsi="黑体" w:eastAsia="黑体" w:cs="黑体"/>
          <w:b/>
          <w:bCs/>
          <w:sz w:val="24"/>
          <w:szCs w:val="24"/>
        </w:rPr>
        <w:tab/>
      </w:r>
      <w:r>
        <w:rPr>
          <w:rFonts w:hint="eastAsia" w:ascii="黑体" w:hAnsi="黑体" w:eastAsia="黑体" w:cs="黑体"/>
          <w:b/>
          <w:bCs/>
          <w:sz w:val="24"/>
          <w:szCs w:val="24"/>
          <w:lang w:val="en-US" w:eastAsia="zh-CN"/>
        </w:rPr>
        <w:t>2</w:t>
      </w:r>
      <w:r>
        <w:rPr>
          <w:rStyle w:val="16"/>
          <w:rFonts w:hint="eastAsia" w:ascii="黑体" w:hAnsi="黑体" w:eastAsia="黑体" w:cs="黑体"/>
          <w:b/>
          <w:bCs/>
          <w:sz w:val="24"/>
          <w:szCs w:val="24"/>
        </w:rPr>
        <w:fldChar w:fldCharType="end"/>
      </w:r>
      <w:r>
        <w:rPr>
          <w:rStyle w:val="16"/>
          <w:rFonts w:hint="eastAsia" w:ascii="黑体" w:hAnsi="黑体" w:eastAsia="黑体" w:cs="黑体"/>
          <w:b/>
          <w:bCs/>
          <w:sz w:val="24"/>
          <w:szCs w:val="24"/>
          <w:lang w:val="en-US" w:eastAsia="zh-CN"/>
        </w:rPr>
        <w:t>4</w:t>
      </w:r>
    </w:p>
    <w:p w14:paraId="2CDE9594">
      <w:pPr>
        <w:pStyle w:val="11"/>
        <w:keepNext w:val="0"/>
        <w:keepLines w:val="0"/>
        <w:pageBreakBefore w:val="0"/>
        <w:widowControl w:val="0"/>
        <w:tabs>
          <w:tab w:val="right" w:leader="dot" w:pos="9402"/>
          <w:tab w:val="clear" w:pos="9515"/>
        </w:tabs>
        <w:kinsoku/>
        <w:wordWrap/>
        <w:overflowPunct/>
        <w:topLinePunct w:val="0"/>
        <w:autoSpaceDE/>
        <w:autoSpaceDN/>
        <w:bidi w:val="0"/>
        <w:adjustRightInd/>
        <w:snapToGrid/>
        <w:spacing w:line="400" w:lineRule="exact"/>
        <w:ind w:left="560"/>
        <w:jc w:val="left"/>
        <w:textAlignment w:val="auto"/>
        <w:rPr>
          <w:rFonts w:hint="eastAsia" w:ascii="黑体" w:hAnsi="黑体" w:eastAsia="黑体" w:cs="黑体"/>
          <w:sz w:val="24"/>
          <w:szCs w:val="24"/>
        </w:rPr>
      </w:pPr>
    </w:p>
    <w:p w14:paraId="7C395C88">
      <w:pPr>
        <w:pStyle w:val="11"/>
        <w:tabs>
          <w:tab w:val="right" w:leader="dot" w:pos="9525"/>
          <w:tab w:val="clear" w:pos="9515"/>
        </w:tabs>
      </w:pPr>
      <w:r>
        <w:rPr>
          <w:rFonts w:hint="eastAsia" w:ascii="黑体" w:hAnsi="黑体" w:eastAsia="黑体" w:cs="黑体"/>
          <w:sz w:val="24"/>
          <w:szCs w:val="24"/>
        </w:rPr>
        <w:fldChar w:fldCharType="end"/>
      </w:r>
    </w:p>
    <w:p w14:paraId="6242B443">
      <w:pPr>
        <w:pStyle w:val="11"/>
        <w:rPr>
          <w:rFonts w:ascii="宋体" w:hAnsi="宋体" w:cs="宋体"/>
        </w:rPr>
        <w:sectPr>
          <w:headerReference r:id="rId4" w:type="default"/>
          <w:footerReference r:id="rId5" w:type="default"/>
          <w:pgSz w:w="11907" w:h="16840"/>
          <w:pgMar w:top="1134" w:right="1191" w:bottom="1134" w:left="1191" w:header="851" w:footer="992" w:gutter="0"/>
          <w:pgNumType w:fmt="decimal" w:start="1"/>
          <w:cols w:space="720" w:num="1"/>
          <w:docGrid w:linePitch="380" w:charSpace="-5735"/>
        </w:sectPr>
      </w:pPr>
      <w:r>
        <w:rPr>
          <w:rFonts w:hint="eastAsia" w:ascii="宋体" w:hAnsi="宋体" w:cs="宋体"/>
        </w:rPr>
        <w:fldChar w:fldCharType="end"/>
      </w:r>
      <w:bookmarkStart w:id="0" w:name="_Toc12789052"/>
      <w:bookmarkStart w:id="1" w:name="_Toc11641050"/>
    </w:p>
    <w:p w14:paraId="51C37C4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黑体" w:hAnsi="黑体" w:eastAsia="黑体" w:cs="黑体"/>
          <w:b w:val="0"/>
          <w:bCs w:val="0"/>
          <w:sz w:val="28"/>
          <w:szCs w:val="28"/>
          <w:u w:val="none"/>
          <w:lang w:eastAsia="zh-CN"/>
        </w:rPr>
      </w:pPr>
      <w:bookmarkStart w:id="2" w:name="_Toc16135"/>
      <w:r>
        <w:rPr>
          <w:rFonts w:hint="eastAsia" w:ascii="黑体" w:hAnsi="黑体" w:eastAsia="黑体" w:cs="黑体"/>
          <w:b w:val="0"/>
          <w:bCs w:val="0"/>
          <w:sz w:val="28"/>
          <w:szCs w:val="28"/>
          <w:u w:val="none"/>
          <w:lang w:eastAsia="zh-CN"/>
        </w:rPr>
        <w:t>重庆大学建筑规划设计研究总院有限公司</w:t>
      </w:r>
    </w:p>
    <w:p w14:paraId="7355C05E">
      <w:pPr>
        <w:jc w:val="center"/>
        <w:rPr>
          <w:rFonts w:hint="eastAsia" w:ascii="黑体" w:hAnsi="黑体" w:eastAsia="黑体" w:cs="黑体"/>
          <w:b/>
          <w:bCs/>
          <w:color w:val="auto"/>
          <w:sz w:val="30"/>
          <w:szCs w:val="30"/>
        </w:rPr>
      </w:pPr>
      <w:r>
        <w:rPr>
          <w:rFonts w:hint="eastAsia" w:ascii="黑体" w:hAnsi="黑体" w:eastAsia="黑体" w:cs="黑体"/>
          <w:b/>
          <w:bCs/>
          <w:color w:val="auto"/>
          <w:sz w:val="30"/>
          <w:szCs w:val="30"/>
        </w:rPr>
        <w:t>采购文件</w:t>
      </w:r>
      <w:r>
        <w:rPr>
          <w:rFonts w:hint="eastAsia" w:ascii="黑体" w:hAnsi="黑体" w:eastAsia="黑体" w:cs="黑体"/>
          <w:b/>
          <w:bCs/>
          <w:color w:val="auto"/>
          <w:sz w:val="30"/>
          <w:szCs w:val="30"/>
          <w:lang w:eastAsia="zh-CN"/>
        </w:rPr>
        <w:t>领取</w:t>
      </w:r>
      <w:r>
        <w:rPr>
          <w:rFonts w:hint="eastAsia" w:ascii="黑体" w:hAnsi="黑体" w:eastAsia="黑体" w:cs="黑体"/>
          <w:b/>
          <w:bCs/>
          <w:color w:val="auto"/>
          <w:sz w:val="30"/>
          <w:szCs w:val="30"/>
        </w:rPr>
        <w:t>登记表</w:t>
      </w:r>
    </w:p>
    <w:p w14:paraId="0E3677CC">
      <w:pPr>
        <w:jc w:val="center"/>
        <w:rPr>
          <w:rFonts w:hint="eastAsia" w:ascii="黑体" w:hAnsi="黑体" w:eastAsia="黑体" w:cs="黑体"/>
          <w:b/>
          <w:bCs/>
          <w:color w:val="auto"/>
          <w:sz w:val="32"/>
          <w:szCs w:val="32"/>
        </w:rPr>
      </w:pPr>
    </w:p>
    <w:tbl>
      <w:tblPr>
        <w:tblStyle w:val="12"/>
        <w:tblW w:w="9285" w:type="dxa"/>
        <w:tblInd w:w="2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5"/>
        <w:gridCol w:w="1290"/>
        <w:gridCol w:w="993"/>
        <w:gridCol w:w="4467"/>
      </w:tblGrid>
      <w:tr w14:paraId="43000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2535" w:type="dxa"/>
            <w:vAlign w:val="center"/>
          </w:tcPr>
          <w:p w14:paraId="4527BD04">
            <w:pPr>
              <w:jc w:val="both"/>
              <w:rPr>
                <w:rFonts w:hint="eastAsia" w:ascii="黑体" w:hAnsi="黑体" w:eastAsia="黑体" w:cs="黑体"/>
                <w:sz w:val="24"/>
                <w:szCs w:val="24"/>
              </w:rPr>
            </w:pPr>
            <w:r>
              <w:rPr>
                <w:rFonts w:hint="eastAsia" w:ascii="黑体" w:hAnsi="黑体" w:eastAsia="黑体" w:cs="黑体"/>
                <w:sz w:val="24"/>
                <w:szCs w:val="24"/>
              </w:rPr>
              <w:t>项目名称</w:t>
            </w:r>
          </w:p>
        </w:tc>
        <w:tc>
          <w:tcPr>
            <w:tcW w:w="6750" w:type="dxa"/>
            <w:gridSpan w:val="3"/>
            <w:vAlign w:val="center"/>
          </w:tcPr>
          <w:p w14:paraId="068391B1">
            <w:pPr>
              <w:jc w:val="both"/>
              <w:rPr>
                <w:rFonts w:hint="eastAsia" w:ascii="黑体" w:hAnsi="黑体" w:eastAsia="黑体" w:cs="黑体"/>
                <w:sz w:val="24"/>
                <w:szCs w:val="24"/>
              </w:rPr>
            </w:pPr>
          </w:p>
        </w:tc>
      </w:tr>
      <w:tr w14:paraId="555E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trPr>
        <w:tc>
          <w:tcPr>
            <w:tcW w:w="2535" w:type="dxa"/>
            <w:vAlign w:val="center"/>
          </w:tcPr>
          <w:p w14:paraId="5063136D">
            <w:pPr>
              <w:jc w:val="both"/>
              <w:rPr>
                <w:rFonts w:hint="eastAsia" w:ascii="黑体" w:hAnsi="黑体" w:eastAsia="黑体" w:cs="黑体"/>
                <w:sz w:val="24"/>
                <w:szCs w:val="24"/>
              </w:rPr>
            </w:pPr>
            <w:r>
              <w:rPr>
                <w:rFonts w:hint="eastAsia" w:ascii="黑体" w:hAnsi="黑体" w:eastAsia="黑体" w:cs="黑体"/>
                <w:sz w:val="24"/>
                <w:szCs w:val="24"/>
                <w:lang w:eastAsia="zh-CN"/>
              </w:rPr>
              <w:t>投标人</w:t>
            </w:r>
            <w:r>
              <w:rPr>
                <w:rFonts w:hint="eastAsia" w:ascii="黑体" w:hAnsi="黑体" w:eastAsia="黑体" w:cs="黑体"/>
                <w:sz w:val="24"/>
                <w:szCs w:val="24"/>
              </w:rPr>
              <w:t>名称</w:t>
            </w:r>
          </w:p>
        </w:tc>
        <w:tc>
          <w:tcPr>
            <w:tcW w:w="6750" w:type="dxa"/>
            <w:gridSpan w:val="3"/>
            <w:vAlign w:val="bottom"/>
          </w:tcPr>
          <w:p w14:paraId="23A2CCA5">
            <w:pPr>
              <w:jc w:val="right"/>
              <w:rPr>
                <w:rFonts w:hint="eastAsia" w:ascii="黑体" w:hAnsi="黑体" w:eastAsia="黑体" w:cs="黑体"/>
                <w:sz w:val="24"/>
                <w:szCs w:val="24"/>
              </w:rPr>
            </w:pPr>
            <w:r>
              <w:rPr>
                <w:rFonts w:hint="eastAsia" w:ascii="黑体" w:hAnsi="黑体" w:eastAsia="黑体" w:cs="黑体"/>
                <w:sz w:val="24"/>
                <w:szCs w:val="24"/>
              </w:rPr>
              <w:t>（公章）</w:t>
            </w:r>
          </w:p>
        </w:tc>
      </w:tr>
      <w:tr w14:paraId="1E41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535" w:type="dxa"/>
            <w:vAlign w:val="center"/>
          </w:tcPr>
          <w:p w14:paraId="643A33BF">
            <w:pPr>
              <w:jc w:val="both"/>
              <w:rPr>
                <w:rFonts w:hint="eastAsia" w:ascii="黑体" w:hAnsi="黑体" w:eastAsia="黑体" w:cs="黑体"/>
                <w:sz w:val="24"/>
                <w:szCs w:val="24"/>
                <w:lang w:eastAsia="zh-CN"/>
              </w:rPr>
            </w:pPr>
            <w:r>
              <w:rPr>
                <w:rFonts w:hint="eastAsia" w:ascii="黑体" w:hAnsi="黑体" w:eastAsia="黑体" w:cs="黑体"/>
                <w:sz w:val="24"/>
                <w:szCs w:val="24"/>
                <w:lang w:eastAsia="zh-CN"/>
              </w:rPr>
              <w:t>文件售价</w:t>
            </w:r>
          </w:p>
        </w:tc>
        <w:tc>
          <w:tcPr>
            <w:tcW w:w="6750" w:type="dxa"/>
            <w:gridSpan w:val="3"/>
            <w:vAlign w:val="center"/>
          </w:tcPr>
          <w:p w14:paraId="6ED7C31E">
            <w:pPr>
              <w:jc w:val="center"/>
              <w:rPr>
                <w:rFonts w:hint="eastAsia" w:ascii="黑体" w:hAnsi="黑体" w:eastAsia="黑体" w:cs="黑体"/>
                <w:sz w:val="24"/>
                <w:szCs w:val="24"/>
              </w:rPr>
            </w:pPr>
            <w:r>
              <w:rPr>
                <w:rFonts w:hint="eastAsia" w:ascii="黑体" w:hAnsi="黑体" w:eastAsia="黑体" w:cs="黑体"/>
                <w:sz w:val="24"/>
                <w:szCs w:val="24"/>
                <w:lang w:val="en-US" w:eastAsia="zh-CN"/>
              </w:rPr>
              <w:t>500元/份（售后不退）</w:t>
            </w:r>
          </w:p>
        </w:tc>
      </w:tr>
      <w:tr w14:paraId="14725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535" w:type="dxa"/>
            <w:vAlign w:val="center"/>
          </w:tcPr>
          <w:p w14:paraId="7E9CFCD7">
            <w:pPr>
              <w:jc w:val="both"/>
              <w:rPr>
                <w:rFonts w:hint="eastAsia" w:ascii="黑体" w:hAnsi="黑体" w:eastAsia="黑体" w:cs="黑体"/>
                <w:sz w:val="24"/>
                <w:szCs w:val="24"/>
              </w:rPr>
            </w:pPr>
            <w:r>
              <w:rPr>
                <w:rFonts w:hint="eastAsia" w:ascii="黑体" w:hAnsi="黑体" w:eastAsia="黑体" w:cs="黑体"/>
                <w:sz w:val="24"/>
                <w:szCs w:val="24"/>
              </w:rPr>
              <w:t>联系人</w:t>
            </w:r>
          </w:p>
        </w:tc>
        <w:tc>
          <w:tcPr>
            <w:tcW w:w="1290" w:type="dxa"/>
            <w:vAlign w:val="center"/>
          </w:tcPr>
          <w:p w14:paraId="4FF0A5A6">
            <w:pPr>
              <w:jc w:val="both"/>
              <w:rPr>
                <w:rFonts w:hint="eastAsia" w:ascii="黑体" w:hAnsi="黑体" w:eastAsia="黑体" w:cs="黑体"/>
                <w:sz w:val="24"/>
                <w:szCs w:val="24"/>
              </w:rPr>
            </w:pPr>
          </w:p>
        </w:tc>
        <w:tc>
          <w:tcPr>
            <w:tcW w:w="993" w:type="dxa"/>
            <w:vAlign w:val="center"/>
          </w:tcPr>
          <w:p w14:paraId="29C07068">
            <w:pPr>
              <w:jc w:val="both"/>
              <w:rPr>
                <w:rFonts w:hint="eastAsia" w:ascii="黑体" w:hAnsi="黑体" w:eastAsia="黑体" w:cs="黑体"/>
                <w:sz w:val="24"/>
                <w:szCs w:val="24"/>
              </w:rPr>
            </w:pPr>
            <w:r>
              <w:rPr>
                <w:rFonts w:hint="eastAsia" w:ascii="黑体" w:hAnsi="黑体" w:eastAsia="黑体" w:cs="黑体"/>
                <w:sz w:val="24"/>
                <w:szCs w:val="24"/>
              </w:rPr>
              <w:t>手机</w:t>
            </w:r>
          </w:p>
        </w:tc>
        <w:tc>
          <w:tcPr>
            <w:tcW w:w="4467" w:type="dxa"/>
            <w:vAlign w:val="center"/>
          </w:tcPr>
          <w:p w14:paraId="268981E6">
            <w:pPr>
              <w:jc w:val="both"/>
              <w:rPr>
                <w:rFonts w:hint="eastAsia" w:ascii="黑体" w:hAnsi="黑体" w:eastAsia="黑体" w:cs="黑体"/>
                <w:sz w:val="24"/>
                <w:szCs w:val="24"/>
              </w:rPr>
            </w:pPr>
          </w:p>
        </w:tc>
      </w:tr>
      <w:tr w14:paraId="40C1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535" w:type="dxa"/>
            <w:vAlign w:val="center"/>
          </w:tcPr>
          <w:p w14:paraId="1903C8E3">
            <w:pPr>
              <w:jc w:val="both"/>
              <w:rPr>
                <w:rFonts w:hint="eastAsia" w:ascii="黑体" w:hAnsi="黑体" w:eastAsia="黑体" w:cs="黑体"/>
                <w:sz w:val="24"/>
                <w:szCs w:val="24"/>
              </w:rPr>
            </w:pPr>
            <w:r>
              <w:rPr>
                <w:rFonts w:hint="eastAsia" w:ascii="黑体" w:hAnsi="黑体" w:eastAsia="黑体" w:cs="黑体"/>
                <w:sz w:val="24"/>
                <w:szCs w:val="24"/>
              </w:rPr>
              <w:t>办公电话</w:t>
            </w:r>
          </w:p>
        </w:tc>
        <w:tc>
          <w:tcPr>
            <w:tcW w:w="1290" w:type="dxa"/>
            <w:vAlign w:val="center"/>
          </w:tcPr>
          <w:p w14:paraId="31639469">
            <w:pPr>
              <w:jc w:val="both"/>
              <w:rPr>
                <w:rFonts w:hint="eastAsia" w:ascii="黑体" w:hAnsi="黑体" w:eastAsia="黑体" w:cs="黑体"/>
                <w:sz w:val="24"/>
                <w:szCs w:val="24"/>
              </w:rPr>
            </w:pPr>
          </w:p>
        </w:tc>
        <w:tc>
          <w:tcPr>
            <w:tcW w:w="993" w:type="dxa"/>
            <w:vAlign w:val="center"/>
          </w:tcPr>
          <w:p w14:paraId="22D4A835">
            <w:pPr>
              <w:jc w:val="both"/>
              <w:rPr>
                <w:rFonts w:hint="eastAsia" w:ascii="黑体" w:hAnsi="黑体" w:eastAsia="黑体" w:cs="黑体"/>
                <w:sz w:val="24"/>
                <w:szCs w:val="24"/>
              </w:rPr>
            </w:pPr>
            <w:r>
              <w:rPr>
                <w:rFonts w:hint="eastAsia" w:ascii="黑体" w:hAnsi="黑体" w:eastAsia="黑体" w:cs="黑体"/>
                <w:sz w:val="24"/>
                <w:szCs w:val="24"/>
              </w:rPr>
              <w:t>传真</w:t>
            </w:r>
          </w:p>
        </w:tc>
        <w:tc>
          <w:tcPr>
            <w:tcW w:w="4467" w:type="dxa"/>
            <w:vAlign w:val="center"/>
          </w:tcPr>
          <w:p w14:paraId="22E99929">
            <w:pPr>
              <w:jc w:val="both"/>
              <w:rPr>
                <w:rFonts w:hint="eastAsia" w:ascii="黑体" w:hAnsi="黑体" w:eastAsia="黑体" w:cs="黑体"/>
                <w:sz w:val="24"/>
                <w:szCs w:val="24"/>
              </w:rPr>
            </w:pPr>
          </w:p>
        </w:tc>
      </w:tr>
      <w:tr w14:paraId="299A0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535" w:type="dxa"/>
            <w:vAlign w:val="center"/>
          </w:tcPr>
          <w:p w14:paraId="33AA0608">
            <w:pPr>
              <w:jc w:val="both"/>
              <w:rPr>
                <w:rFonts w:hint="eastAsia" w:ascii="黑体" w:hAnsi="黑体" w:eastAsia="黑体" w:cs="黑体"/>
                <w:sz w:val="24"/>
                <w:szCs w:val="24"/>
              </w:rPr>
            </w:pPr>
            <w:r>
              <w:rPr>
                <w:rFonts w:hint="eastAsia" w:ascii="黑体" w:hAnsi="黑体" w:eastAsia="黑体" w:cs="黑体"/>
                <w:sz w:val="24"/>
                <w:szCs w:val="24"/>
              </w:rPr>
              <w:t>E-mail</w:t>
            </w:r>
          </w:p>
        </w:tc>
        <w:tc>
          <w:tcPr>
            <w:tcW w:w="6750" w:type="dxa"/>
            <w:gridSpan w:val="3"/>
            <w:vAlign w:val="center"/>
          </w:tcPr>
          <w:p w14:paraId="44FDF2AE">
            <w:pPr>
              <w:jc w:val="both"/>
              <w:rPr>
                <w:rFonts w:hint="eastAsia" w:ascii="黑体" w:hAnsi="黑体" w:eastAsia="黑体" w:cs="黑体"/>
                <w:sz w:val="24"/>
                <w:szCs w:val="24"/>
              </w:rPr>
            </w:pPr>
          </w:p>
        </w:tc>
      </w:tr>
      <w:tr w14:paraId="45925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535" w:type="dxa"/>
            <w:vAlign w:val="center"/>
          </w:tcPr>
          <w:p w14:paraId="78345E32">
            <w:pPr>
              <w:jc w:val="both"/>
              <w:rPr>
                <w:rFonts w:hint="eastAsia" w:ascii="黑体" w:hAnsi="黑体" w:eastAsia="黑体" w:cs="黑体"/>
                <w:sz w:val="24"/>
                <w:szCs w:val="24"/>
              </w:rPr>
            </w:pPr>
            <w:r>
              <w:rPr>
                <w:rFonts w:hint="eastAsia" w:ascii="黑体" w:hAnsi="黑体" w:eastAsia="黑体" w:cs="黑体"/>
                <w:sz w:val="24"/>
                <w:szCs w:val="24"/>
                <w:lang w:eastAsia="zh-CN"/>
              </w:rPr>
              <w:t>投标人</w:t>
            </w:r>
            <w:r>
              <w:rPr>
                <w:rFonts w:hint="eastAsia" w:ascii="黑体" w:hAnsi="黑体" w:eastAsia="黑体" w:cs="黑体"/>
                <w:sz w:val="24"/>
                <w:szCs w:val="24"/>
              </w:rPr>
              <w:t>地址</w:t>
            </w:r>
          </w:p>
        </w:tc>
        <w:tc>
          <w:tcPr>
            <w:tcW w:w="6750" w:type="dxa"/>
            <w:gridSpan w:val="3"/>
            <w:vAlign w:val="center"/>
          </w:tcPr>
          <w:p w14:paraId="44B3E65A">
            <w:pPr>
              <w:jc w:val="both"/>
              <w:rPr>
                <w:rFonts w:hint="eastAsia" w:ascii="黑体" w:hAnsi="黑体" w:eastAsia="黑体" w:cs="黑体"/>
                <w:sz w:val="24"/>
                <w:szCs w:val="24"/>
              </w:rPr>
            </w:pPr>
          </w:p>
        </w:tc>
      </w:tr>
      <w:tr w14:paraId="6B819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trPr>
        <w:tc>
          <w:tcPr>
            <w:tcW w:w="9285" w:type="dxa"/>
            <w:gridSpan w:val="4"/>
            <w:vAlign w:val="center"/>
          </w:tcPr>
          <w:p w14:paraId="176289CD">
            <w:pPr>
              <w:jc w:val="both"/>
              <w:rPr>
                <w:rFonts w:hint="eastAsia" w:ascii="黑体" w:hAnsi="黑体" w:eastAsia="黑体" w:cs="黑体"/>
                <w:sz w:val="24"/>
                <w:szCs w:val="24"/>
              </w:rPr>
            </w:pPr>
            <w:r>
              <w:rPr>
                <w:rFonts w:hint="eastAsia" w:ascii="黑体" w:hAnsi="黑体" w:eastAsia="黑体" w:cs="黑体"/>
                <w:sz w:val="24"/>
                <w:szCs w:val="24"/>
              </w:rPr>
              <w:t>备注：</w:t>
            </w:r>
          </w:p>
        </w:tc>
      </w:tr>
    </w:tbl>
    <w:p w14:paraId="58978659">
      <w:pPr>
        <w:pStyle w:val="20"/>
        <w:spacing w:before="0" w:after="0"/>
        <w:ind w:left="0" w:leftChars="0" w:right="0" w:firstLine="0" w:firstLineChars="0"/>
        <w:jc w:val="both"/>
        <w:rPr>
          <w:rFonts w:hint="eastAsia" w:ascii="黑体" w:hAnsi="黑体" w:eastAsia="黑体" w:cs="黑体"/>
          <w:i w:val="0"/>
          <w:iCs/>
          <w:color w:val="auto"/>
          <w:sz w:val="24"/>
          <w:szCs w:val="24"/>
        </w:rPr>
      </w:pPr>
    </w:p>
    <w:p w14:paraId="0033D0E5">
      <w:pPr>
        <w:spacing w:line="360" w:lineRule="auto"/>
        <w:jc w:val="both"/>
        <w:rPr>
          <w:rFonts w:hint="eastAsia" w:ascii="黑体" w:hAnsi="黑体" w:eastAsia="黑体" w:cs="黑体"/>
          <w:b/>
          <w:sz w:val="24"/>
          <w:szCs w:val="24"/>
        </w:rPr>
      </w:pPr>
      <w:r>
        <w:rPr>
          <w:rFonts w:hint="eastAsia" w:ascii="黑体" w:hAnsi="黑体" w:eastAsia="黑体" w:cs="黑体"/>
          <w:b/>
          <w:sz w:val="24"/>
          <w:szCs w:val="24"/>
        </w:rPr>
        <w:t>说明：</w:t>
      </w:r>
    </w:p>
    <w:p w14:paraId="63135675">
      <w:pPr>
        <w:numPr>
          <w:ilvl w:val="0"/>
          <w:numId w:val="1"/>
        </w:numPr>
        <w:spacing w:line="360" w:lineRule="auto"/>
        <w:ind w:firstLine="480" w:firstLineChars="200"/>
        <w:jc w:val="both"/>
        <w:rPr>
          <w:rFonts w:hint="eastAsia" w:ascii="黑体" w:hAnsi="黑体" w:eastAsia="黑体" w:cs="黑体"/>
          <w:color w:val="000000" w:themeColor="text1"/>
          <w:sz w:val="24"/>
          <w:szCs w:val="24"/>
          <w:u w:val="none"/>
          <w14:textFill>
            <w14:solidFill>
              <w14:schemeClr w14:val="tx1"/>
            </w14:solidFill>
          </w14:textFill>
        </w:rPr>
      </w:pPr>
      <w:r>
        <w:rPr>
          <w:rFonts w:hint="eastAsia" w:ascii="黑体" w:hAnsi="黑体" w:eastAsia="黑体" w:cs="黑体"/>
          <w:color w:val="000000" w:themeColor="text1"/>
          <w:sz w:val="24"/>
          <w:szCs w:val="24"/>
          <w:u w:val="none"/>
          <w14:textFill>
            <w14:solidFill>
              <w14:schemeClr w14:val="tx1"/>
            </w14:solidFill>
          </w14:textFill>
        </w:rPr>
        <w:fldChar w:fldCharType="begin"/>
      </w:r>
      <w:r>
        <w:rPr>
          <w:rFonts w:hint="eastAsia" w:ascii="黑体" w:hAnsi="黑体" w:eastAsia="黑体" w:cs="黑体"/>
          <w:color w:val="000000" w:themeColor="text1"/>
          <w:sz w:val="24"/>
          <w:szCs w:val="24"/>
          <w:u w:val="none"/>
          <w14:textFill>
            <w14:solidFill>
              <w14:schemeClr w14:val="tx1"/>
            </w14:solidFill>
          </w14:textFill>
        </w:rPr>
        <w:instrText xml:space="preserve"> HYPERLINK "mailto:将《报名登记表》（加盖投标人公章）扫描后发送至402019280@qq.com（邮箱）" </w:instrText>
      </w:r>
      <w:r>
        <w:rPr>
          <w:rFonts w:hint="eastAsia" w:ascii="黑体" w:hAnsi="黑体" w:eastAsia="黑体" w:cs="黑体"/>
          <w:color w:val="000000" w:themeColor="text1"/>
          <w:sz w:val="24"/>
          <w:szCs w:val="24"/>
          <w:u w:val="none"/>
          <w14:textFill>
            <w14:solidFill>
              <w14:schemeClr w14:val="tx1"/>
            </w14:solidFill>
          </w14:textFill>
        </w:rPr>
        <w:fldChar w:fldCharType="separate"/>
      </w:r>
      <w:r>
        <w:rPr>
          <w:rStyle w:val="16"/>
          <w:rFonts w:hint="eastAsia" w:ascii="黑体" w:hAnsi="黑体" w:eastAsia="黑体" w:cs="黑体"/>
          <w:color w:val="000000" w:themeColor="text1"/>
          <w:sz w:val="24"/>
          <w:szCs w:val="24"/>
          <w:u w:val="none"/>
          <w14:textFill>
            <w14:solidFill>
              <w14:schemeClr w14:val="tx1"/>
            </w14:solidFill>
          </w14:textFill>
        </w:rPr>
        <w:t>将《</w:t>
      </w:r>
      <w:r>
        <w:rPr>
          <w:rStyle w:val="16"/>
          <w:rFonts w:hint="eastAsia" w:ascii="黑体" w:hAnsi="黑体" w:eastAsia="黑体" w:cs="黑体"/>
          <w:color w:val="000000" w:themeColor="text1"/>
          <w:sz w:val="24"/>
          <w:szCs w:val="24"/>
          <w:u w:val="none"/>
          <w:lang w:val="en-US" w:eastAsia="zh-CN"/>
          <w14:textFill>
            <w14:solidFill>
              <w14:schemeClr w14:val="tx1"/>
            </w14:solidFill>
          </w14:textFill>
        </w:rPr>
        <w:t>采购文件领取登记</w:t>
      </w:r>
      <w:r>
        <w:rPr>
          <w:rStyle w:val="16"/>
          <w:rFonts w:hint="eastAsia" w:ascii="黑体" w:hAnsi="黑体" w:eastAsia="黑体" w:cs="黑体"/>
          <w:color w:val="000000" w:themeColor="text1"/>
          <w:sz w:val="24"/>
          <w:szCs w:val="24"/>
          <w:u w:val="none"/>
          <w14:textFill>
            <w14:solidFill>
              <w14:schemeClr w14:val="tx1"/>
            </w14:solidFill>
          </w14:textFill>
        </w:rPr>
        <w:t>表》（加盖</w:t>
      </w:r>
      <w:r>
        <w:rPr>
          <w:rStyle w:val="16"/>
          <w:rFonts w:hint="eastAsia" w:ascii="黑体" w:hAnsi="黑体" w:eastAsia="黑体" w:cs="黑体"/>
          <w:color w:val="000000" w:themeColor="text1"/>
          <w:sz w:val="24"/>
          <w:szCs w:val="24"/>
          <w:u w:val="none"/>
          <w:lang w:val="en-US" w:eastAsia="zh-CN"/>
          <w14:textFill>
            <w14:solidFill>
              <w14:schemeClr w14:val="tx1"/>
            </w14:solidFill>
          </w14:textFill>
        </w:rPr>
        <w:t>投标人</w:t>
      </w:r>
      <w:r>
        <w:rPr>
          <w:rStyle w:val="16"/>
          <w:rFonts w:hint="eastAsia" w:ascii="黑体" w:hAnsi="黑体" w:eastAsia="黑体" w:cs="黑体"/>
          <w:color w:val="000000" w:themeColor="text1"/>
          <w:sz w:val="24"/>
          <w:szCs w:val="24"/>
          <w:u w:val="none"/>
          <w14:textFill>
            <w14:solidFill>
              <w14:schemeClr w14:val="tx1"/>
            </w14:solidFill>
          </w14:textFill>
        </w:rPr>
        <w:t>公章）扫描后发送至</w:t>
      </w:r>
      <w:r>
        <w:rPr>
          <w:rStyle w:val="16"/>
          <w:rFonts w:hint="eastAsia" w:ascii="黑体" w:hAnsi="黑体" w:eastAsia="黑体" w:cs="黑体"/>
          <w:color w:val="000000" w:themeColor="text1"/>
          <w:sz w:val="24"/>
          <w:szCs w:val="24"/>
          <w:highlight w:val="none"/>
          <w:u w:val="none"/>
          <w:lang w:val="en-US" w:eastAsia="zh-CN" w:bidi="ar"/>
          <w14:textFill>
            <w14:solidFill>
              <w14:schemeClr w14:val="tx1"/>
            </w14:solidFill>
          </w14:textFill>
        </w:rPr>
        <w:t>947936315</w:t>
      </w:r>
      <w:r>
        <w:rPr>
          <w:rStyle w:val="16"/>
          <w:rFonts w:hint="eastAsia" w:ascii="黑体" w:hAnsi="黑体" w:eastAsia="黑体" w:cs="黑体"/>
          <w:color w:val="000000" w:themeColor="text1"/>
          <w:sz w:val="24"/>
          <w:szCs w:val="24"/>
          <w:u w:val="none"/>
          <w14:textFill>
            <w14:solidFill>
              <w14:schemeClr w14:val="tx1"/>
            </w14:solidFill>
          </w14:textFill>
        </w:rPr>
        <w:t>@qq.com（邮箱）</w:t>
      </w:r>
      <w:r>
        <w:rPr>
          <w:rFonts w:hint="eastAsia" w:ascii="黑体" w:hAnsi="黑体" w:eastAsia="黑体" w:cs="黑体"/>
          <w:color w:val="000000" w:themeColor="text1"/>
          <w:sz w:val="24"/>
          <w:szCs w:val="24"/>
          <w:u w:val="none"/>
          <w14:textFill>
            <w14:solidFill>
              <w14:schemeClr w14:val="tx1"/>
            </w14:solidFill>
          </w14:textFill>
        </w:rPr>
        <w:fldChar w:fldCharType="end"/>
      </w:r>
      <w:r>
        <w:rPr>
          <w:rFonts w:hint="eastAsia" w:ascii="黑体" w:hAnsi="黑体" w:eastAsia="黑体" w:cs="黑体"/>
          <w:color w:val="000000" w:themeColor="text1"/>
          <w:sz w:val="24"/>
          <w:szCs w:val="24"/>
          <w:u w:val="none"/>
          <w:lang w:eastAsia="zh-CN"/>
          <w14:textFill>
            <w14:solidFill>
              <w14:schemeClr w14:val="tx1"/>
            </w14:solidFill>
          </w14:textFill>
        </w:rPr>
        <w:t>。</w:t>
      </w:r>
    </w:p>
    <w:p w14:paraId="463E5439">
      <w:pPr>
        <w:ind w:firstLine="480" w:firstLineChars="200"/>
        <w:jc w:val="both"/>
        <w:rPr>
          <w:rFonts w:hint="eastAsia" w:ascii="黑体" w:hAnsi="黑体" w:eastAsia="黑体" w:cs="黑体"/>
          <w:sz w:val="24"/>
          <w:szCs w:val="24"/>
          <w:lang w:val="en-US" w:eastAsia="zh-CN"/>
        </w:rPr>
      </w:pPr>
    </w:p>
    <w:p w14:paraId="5EB0D99F">
      <w:pPr>
        <w:ind w:firstLine="480" w:firstLineChars="200"/>
        <w:jc w:val="both"/>
        <w:rPr>
          <w:rFonts w:hint="eastAsia" w:ascii="黑体" w:hAnsi="黑体" w:eastAsia="黑体" w:cs="黑体"/>
          <w:b w:val="0"/>
          <w:bCs/>
          <w:color w:val="auto"/>
          <w:sz w:val="24"/>
          <w:szCs w:val="24"/>
          <w:highlight w:val="none"/>
          <w:u w:val="none"/>
        </w:rPr>
      </w:pPr>
      <w:r>
        <w:rPr>
          <w:rFonts w:hint="eastAsia" w:ascii="黑体" w:hAnsi="黑体" w:eastAsia="黑体" w:cs="黑体"/>
          <w:sz w:val="24"/>
          <w:szCs w:val="24"/>
          <w:u w:val="none"/>
          <w:lang w:val="en-US" w:eastAsia="zh-CN"/>
        </w:rPr>
        <w:t>2.投标人</w:t>
      </w:r>
      <w:r>
        <w:rPr>
          <w:rFonts w:hint="eastAsia" w:ascii="黑体" w:hAnsi="黑体" w:eastAsia="黑体" w:cs="黑体"/>
          <w:sz w:val="24"/>
          <w:szCs w:val="24"/>
          <w:u w:val="none"/>
          <w:lang w:eastAsia="zh-CN"/>
        </w:rPr>
        <w:t>在</w:t>
      </w:r>
      <w:r>
        <w:rPr>
          <w:rFonts w:hint="eastAsia" w:ascii="黑体" w:hAnsi="黑体" w:eastAsia="黑体" w:cs="黑体"/>
          <w:sz w:val="24"/>
          <w:szCs w:val="24"/>
        </w:rPr>
        <w:t>按规定报名</w:t>
      </w:r>
      <w:r>
        <w:rPr>
          <w:rFonts w:hint="eastAsia" w:ascii="黑体" w:hAnsi="黑体" w:eastAsia="黑体" w:cs="黑体"/>
          <w:sz w:val="24"/>
          <w:szCs w:val="24"/>
          <w:lang w:eastAsia="zh-CN"/>
        </w:rPr>
        <w:t>并缴纳文件成本费</w:t>
      </w:r>
      <w:r>
        <w:rPr>
          <w:rFonts w:hint="eastAsia" w:ascii="黑体" w:hAnsi="黑体" w:eastAsia="黑体" w:cs="黑体"/>
          <w:sz w:val="24"/>
          <w:szCs w:val="24"/>
          <w:u w:val="none"/>
          <w:lang w:eastAsia="zh-CN"/>
        </w:rPr>
        <w:t>。</w:t>
      </w:r>
    </w:p>
    <w:p w14:paraId="27F66A8E">
      <w:pPr>
        <w:pStyle w:val="2"/>
        <w:pageBreakBefore/>
        <w:spacing w:line="360" w:lineRule="auto"/>
        <w:jc w:val="center"/>
        <w:rPr>
          <w:rFonts w:ascii="宋体" w:hAnsi="宋体" w:eastAsia="宋体" w:cs="宋体"/>
          <w:sz w:val="32"/>
          <w:szCs w:val="32"/>
        </w:rPr>
      </w:pPr>
      <w:r>
        <w:rPr>
          <w:rFonts w:hint="eastAsia" w:ascii="宋体" w:hAnsi="宋体" w:eastAsia="宋体" w:cs="宋体"/>
          <w:sz w:val="32"/>
          <w:szCs w:val="32"/>
        </w:rPr>
        <w:t>第一篇  采购邀请书</w:t>
      </w:r>
      <w:bookmarkEnd w:id="0"/>
      <w:bookmarkEnd w:id="1"/>
      <w:bookmarkEnd w:id="2"/>
    </w:p>
    <w:p w14:paraId="49B4793E">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r>
        <w:rPr>
          <w:rFonts w:hint="eastAsia" w:ascii="黑体" w:hAnsi="黑体" w:eastAsia="黑体" w:cs="黑体"/>
          <w:sz w:val="24"/>
          <w:szCs w:val="24"/>
          <w:u w:val="single"/>
          <w:lang w:eastAsia="zh-CN"/>
        </w:rPr>
        <w:t>重庆大学建筑规划设计研究总院有限公司</w:t>
      </w:r>
      <w:r>
        <w:rPr>
          <w:rFonts w:hint="eastAsia" w:ascii="宋体" w:hAnsi="宋体" w:cs="宋体"/>
          <w:sz w:val="24"/>
          <w:szCs w:val="24"/>
          <w:u w:val="none"/>
        </w:rPr>
        <w:t>（</w:t>
      </w:r>
      <w:r>
        <w:rPr>
          <w:rFonts w:hint="eastAsia" w:ascii="黑体" w:hAnsi="黑体" w:eastAsia="黑体" w:cs="黑体"/>
          <w:sz w:val="24"/>
          <w:szCs w:val="24"/>
          <w:u w:val="none"/>
          <w:lang w:eastAsia="zh-CN"/>
        </w:rPr>
        <w:t>以下简称：采购代理机构）受</w:t>
      </w:r>
      <w:r>
        <w:rPr>
          <w:rFonts w:hint="eastAsia" w:ascii="黑体" w:hAnsi="黑体" w:eastAsia="黑体" w:cs="黑体"/>
          <w:sz w:val="24"/>
          <w:szCs w:val="24"/>
          <w:u w:val="single"/>
          <w:lang w:eastAsia="zh-CN"/>
        </w:rPr>
        <w:t>重庆泽足水务投资建设有限公司</w:t>
      </w:r>
      <w:r>
        <w:rPr>
          <w:rFonts w:hint="eastAsia" w:ascii="黑体" w:hAnsi="黑体" w:eastAsia="黑体" w:cs="黑体"/>
          <w:sz w:val="24"/>
          <w:szCs w:val="24"/>
          <w:u w:val="none"/>
          <w:lang w:eastAsia="zh-CN"/>
        </w:rPr>
        <w:t>（以下简称：采购人）的委托，对</w:t>
      </w:r>
      <w:r>
        <w:rPr>
          <w:rFonts w:hint="eastAsia" w:ascii="黑体" w:hAnsi="黑体" w:eastAsia="黑体" w:cs="黑体"/>
          <w:sz w:val="24"/>
          <w:szCs w:val="24"/>
          <w:u w:val="single"/>
          <w:lang w:eastAsia="zh-CN"/>
        </w:rPr>
        <w:t>泽足公司制水药品采购</w:t>
      </w:r>
      <w:r>
        <w:rPr>
          <w:rFonts w:hint="eastAsia" w:ascii="黑体" w:hAnsi="黑体" w:eastAsia="黑体" w:cs="黑体"/>
          <w:sz w:val="24"/>
          <w:szCs w:val="24"/>
          <w:u w:val="none"/>
          <w:lang w:eastAsia="zh-CN"/>
        </w:rPr>
        <w:t>项目进行竞争性比选采购。欢迎有资格的供应商前来参与比选。</w:t>
      </w:r>
    </w:p>
    <w:p w14:paraId="45F21FEC">
      <w:pPr>
        <w:kinsoku/>
        <w:overflowPunct/>
        <w:topLinePunct w:val="0"/>
        <w:autoSpaceDE/>
        <w:autoSpaceDN/>
        <w:bidi w:val="0"/>
        <w:adjustRightInd/>
        <w:snapToGrid w:val="0"/>
        <w:spacing w:line="480" w:lineRule="exact"/>
        <w:ind w:firstLine="482" w:firstLineChars="200"/>
        <w:rPr>
          <w:rFonts w:hint="eastAsia" w:ascii="黑体" w:hAnsi="黑体" w:eastAsia="黑体" w:cs="黑体"/>
          <w:b/>
          <w:bCs/>
          <w:sz w:val="24"/>
          <w:szCs w:val="24"/>
          <w:u w:val="none"/>
          <w:lang w:eastAsia="zh-CN"/>
        </w:rPr>
      </w:pPr>
      <w:bookmarkStart w:id="3" w:name="_Toc313893526"/>
      <w:bookmarkStart w:id="4" w:name="_Toc27505"/>
      <w:bookmarkStart w:id="5" w:name="_Toc317775175"/>
      <w:r>
        <w:rPr>
          <w:rFonts w:hint="eastAsia" w:ascii="黑体" w:hAnsi="黑体" w:eastAsia="黑体" w:cs="黑体"/>
          <w:b/>
          <w:bCs/>
          <w:sz w:val="24"/>
          <w:szCs w:val="24"/>
          <w:u w:val="none"/>
          <w:lang w:eastAsia="zh-CN"/>
        </w:rPr>
        <w:t>一、竞争性比选内容</w:t>
      </w:r>
      <w:bookmarkEnd w:id="3"/>
      <w:bookmarkEnd w:id="4"/>
      <w:bookmarkEnd w:id="5"/>
    </w:p>
    <w:tbl>
      <w:tblPr>
        <w:tblStyle w:val="12"/>
        <w:tblW w:w="9354" w:type="dxa"/>
        <w:tblInd w:w="5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2"/>
        <w:gridCol w:w="1080"/>
        <w:gridCol w:w="1515"/>
        <w:gridCol w:w="1478"/>
        <w:gridCol w:w="2869"/>
      </w:tblGrid>
      <w:tr w14:paraId="0FD3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12" w:type="dxa"/>
            <w:tcBorders>
              <w:top w:val="single" w:color="auto" w:sz="4" w:space="0"/>
              <w:left w:val="single" w:color="auto" w:sz="4" w:space="0"/>
              <w:right w:val="single" w:color="auto" w:sz="4" w:space="0"/>
            </w:tcBorders>
            <w:vAlign w:val="center"/>
          </w:tcPr>
          <w:p w14:paraId="388FA6B3">
            <w:pPr>
              <w:keepNext w:val="0"/>
              <w:keepLines w:val="0"/>
              <w:pageBreakBefore w:val="0"/>
              <w:widowControl w:val="0"/>
              <w:kinsoku/>
              <w:wordWrap/>
              <w:overflowPunct/>
              <w:topLinePunct w:val="0"/>
              <w:autoSpaceDE/>
              <w:autoSpaceDN/>
              <w:bidi w:val="0"/>
              <w:adjustRightInd/>
              <w:snapToGrid w:val="0"/>
              <w:spacing w:line="360" w:lineRule="exact"/>
              <w:ind w:firstLine="422" w:firstLineChars="200"/>
              <w:textAlignment w:val="auto"/>
              <w:rPr>
                <w:rFonts w:hint="eastAsia" w:ascii="黑体" w:hAnsi="黑体" w:eastAsia="黑体" w:cs="黑体"/>
                <w:b/>
                <w:bCs/>
                <w:sz w:val="21"/>
                <w:szCs w:val="21"/>
                <w:u w:val="none"/>
                <w:lang w:val="en-US" w:eastAsia="zh-CN"/>
              </w:rPr>
            </w:pPr>
            <w:bookmarkStart w:id="6" w:name="_Toc12048"/>
            <w:bookmarkStart w:id="7" w:name="_Toc317775178"/>
            <w:bookmarkStart w:id="8" w:name="_Toc373860293"/>
            <w:r>
              <w:rPr>
                <w:rFonts w:hint="eastAsia" w:ascii="黑体" w:hAnsi="黑体" w:eastAsia="黑体" w:cs="黑体"/>
                <w:b/>
                <w:bCs/>
                <w:sz w:val="21"/>
                <w:szCs w:val="21"/>
                <w:u w:val="none"/>
                <w:lang w:val="en-US" w:eastAsia="zh-CN"/>
              </w:rPr>
              <w:t>项目名称</w:t>
            </w:r>
          </w:p>
        </w:tc>
        <w:tc>
          <w:tcPr>
            <w:tcW w:w="1080" w:type="dxa"/>
            <w:tcBorders>
              <w:top w:val="single" w:color="auto" w:sz="4" w:space="0"/>
              <w:left w:val="single" w:color="auto" w:sz="4" w:space="0"/>
              <w:right w:val="single" w:color="auto" w:sz="4" w:space="0"/>
            </w:tcBorders>
            <w:vAlign w:val="center"/>
          </w:tcPr>
          <w:p w14:paraId="590FD3AD">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b/>
                <w:bCs/>
                <w:sz w:val="21"/>
                <w:szCs w:val="21"/>
                <w:u w:val="none"/>
                <w:lang w:val="en-US" w:eastAsia="zh-CN"/>
              </w:rPr>
            </w:pPr>
            <w:r>
              <w:rPr>
                <w:rFonts w:hint="eastAsia" w:ascii="黑体" w:hAnsi="黑体" w:eastAsia="黑体" w:cs="黑体"/>
                <w:b/>
                <w:bCs/>
                <w:sz w:val="21"/>
                <w:szCs w:val="21"/>
                <w:u w:val="none"/>
                <w:lang w:val="en-US" w:eastAsia="zh-CN"/>
              </w:rPr>
              <w:t>最高限价</w:t>
            </w:r>
          </w:p>
          <w:p w14:paraId="66C954B0">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b/>
                <w:bCs/>
                <w:sz w:val="21"/>
                <w:szCs w:val="21"/>
                <w:u w:val="none"/>
                <w:lang w:eastAsia="zh-CN"/>
              </w:rPr>
            </w:pPr>
            <w:r>
              <w:rPr>
                <w:rFonts w:hint="eastAsia" w:ascii="黑体" w:hAnsi="黑体" w:eastAsia="黑体" w:cs="黑体"/>
                <w:b/>
                <w:bCs/>
                <w:sz w:val="21"/>
                <w:szCs w:val="21"/>
                <w:u w:val="none"/>
                <w:lang w:val="en-US" w:eastAsia="zh-CN"/>
              </w:rPr>
              <w:t>（万元）</w:t>
            </w:r>
          </w:p>
        </w:tc>
        <w:tc>
          <w:tcPr>
            <w:tcW w:w="1515" w:type="dxa"/>
            <w:tcBorders>
              <w:top w:val="single" w:color="auto" w:sz="4" w:space="0"/>
              <w:left w:val="single" w:color="auto" w:sz="4" w:space="0"/>
              <w:right w:val="single" w:color="auto" w:sz="4" w:space="0"/>
            </w:tcBorders>
            <w:vAlign w:val="center"/>
          </w:tcPr>
          <w:p w14:paraId="048E60B3">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b/>
                <w:bCs/>
                <w:sz w:val="21"/>
                <w:szCs w:val="21"/>
                <w:u w:val="none"/>
                <w:lang w:eastAsia="zh-CN"/>
              </w:rPr>
            </w:pPr>
            <w:r>
              <w:rPr>
                <w:rFonts w:hint="eastAsia" w:ascii="黑体" w:hAnsi="黑体" w:eastAsia="黑体" w:cs="黑体"/>
                <w:b/>
                <w:bCs/>
                <w:sz w:val="21"/>
                <w:szCs w:val="21"/>
                <w:u w:val="none"/>
                <w:lang w:eastAsia="zh-CN"/>
              </w:rPr>
              <w:t>最高限价</w:t>
            </w:r>
          </w:p>
          <w:p w14:paraId="26B39D73">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b/>
                <w:bCs/>
                <w:sz w:val="21"/>
                <w:szCs w:val="21"/>
                <w:u w:val="none"/>
                <w:lang w:eastAsia="zh-CN"/>
              </w:rPr>
            </w:pPr>
            <w:r>
              <w:rPr>
                <w:rFonts w:hint="eastAsia" w:ascii="黑体" w:hAnsi="黑体" w:eastAsia="黑体" w:cs="黑体"/>
                <w:b/>
                <w:bCs/>
                <w:sz w:val="21"/>
                <w:szCs w:val="21"/>
                <w:u w:val="none"/>
                <w:lang w:eastAsia="zh-CN"/>
              </w:rPr>
              <w:t>（折扣比例）</w:t>
            </w:r>
          </w:p>
        </w:tc>
        <w:tc>
          <w:tcPr>
            <w:tcW w:w="1478" w:type="dxa"/>
            <w:tcBorders>
              <w:top w:val="single" w:color="auto" w:sz="4" w:space="0"/>
              <w:left w:val="single" w:color="auto" w:sz="4" w:space="0"/>
              <w:right w:val="single" w:color="auto" w:sz="4" w:space="0"/>
            </w:tcBorders>
            <w:vAlign w:val="center"/>
          </w:tcPr>
          <w:p w14:paraId="5636D822">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b/>
                <w:bCs/>
                <w:sz w:val="21"/>
                <w:szCs w:val="21"/>
                <w:u w:val="none"/>
                <w:lang w:eastAsia="zh-CN"/>
              </w:rPr>
            </w:pPr>
            <w:r>
              <w:rPr>
                <w:rFonts w:hint="eastAsia" w:ascii="黑体" w:hAnsi="黑体" w:eastAsia="黑体" w:cs="黑体"/>
                <w:b/>
                <w:bCs/>
                <w:sz w:val="21"/>
                <w:szCs w:val="21"/>
                <w:u w:val="none"/>
                <w:lang w:eastAsia="zh-CN"/>
              </w:rPr>
              <w:t>中标投标人数量（名）</w:t>
            </w:r>
          </w:p>
        </w:tc>
        <w:tc>
          <w:tcPr>
            <w:tcW w:w="2869" w:type="dxa"/>
            <w:tcBorders>
              <w:top w:val="single" w:color="auto" w:sz="4" w:space="0"/>
              <w:left w:val="single" w:color="auto" w:sz="4" w:space="0"/>
              <w:right w:val="single" w:color="auto" w:sz="4" w:space="0"/>
            </w:tcBorders>
            <w:vAlign w:val="center"/>
          </w:tcPr>
          <w:p w14:paraId="1CE7AD1C">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b/>
                <w:bCs/>
                <w:sz w:val="21"/>
                <w:szCs w:val="21"/>
                <w:u w:val="none"/>
                <w:lang w:eastAsia="zh-CN"/>
              </w:rPr>
            </w:pPr>
            <w:r>
              <w:rPr>
                <w:rFonts w:hint="eastAsia" w:ascii="黑体" w:hAnsi="黑体" w:eastAsia="黑体" w:cs="黑体"/>
                <w:b/>
                <w:bCs/>
                <w:kern w:val="0"/>
                <w:sz w:val="21"/>
                <w:szCs w:val="24"/>
              </w:rPr>
              <w:t>采购标的对应的中小企业划分标准所属行业</w:t>
            </w:r>
          </w:p>
        </w:tc>
      </w:tr>
      <w:tr w14:paraId="66A8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2412" w:type="dxa"/>
            <w:tcBorders>
              <w:top w:val="single" w:color="auto" w:sz="4" w:space="0"/>
              <w:left w:val="single" w:color="auto" w:sz="4" w:space="0"/>
              <w:right w:val="single" w:color="auto" w:sz="4" w:space="0"/>
            </w:tcBorders>
            <w:vAlign w:val="center"/>
          </w:tcPr>
          <w:p w14:paraId="5423115E">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sz w:val="21"/>
                <w:szCs w:val="21"/>
                <w:u w:val="none"/>
                <w:lang w:eastAsia="zh-CN"/>
              </w:rPr>
            </w:pPr>
            <w:bookmarkStart w:id="9" w:name="_Hlk344477914"/>
            <w:r>
              <w:rPr>
                <w:rFonts w:hint="eastAsia" w:ascii="黑体" w:hAnsi="黑体" w:eastAsia="黑体" w:cs="黑体"/>
                <w:sz w:val="21"/>
                <w:szCs w:val="21"/>
                <w:u w:val="none"/>
                <w:lang w:eastAsia="zh-CN"/>
              </w:rPr>
              <w:t>泽足公司制水药品采购</w:t>
            </w:r>
          </w:p>
        </w:tc>
        <w:tc>
          <w:tcPr>
            <w:tcW w:w="1080" w:type="dxa"/>
            <w:tcBorders>
              <w:top w:val="single" w:color="auto" w:sz="4" w:space="0"/>
              <w:left w:val="single" w:color="auto" w:sz="4" w:space="0"/>
              <w:right w:val="single" w:color="auto" w:sz="4" w:space="0"/>
            </w:tcBorders>
            <w:vAlign w:val="center"/>
          </w:tcPr>
          <w:p w14:paraId="075289F5">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黑体" w:hAnsi="黑体" w:eastAsia="黑体" w:cs="黑体"/>
                <w:sz w:val="21"/>
                <w:szCs w:val="21"/>
                <w:u w:val="none"/>
                <w:lang w:val="en-US" w:eastAsia="zh-CN"/>
              </w:rPr>
            </w:pPr>
            <w:r>
              <w:rPr>
                <w:rFonts w:hint="eastAsia" w:ascii="黑体" w:hAnsi="黑体" w:eastAsia="黑体" w:cs="黑体"/>
                <w:sz w:val="21"/>
                <w:szCs w:val="21"/>
                <w:u w:val="none"/>
                <w:lang w:val="en-US" w:eastAsia="zh-CN"/>
              </w:rPr>
              <w:t>49.50</w:t>
            </w:r>
          </w:p>
        </w:tc>
        <w:tc>
          <w:tcPr>
            <w:tcW w:w="1515" w:type="dxa"/>
            <w:tcBorders>
              <w:top w:val="single" w:color="auto" w:sz="4" w:space="0"/>
              <w:left w:val="single" w:color="auto" w:sz="4" w:space="0"/>
              <w:right w:val="single" w:color="auto" w:sz="4" w:space="0"/>
            </w:tcBorders>
            <w:vAlign w:val="center"/>
          </w:tcPr>
          <w:p w14:paraId="04B2B72D">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jc w:val="left"/>
              <w:textAlignment w:val="auto"/>
              <w:rPr>
                <w:rFonts w:hint="eastAsia" w:ascii="黑体" w:hAnsi="黑体" w:eastAsia="黑体" w:cs="黑体"/>
                <w:sz w:val="21"/>
                <w:szCs w:val="21"/>
                <w:u w:val="none"/>
                <w:lang w:eastAsia="zh-CN"/>
              </w:rPr>
            </w:pPr>
            <w:r>
              <w:rPr>
                <w:rFonts w:hint="eastAsia" w:ascii="黑体" w:hAnsi="黑体" w:eastAsia="黑体" w:cs="黑体"/>
                <w:sz w:val="21"/>
                <w:szCs w:val="21"/>
                <w:u w:val="none"/>
                <w:lang w:eastAsia="zh-CN"/>
              </w:rPr>
              <w:t>100%</w:t>
            </w:r>
          </w:p>
        </w:tc>
        <w:tc>
          <w:tcPr>
            <w:tcW w:w="1478" w:type="dxa"/>
            <w:tcBorders>
              <w:top w:val="single" w:color="auto" w:sz="4" w:space="0"/>
              <w:left w:val="single" w:color="auto" w:sz="4" w:space="0"/>
              <w:right w:val="single" w:color="auto" w:sz="4" w:space="0"/>
            </w:tcBorders>
            <w:vAlign w:val="center"/>
          </w:tcPr>
          <w:p w14:paraId="0084E8DE">
            <w:pPr>
              <w:keepNext w:val="0"/>
              <w:keepLines w:val="0"/>
              <w:pageBreakBefore w:val="0"/>
              <w:widowControl w:val="0"/>
              <w:kinsoku/>
              <w:wordWrap/>
              <w:overflowPunct/>
              <w:topLinePunct w:val="0"/>
              <w:autoSpaceDE/>
              <w:autoSpaceDN/>
              <w:bidi w:val="0"/>
              <w:adjustRightInd/>
              <w:snapToGrid w:val="0"/>
              <w:spacing w:line="360" w:lineRule="exact"/>
              <w:ind w:firstLine="630" w:firstLineChars="300"/>
              <w:jc w:val="left"/>
              <w:textAlignment w:val="auto"/>
              <w:rPr>
                <w:rFonts w:hint="eastAsia" w:ascii="黑体" w:hAnsi="黑体" w:eastAsia="黑体" w:cs="黑体"/>
                <w:sz w:val="21"/>
                <w:szCs w:val="21"/>
                <w:u w:val="none"/>
                <w:lang w:eastAsia="zh-CN"/>
              </w:rPr>
            </w:pPr>
            <w:r>
              <w:rPr>
                <w:rFonts w:hint="eastAsia" w:ascii="黑体" w:hAnsi="黑体" w:eastAsia="黑体" w:cs="黑体"/>
                <w:sz w:val="21"/>
                <w:szCs w:val="21"/>
                <w:u w:val="none"/>
                <w:lang w:eastAsia="zh-CN"/>
              </w:rPr>
              <w:t>1</w:t>
            </w:r>
          </w:p>
        </w:tc>
        <w:tc>
          <w:tcPr>
            <w:tcW w:w="2869" w:type="dxa"/>
            <w:tcBorders>
              <w:top w:val="single" w:color="auto" w:sz="4" w:space="0"/>
              <w:left w:val="single" w:color="auto" w:sz="4" w:space="0"/>
              <w:right w:val="single" w:color="auto" w:sz="4" w:space="0"/>
            </w:tcBorders>
            <w:vAlign w:val="center"/>
          </w:tcPr>
          <w:p w14:paraId="306D5D73">
            <w:pPr>
              <w:keepNext w:val="0"/>
              <w:keepLines w:val="0"/>
              <w:pageBreakBefore w:val="0"/>
              <w:widowControl w:val="0"/>
              <w:kinsoku/>
              <w:wordWrap/>
              <w:overflowPunct/>
              <w:topLinePunct w:val="0"/>
              <w:autoSpaceDE/>
              <w:autoSpaceDN/>
              <w:bidi w:val="0"/>
              <w:adjustRightInd/>
              <w:snapToGrid w:val="0"/>
              <w:spacing w:line="360" w:lineRule="exact"/>
              <w:ind w:firstLine="630" w:firstLineChars="300"/>
              <w:jc w:val="left"/>
              <w:textAlignment w:val="auto"/>
              <w:rPr>
                <w:rFonts w:hint="default" w:ascii="黑体" w:hAnsi="黑体" w:eastAsia="黑体" w:cs="黑体"/>
                <w:sz w:val="21"/>
                <w:szCs w:val="21"/>
                <w:u w:val="none"/>
                <w:lang w:val="en-US" w:eastAsia="zh-CN"/>
              </w:rPr>
            </w:pPr>
            <w:r>
              <w:rPr>
                <w:rFonts w:hint="eastAsia" w:ascii="黑体" w:hAnsi="黑体" w:eastAsia="黑体" w:cs="黑体"/>
                <w:sz w:val="21"/>
                <w:szCs w:val="21"/>
                <w:u w:val="none"/>
                <w:lang w:val="en-US" w:eastAsia="zh-CN"/>
              </w:rPr>
              <w:t>工业</w:t>
            </w:r>
          </w:p>
        </w:tc>
      </w:tr>
      <w:bookmarkEnd w:id="9"/>
    </w:tbl>
    <w:p w14:paraId="4C8B6682">
      <w:pPr>
        <w:kinsoku/>
        <w:overflowPunct/>
        <w:topLinePunct w:val="0"/>
        <w:autoSpaceDE/>
        <w:autoSpaceDN/>
        <w:bidi w:val="0"/>
        <w:adjustRightInd/>
        <w:snapToGrid w:val="0"/>
        <w:spacing w:line="480" w:lineRule="exact"/>
        <w:ind w:firstLine="482" w:firstLineChars="200"/>
        <w:rPr>
          <w:rFonts w:hint="eastAsia" w:ascii="黑体" w:hAnsi="黑体" w:eastAsia="黑体" w:cs="黑体"/>
          <w:b/>
          <w:bCs/>
          <w:sz w:val="24"/>
          <w:szCs w:val="24"/>
          <w:u w:val="none"/>
          <w:lang w:eastAsia="zh-CN"/>
        </w:rPr>
      </w:pPr>
      <w:r>
        <w:rPr>
          <w:rFonts w:hint="eastAsia" w:ascii="黑体" w:hAnsi="黑体" w:eastAsia="黑体" w:cs="黑体"/>
          <w:b/>
          <w:bCs/>
          <w:sz w:val="24"/>
          <w:szCs w:val="24"/>
          <w:u w:val="none"/>
          <w:lang w:eastAsia="zh-CN"/>
        </w:rPr>
        <w:t>二、资金来源</w:t>
      </w:r>
      <w:bookmarkEnd w:id="6"/>
    </w:p>
    <w:p w14:paraId="6FA7979D">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highlight w:val="none"/>
          <w:u w:val="none"/>
          <w:lang w:eastAsia="zh-CN"/>
        </w:rPr>
      </w:pPr>
      <w:r>
        <w:rPr>
          <w:rFonts w:hint="eastAsia" w:ascii="黑体" w:hAnsi="黑体" w:eastAsia="黑体" w:cs="黑体"/>
          <w:sz w:val="24"/>
          <w:szCs w:val="24"/>
          <w:highlight w:val="none"/>
          <w:u w:val="none"/>
          <w:lang w:val="en-US" w:eastAsia="zh-CN"/>
        </w:rPr>
        <w:t>单位</w:t>
      </w:r>
      <w:r>
        <w:rPr>
          <w:rFonts w:hint="eastAsia" w:ascii="黑体" w:hAnsi="黑体" w:eastAsia="黑体" w:cs="黑体"/>
          <w:sz w:val="24"/>
          <w:szCs w:val="24"/>
          <w:highlight w:val="none"/>
          <w:u w:val="none"/>
          <w:lang w:eastAsia="zh-CN"/>
        </w:rPr>
        <w:t>自筹</w:t>
      </w:r>
      <w:r>
        <w:rPr>
          <w:rFonts w:hint="eastAsia" w:ascii="黑体" w:hAnsi="黑体" w:eastAsia="黑体" w:cs="黑体"/>
          <w:sz w:val="24"/>
          <w:szCs w:val="24"/>
          <w:highlight w:val="none"/>
          <w:u w:val="none"/>
          <w:lang w:val="en-US" w:eastAsia="zh-CN"/>
        </w:rPr>
        <w:t>资金，预算金额为49.50万元。</w:t>
      </w:r>
    </w:p>
    <w:bookmarkEnd w:id="7"/>
    <w:bookmarkEnd w:id="8"/>
    <w:p w14:paraId="31E36635">
      <w:pPr>
        <w:kinsoku/>
        <w:overflowPunct/>
        <w:topLinePunct w:val="0"/>
        <w:autoSpaceDE/>
        <w:autoSpaceDN/>
        <w:bidi w:val="0"/>
        <w:adjustRightInd/>
        <w:snapToGrid w:val="0"/>
        <w:spacing w:line="480" w:lineRule="exact"/>
        <w:ind w:firstLine="482" w:firstLineChars="200"/>
        <w:rPr>
          <w:rFonts w:hint="eastAsia" w:ascii="黑体" w:hAnsi="黑体" w:eastAsia="黑体" w:cs="黑体"/>
          <w:b/>
          <w:bCs/>
          <w:sz w:val="24"/>
          <w:szCs w:val="24"/>
          <w:u w:val="none"/>
          <w:lang w:eastAsia="zh-CN"/>
        </w:rPr>
      </w:pPr>
      <w:bookmarkStart w:id="10" w:name="_Toc75258773"/>
      <w:bookmarkStart w:id="11" w:name="_Toc1038"/>
      <w:r>
        <w:rPr>
          <w:rFonts w:hint="eastAsia" w:ascii="黑体" w:hAnsi="黑体" w:eastAsia="黑体" w:cs="黑体"/>
          <w:b/>
          <w:bCs/>
          <w:sz w:val="24"/>
          <w:szCs w:val="24"/>
          <w:u w:val="none"/>
          <w:lang w:eastAsia="zh-CN"/>
        </w:rPr>
        <w:t>三、供应商资格条件</w:t>
      </w:r>
      <w:bookmarkEnd w:id="10"/>
      <w:bookmarkEnd w:id="11"/>
    </w:p>
    <w:p w14:paraId="3D529059">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bookmarkStart w:id="12" w:name="_Toc75258774"/>
      <w:bookmarkStart w:id="13" w:name="_Toc30256"/>
      <w:r>
        <w:rPr>
          <w:rFonts w:hint="eastAsia" w:ascii="黑体" w:hAnsi="黑体" w:eastAsia="黑体" w:cs="黑体"/>
          <w:sz w:val="24"/>
          <w:szCs w:val="24"/>
          <w:u w:val="none"/>
          <w:lang w:eastAsia="zh-CN"/>
        </w:rPr>
        <w:t>投标人是指向采购人提供服务或者货物的法人、其他组织或者自然人。合格的投标人应首先符合政府采购法第二十二条规定的基本资格条件，同时符合根据该项目特殊要求设置的特定资格条件。</w:t>
      </w:r>
    </w:p>
    <w:p w14:paraId="0DEEB7AA">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r>
        <w:rPr>
          <w:rFonts w:hint="eastAsia" w:ascii="黑体" w:hAnsi="黑体" w:eastAsia="黑体" w:cs="黑体"/>
          <w:sz w:val="24"/>
          <w:szCs w:val="24"/>
          <w:u w:val="none"/>
          <w:lang w:eastAsia="zh-CN"/>
        </w:rPr>
        <w:t>（一）基本资格条件</w:t>
      </w:r>
    </w:p>
    <w:p w14:paraId="193846A5">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r>
        <w:rPr>
          <w:rFonts w:hint="eastAsia" w:ascii="黑体" w:hAnsi="黑体" w:eastAsia="黑体" w:cs="黑体"/>
          <w:sz w:val="24"/>
          <w:szCs w:val="24"/>
          <w:u w:val="none"/>
          <w:lang w:eastAsia="zh-CN"/>
        </w:rPr>
        <w:t>1.具有独立承担民事责任的能力；</w:t>
      </w:r>
    </w:p>
    <w:p w14:paraId="6106555A">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r>
        <w:rPr>
          <w:rFonts w:hint="eastAsia" w:ascii="黑体" w:hAnsi="黑体" w:eastAsia="黑体" w:cs="黑体"/>
          <w:sz w:val="24"/>
          <w:szCs w:val="24"/>
          <w:u w:val="none"/>
          <w:lang w:eastAsia="zh-CN"/>
        </w:rPr>
        <w:t>2.具有良好的商业信誉和健全的财务会计制度；</w:t>
      </w:r>
    </w:p>
    <w:p w14:paraId="23FACE61">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r>
        <w:rPr>
          <w:rFonts w:hint="eastAsia" w:ascii="黑体" w:hAnsi="黑体" w:eastAsia="黑体" w:cs="黑体"/>
          <w:sz w:val="24"/>
          <w:szCs w:val="24"/>
          <w:u w:val="none"/>
          <w:lang w:eastAsia="zh-CN"/>
        </w:rPr>
        <w:t>3.具有履行合同所必需的设备和专业技术能力；</w:t>
      </w:r>
    </w:p>
    <w:p w14:paraId="2A4C32E4">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r>
        <w:rPr>
          <w:rFonts w:hint="eastAsia" w:ascii="黑体" w:hAnsi="黑体" w:eastAsia="黑体" w:cs="黑体"/>
          <w:sz w:val="24"/>
          <w:szCs w:val="24"/>
          <w:u w:val="none"/>
          <w:lang w:eastAsia="zh-CN"/>
        </w:rPr>
        <w:t>4.有依法缴纳税收和社会保障资金的良好记录；</w:t>
      </w:r>
    </w:p>
    <w:p w14:paraId="7D4604DB">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r>
        <w:rPr>
          <w:rFonts w:hint="eastAsia" w:ascii="黑体" w:hAnsi="黑体" w:eastAsia="黑体" w:cs="黑体"/>
          <w:sz w:val="24"/>
          <w:szCs w:val="24"/>
          <w:u w:val="none"/>
          <w:lang w:eastAsia="zh-CN"/>
        </w:rPr>
        <w:t>5.参加政府采购活动前三年内，在经营活动中没有重大违法记录；</w:t>
      </w:r>
    </w:p>
    <w:p w14:paraId="6F813A92">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r>
        <w:rPr>
          <w:rFonts w:hint="eastAsia" w:ascii="黑体" w:hAnsi="黑体" w:eastAsia="黑体" w:cs="黑体"/>
          <w:sz w:val="24"/>
          <w:szCs w:val="24"/>
          <w:u w:val="none"/>
          <w:lang w:eastAsia="zh-CN"/>
        </w:rPr>
        <w:t>6.法律、行政法规规定的其他条件。</w:t>
      </w:r>
    </w:p>
    <w:p w14:paraId="5DD38479">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r>
        <w:rPr>
          <w:rFonts w:hint="eastAsia" w:ascii="黑体" w:hAnsi="黑体" w:eastAsia="黑体" w:cs="黑体"/>
          <w:sz w:val="24"/>
          <w:szCs w:val="24"/>
          <w:u w:val="none"/>
          <w:lang w:eastAsia="zh-CN"/>
        </w:rPr>
        <w:t>（</w:t>
      </w:r>
      <w:r>
        <w:rPr>
          <w:rFonts w:hint="eastAsia" w:ascii="黑体" w:hAnsi="黑体" w:eastAsia="黑体" w:cs="黑体"/>
          <w:sz w:val="24"/>
          <w:szCs w:val="24"/>
          <w:u w:val="none"/>
          <w:lang w:val="en-US" w:eastAsia="zh-CN"/>
        </w:rPr>
        <w:t>二</w:t>
      </w:r>
      <w:r>
        <w:rPr>
          <w:rFonts w:hint="eastAsia" w:ascii="黑体" w:hAnsi="黑体" w:eastAsia="黑体" w:cs="黑体"/>
          <w:sz w:val="24"/>
          <w:szCs w:val="24"/>
          <w:u w:val="none"/>
          <w:lang w:eastAsia="zh-CN"/>
        </w:rPr>
        <w:t>）落实政府采购政策需满足的资格要求：无。</w:t>
      </w:r>
    </w:p>
    <w:p w14:paraId="0D9AC130">
      <w:pPr>
        <w:kinsoku/>
        <w:overflowPunct/>
        <w:topLinePunct w:val="0"/>
        <w:autoSpaceDE/>
        <w:autoSpaceDN/>
        <w:bidi w:val="0"/>
        <w:adjustRightInd/>
        <w:snapToGrid w:val="0"/>
        <w:spacing w:line="480" w:lineRule="exact"/>
        <w:ind w:firstLine="480" w:firstLineChars="200"/>
        <w:rPr>
          <w:rFonts w:hint="default" w:ascii="黑体" w:hAnsi="黑体" w:eastAsia="黑体" w:cs="黑体"/>
          <w:color w:val="auto"/>
          <w:sz w:val="24"/>
          <w:szCs w:val="24"/>
          <w:u w:val="none"/>
          <w:lang w:val="en-US" w:eastAsia="zh-CN"/>
        </w:rPr>
      </w:pPr>
      <w:r>
        <w:rPr>
          <w:rFonts w:hint="eastAsia" w:ascii="黑体" w:hAnsi="黑体" w:eastAsia="黑体" w:cs="黑体"/>
          <w:color w:val="auto"/>
          <w:sz w:val="24"/>
          <w:szCs w:val="24"/>
          <w:u w:val="none"/>
          <w:lang w:eastAsia="zh-CN"/>
        </w:rPr>
        <w:t>（</w:t>
      </w:r>
      <w:r>
        <w:rPr>
          <w:rFonts w:hint="eastAsia" w:ascii="黑体" w:hAnsi="黑体" w:eastAsia="黑体" w:cs="黑体"/>
          <w:color w:val="auto"/>
          <w:sz w:val="24"/>
          <w:szCs w:val="24"/>
          <w:u w:val="none"/>
          <w:lang w:val="en-US" w:eastAsia="zh-CN"/>
        </w:rPr>
        <w:t>三</w:t>
      </w:r>
      <w:r>
        <w:rPr>
          <w:rFonts w:hint="eastAsia" w:ascii="黑体" w:hAnsi="黑体" w:eastAsia="黑体" w:cs="黑体"/>
          <w:color w:val="auto"/>
          <w:sz w:val="24"/>
          <w:szCs w:val="24"/>
          <w:u w:val="none"/>
          <w:lang w:eastAsia="zh-CN"/>
        </w:rPr>
        <w:t>）本项目的特定资格</w:t>
      </w:r>
      <w:r>
        <w:rPr>
          <w:rFonts w:hint="eastAsia" w:ascii="黑体" w:hAnsi="黑体" w:eastAsia="黑体" w:cs="黑体"/>
          <w:color w:val="auto"/>
          <w:sz w:val="24"/>
          <w:szCs w:val="24"/>
          <w:u w:val="none"/>
          <w:lang w:val="en-US" w:eastAsia="zh-CN"/>
        </w:rPr>
        <w:t>要求</w:t>
      </w:r>
      <w:r>
        <w:rPr>
          <w:rFonts w:hint="eastAsia" w:ascii="黑体" w:hAnsi="黑体" w:eastAsia="黑体" w:cs="黑体"/>
          <w:color w:val="auto"/>
          <w:sz w:val="24"/>
          <w:szCs w:val="24"/>
          <w:u w:val="none"/>
          <w:lang w:eastAsia="zh-CN"/>
        </w:rPr>
        <w:t>：</w:t>
      </w:r>
      <w:r>
        <w:rPr>
          <w:rFonts w:hint="eastAsia" w:ascii="黑体" w:hAnsi="黑体" w:eastAsia="黑体" w:cs="黑体"/>
          <w:color w:val="auto"/>
          <w:sz w:val="24"/>
          <w:szCs w:val="24"/>
          <w:u w:val="none"/>
          <w:lang w:val="en-US" w:eastAsia="zh-CN"/>
        </w:rPr>
        <w:t>无。</w:t>
      </w:r>
    </w:p>
    <w:p w14:paraId="527C03D9">
      <w:pPr>
        <w:kinsoku/>
        <w:overflowPunct/>
        <w:topLinePunct w:val="0"/>
        <w:autoSpaceDE/>
        <w:autoSpaceDN/>
        <w:bidi w:val="0"/>
        <w:adjustRightInd/>
        <w:snapToGrid w:val="0"/>
        <w:spacing w:line="480" w:lineRule="exact"/>
        <w:ind w:firstLine="482" w:firstLineChars="200"/>
        <w:rPr>
          <w:rFonts w:hint="eastAsia" w:ascii="黑体" w:hAnsi="黑体" w:eastAsia="黑体" w:cs="黑体"/>
          <w:b/>
          <w:bCs/>
          <w:sz w:val="24"/>
          <w:szCs w:val="24"/>
          <w:u w:val="none"/>
          <w:lang w:eastAsia="zh-CN"/>
        </w:rPr>
      </w:pPr>
      <w:r>
        <w:rPr>
          <w:rFonts w:hint="eastAsia" w:ascii="黑体" w:hAnsi="黑体" w:eastAsia="黑体" w:cs="黑体"/>
          <w:b/>
          <w:bCs/>
          <w:sz w:val="24"/>
          <w:szCs w:val="24"/>
          <w:u w:val="none"/>
          <w:lang w:eastAsia="zh-CN"/>
        </w:rPr>
        <w:t>四、比选、开标有关说明</w:t>
      </w:r>
      <w:bookmarkEnd w:id="12"/>
      <w:bookmarkEnd w:id="13"/>
    </w:p>
    <w:p w14:paraId="218DB3A3">
      <w:pPr>
        <w:kinsoku/>
        <w:wordWrap w:val="0"/>
        <w:overflowPunct/>
        <w:topLinePunct w:val="0"/>
        <w:autoSpaceDE/>
        <w:autoSpaceDN/>
        <w:bidi w:val="0"/>
        <w:adjustRightInd/>
        <w:spacing w:line="480" w:lineRule="exact"/>
        <w:ind w:firstLine="480" w:firstLineChars="200"/>
        <w:rPr>
          <w:rFonts w:hint="eastAsia" w:ascii="黑体" w:hAnsi="黑体" w:eastAsia="黑体" w:cs="黑体"/>
          <w:sz w:val="24"/>
          <w:szCs w:val="24"/>
          <w:lang w:eastAsia="zh-CN"/>
        </w:rPr>
      </w:pPr>
      <w:bookmarkStart w:id="14" w:name="_Toc373860294"/>
      <w:bookmarkStart w:id="15" w:name="_Toc75258775"/>
      <w:r>
        <w:rPr>
          <w:rFonts w:hint="eastAsia" w:ascii="黑体" w:hAnsi="黑体" w:eastAsia="黑体" w:cs="黑体"/>
          <w:sz w:val="24"/>
          <w:szCs w:val="24"/>
          <w:u w:val="none"/>
          <w:lang w:eastAsia="zh-CN"/>
        </w:rPr>
        <w:t>（一）</w:t>
      </w:r>
      <w:r>
        <w:rPr>
          <w:rFonts w:hint="eastAsia" w:ascii="黑体" w:hAnsi="黑体" w:eastAsia="黑体" w:cs="黑体"/>
          <w:sz w:val="24"/>
          <w:szCs w:val="24"/>
        </w:rPr>
        <w:t>凡有意参加投标的供应商，请在“</w:t>
      </w:r>
      <w:r>
        <w:rPr>
          <w:rFonts w:hint="eastAsia" w:ascii="黑体" w:hAnsi="黑体" w:eastAsia="黑体" w:cs="黑体"/>
          <w:sz w:val="24"/>
          <w:szCs w:val="24"/>
          <w:lang w:eastAsia="zh-CN"/>
        </w:rPr>
        <w:t>《文旅集团》(http://www.dzxfjt.cn/)</w:t>
      </w:r>
      <w:r>
        <w:rPr>
          <w:rFonts w:hint="eastAsia" w:ascii="黑体" w:hAnsi="黑体" w:eastAsia="黑体" w:cs="黑体"/>
          <w:sz w:val="24"/>
          <w:szCs w:val="24"/>
        </w:rPr>
        <w:t>”下载</w:t>
      </w:r>
      <w:r>
        <w:rPr>
          <w:rFonts w:hint="eastAsia" w:ascii="黑体" w:hAnsi="黑体" w:eastAsia="黑体" w:cs="黑体"/>
          <w:sz w:val="24"/>
          <w:szCs w:val="24"/>
          <w:lang w:eastAsia="zh-CN"/>
        </w:rPr>
        <w:t>查看公告，或到</w:t>
      </w:r>
      <w:r>
        <w:rPr>
          <w:rFonts w:hint="eastAsia" w:ascii="黑体" w:hAnsi="黑体" w:eastAsia="黑体" w:cs="黑体"/>
          <w:sz w:val="24"/>
          <w:szCs w:val="24"/>
          <w:u w:val="single"/>
          <w:lang w:eastAsia="zh-CN"/>
        </w:rPr>
        <w:t>重庆大学建筑规划设计研究总院有限公司</w:t>
      </w:r>
      <w:r>
        <w:rPr>
          <w:rFonts w:hint="eastAsia" w:ascii="黑体" w:hAnsi="黑体" w:eastAsia="黑体" w:cs="黑体"/>
          <w:sz w:val="24"/>
          <w:szCs w:val="24"/>
        </w:rPr>
        <w:t>领取本项目</w:t>
      </w:r>
      <w:r>
        <w:rPr>
          <w:rFonts w:hint="eastAsia" w:ascii="黑体" w:hAnsi="黑体" w:eastAsia="黑体" w:cs="黑体"/>
          <w:sz w:val="24"/>
          <w:szCs w:val="24"/>
          <w:lang w:eastAsia="zh-CN"/>
        </w:rPr>
        <w:t>采购</w:t>
      </w:r>
      <w:r>
        <w:rPr>
          <w:rFonts w:hint="eastAsia" w:ascii="黑体" w:hAnsi="黑体" w:eastAsia="黑体" w:cs="黑体"/>
          <w:sz w:val="24"/>
          <w:szCs w:val="24"/>
        </w:rPr>
        <w:t>文件以及图纸、澄清等开标前公布的所有项目资料，无论供应商下载或领取与否，均视为已知晓所有实质性要求内容。</w:t>
      </w:r>
    </w:p>
    <w:p w14:paraId="2DC841C2">
      <w:pPr>
        <w:kinsoku/>
        <w:wordWrap w:val="0"/>
        <w:overflowPunct/>
        <w:topLinePunct w:val="0"/>
        <w:autoSpaceDE/>
        <w:autoSpaceDN/>
        <w:bidi w:val="0"/>
        <w:adjustRightInd/>
        <w:spacing w:line="480" w:lineRule="exact"/>
        <w:ind w:firstLine="480" w:firstLineChars="200"/>
        <w:rPr>
          <w:rFonts w:hint="eastAsia" w:ascii="黑体" w:hAnsi="黑体" w:eastAsia="黑体" w:cs="黑体"/>
          <w:sz w:val="24"/>
          <w:szCs w:val="24"/>
        </w:rPr>
      </w:pPr>
      <w:r>
        <w:rPr>
          <w:rFonts w:hint="eastAsia" w:ascii="黑体" w:hAnsi="黑体" w:eastAsia="黑体" w:cs="黑体"/>
          <w:sz w:val="24"/>
          <w:szCs w:val="24"/>
        </w:rPr>
        <w:t>（二）采购文件发售期限</w:t>
      </w:r>
      <w:r>
        <w:rPr>
          <w:rFonts w:hint="eastAsia" w:ascii="黑体" w:hAnsi="黑体" w:eastAsia="黑体" w:cs="黑体"/>
          <w:sz w:val="24"/>
          <w:szCs w:val="24"/>
          <w:lang w:eastAsia="zh-CN"/>
        </w:rPr>
        <w:t>：</w:t>
      </w:r>
      <w:r>
        <w:rPr>
          <w:rFonts w:hint="eastAsia" w:ascii="黑体" w:hAnsi="黑体" w:eastAsia="黑体" w:cs="黑体"/>
          <w:sz w:val="24"/>
          <w:szCs w:val="24"/>
          <w:lang w:val="en-US" w:eastAsia="zh-CN"/>
        </w:rPr>
        <w:t>自采购公告发布之日起2个工作日。</w:t>
      </w:r>
    </w:p>
    <w:p w14:paraId="2DD1C7D9">
      <w:pPr>
        <w:kinsoku/>
        <w:wordWrap w:val="0"/>
        <w:overflowPunct/>
        <w:topLinePunct w:val="0"/>
        <w:autoSpaceDE/>
        <w:autoSpaceDN/>
        <w:bidi w:val="0"/>
        <w:adjustRightInd/>
        <w:spacing w:line="480" w:lineRule="exact"/>
        <w:ind w:firstLine="480" w:firstLineChars="200"/>
        <w:rPr>
          <w:rFonts w:hint="eastAsia" w:ascii="黑体" w:hAnsi="黑体" w:eastAsia="黑体" w:cs="黑体"/>
          <w:sz w:val="24"/>
          <w:szCs w:val="24"/>
        </w:rPr>
      </w:pPr>
      <w:r>
        <w:rPr>
          <w:rFonts w:hint="eastAsia" w:ascii="黑体" w:hAnsi="黑体" w:eastAsia="黑体" w:cs="黑体"/>
          <w:sz w:val="24"/>
          <w:szCs w:val="24"/>
        </w:rPr>
        <w:t>（</w:t>
      </w:r>
      <w:r>
        <w:rPr>
          <w:rFonts w:hint="eastAsia" w:ascii="黑体" w:hAnsi="黑体" w:eastAsia="黑体" w:cs="黑体"/>
          <w:sz w:val="24"/>
          <w:szCs w:val="24"/>
          <w:lang w:val="en-US" w:eastAsia="zh-CN"/>
        </w:rPr>
        <w:t>三</w:t>
      </w:r>
      <w:r>
        <w:rPr>
          <w:rFonts w:hint="eastAsia" w:ascii="黑体" w:hAnsi="黑体" w:eastAsia="黑体" w:cs="黑体"/>
          <w:sz w:val="24"/>
          <w:szCs w:val="24"/>
        </w:rPr>
        <w:t>）采购文件</w:t>
      </w:r>
      <w:r>
        <w:rPr>
          <w:rFonts w:hint="eastAsia" w:ascii="黑体" w:hAnsi="黑体" w:eastAsia="黑体" w:cs="黑体"/>
          <w:sz w:val="24"/>
          <w:szCs w:val="24"/>
          <w:lang w:val="en-US" w:eastAsia="zh-CN"/>
        </w:rPr>
        <w:t>提供期限</w:t>
      </w:r>
    </w:p>
    <w:p w14:paraId="061F7F26">
      <w:pPr>
        <w:kinsoku/>
        <w:wordWrap w:val="0"/>
        <w:overflowPunct/>
        <w:topLinePunct w:val="0"/>
        <w:autoSpaceDE/>
        <w:autoSpaceDN/>
        <w:bidi w:val="0"/>
        <w:adjustRightInd/>
        <w:spacing w:line="480" w:lineRule="exact"/>
        <w:ind w:firstLine="480" w:firstLineChars="200"/>
        <w:rPr>
          <w:rFonts w:hint="default" w:ascii="黑体" w:hAnsi="黑体" w:eastAsia="黑体" w:cs="黑体"/>
          <w:sz w:val="24"/>
          <w:szCs w:val="24"/>
          <w:highlight w:val="none"/>
          <w:lang w:val="en-US" w:eastAsia="zh-CN"/>
        </w:rPr>
      </w:pPr>
      <w:r>
        <w:rPr>
          <w:rFonts w:hint="eastAsia" w:ascii="黑体" w:hAnsi="黑体" w:eastAsia="黑体" w:cs="黑体"/>
          <w:sz w:val="24"/>
          <w:szCs w:val="24"/>
        </w:rPr>
        <w:t>1. 报名和采购文件发售期：</w:t>
      </w:r>
      <w:r>
        <w:rPr>
          <w:rFonts w:hint="eastAsia" w:ascii="黑体" w:hAnsi="黑体" w:eastAsia="黑体" w:cs="黑体"/>
          <w:sz w:val="24"/>
          <w:szCs w:val="24"/>
          <w:highlight w:val="none"/>
        </w:rPr>
        <w:t>202</w:t>
      </w:r>
      <w:r>
        <w:rPr>
          <w:rFonts w:hint="eastAsia" w:ascii="黑体" w:hAnsi="黑体" w:eastAsia="黑体" w:cs="黑体"/>
          <w:sz w:val="24"/>
          <w:szCs w:val="24"/>
          <w:highlight w:val="none"/>
          <w:lang w:val="en-US" w:eastAsia="zh-CN"/>
        </w:rPr>
        <w:t>6</w:t>
      </w:r>
      <w:r>
        <w:rPr>
          <w:rFonts w:hint="eastAsia" w:ascii="黑体" w:hAnsi="黑体" w:eastAsia="黑体" w:cs="黑体"/>
          <w:sz w:val="24"/>
          <w:szCs w:val="24"/>
          <w:highlight w:val="none"/>
        </w:rPr>
        <w:t>年</w:t>
      </w:r>
      <w:r>
        <w:rPr>
          <w:rFonts w:hint="eastAsia" w:ascii="黑体" w:hAnsi="黑体" w:eastAsia="黑体" w:cs="黑体"/>
          <w:sz w:val="24"/>
          <w:szCs w:val="24"/>
          <w:highlight w:val="none"/>
          <w:lang w:val="en-US" w:eastAsia="zh-CN"/>
        </w:rPr>
        <w:t>10</w:t>
      </w:r>
      <w:r>
        <w:rPr>
          <w:rFonts w:hint="eastAsia" w:ascii="黑体" w:hAnsi="黑体" w:eastAsia="黑体" w:cs="黑体"/>
          <w:sz w:val="24"/>
          <w:szCs w:val="24"/>
          <w:highlight w:val="none"/>
        </w:rPr>
        <w:t>月</w:t>
      </w:r>
      <w:r>
        <w:rPr>
          <w:rFonts w:hint="eastAsia" w:ascii="黑体" w:hAnsi="黑体" w:eastAsia="黑体" w:cs="黑体"/>
          <w:sz w:val="24"/>
          <w:szCs w:val="24"/>
          <w:highlight w:val="none"/>
          <w:lang w:val="en-US" w:eastAsia="zh-CN"/>
        </w:rPr>
        <w:t>12</w:t>
      </w:r>
      <w:r>
        <w:rPr>
          <w:rFonts w:hint="eastAsia" w:ascii="黑体" w:hAnsi="黑体" w:eastAsia="黑体" w:cs="黑体"/>
          <w:sz w:val="24"/>
          <w:szCs w:val="24"/>
          <w:highlight w:val="none"/>
        </w:rPr>
        <w:t>日至202</w:t>
      </w:r>
      <w:r>
        <w:rPr>
          <w:rFonts w:hint="eastAsia" w:ascii="黑体" w:hAnsi="黑体" w:eastAsia="黑体" w:cs="黑体"/>
          <w:sz w:val="24"/>
          <w:szCs w:val="24"/>
          <w:highlight w:val="none"/>
          <w:lang w:val="en-US" w:eastAsia="zh-CN"/>
        </w:rPr>
        <w:t>6</w:t>
      </w:r>
      <w:r>
        <w:rPr>
          <w:rFonts w:hint="eastAsia" w:ascii="黑体" w:hAnsi="黑体" w:eastAsia="黑体" w:cs="黑体"/>
          <w:sz w:val="24"/>
          <w:szCs w:val="24"/>
          <w:highlight w:val="none"/>
        </w:rPr>
        <w:t>年</w:t>
      </w:r>
      <w:r>
        <w:rPr>
          <w:rFonts w:hint="eastAsia" w:ascii="黑体" w:hAnsi="黑体" w:eastAsia="黑体" w:cs="黑体"/>
          <w:sz w:val="24"/>
          <w:szCs w:val="24"/>
          <w:highlight w:val="none"/>
          <w:lang w:val="en-US" w:eastAsia="zh-CN"/>
        </w:rPr>
        <w:t>10</w:t>
      </w:r>
      <w:r>
        <w:rPr>
          <w:rFonts w:hint="eastAsia" w:ascii="黑体" w:hAnsi="黑体" w:eastAsia="黑体" w:cs="黑体"/>
          <w:sz w:val="24"/>
          <w:szCs w:val="24"/>
          <w:highlight w:val="none"/>
        </w:rPr>
        <w:t>月</w:t>
      </w:r>
      <w:r>
        <w:rPr>
          <w:rFonts w:hint="eastAsia" w:ascii="黑体" w:hAnsi="黑体" w:eastAsia="黑体" w:cs="黑体"/>
          <w:sz w:val="24"/>
          <w:szCs w:val="24"/>
          <w:highlight w:val="none"/>
          <w:lang w:val="en-US" w:eastAsia="zh-CN"/>
        </w:rPr>
        <w:t>14</w:t>
      </w:r>
      <w:r>
        <w:rPr>
          <w:rFonts w:hint="eastAsia" w:ascii="黑体" w:hAnsi="黑体" w:eastAsia="黑体" w:cs="黑体"/>
          <w:sz w:val="24"/>
          <w:szCs w:val="24"/>
          <w:highlight w:val="none"/>
        </w:rPr>
        <w:t xml:space="preserve">日 </w:t>
      </w:r>
      <w:r>
        <w:rPr>
          <w:rFonts w:hint="eastAsia" w:ascii="黑体" w:hAnsi="黑体" w:eastAsia="黑体" w:cs="黑体"/>
          <w:sz w:val="24"/>
          <w:szCs w:val="24"/>
          <w:highlight w:val="none"/>
          <w:lang w:val="en-US" w:eastAsia="zh-CN"/>
        </w:rPr>
        <w:t>17：00前</w:t>
      </w:r>
      <w:r>
        <w:rPr>
          <w:rFonts w:hint="eastAsia" w:ascii="黑体" w:hAnsi="黑体" w:eastAsia="黑体" w:cs="黑体"/>
          <w:sz w:val="24"/>
          <w:szCs w:val="24"/>
          <w:highlight w:val="none"/>
        </w:rPr>
        <w:t xml:space="preserve"> </w:t>
      </w:r>
    </w:p>
    <w:p w14:paraId="6F09D966">
      <w:pPr>
        <w:kinsoku/>
        <w:wordWrap w:val="0"/>
        <w:overflowPunct/>
        <w:topLinePunct w:val="0"/>
        <w:autoSpaceDE/>
        <w:autoSpaceDN/>
        <w:bidi w:val="0"/>
        <w:adjustRightInd/>
        <w:spacing w:line="480" w:lineRule="exact"/>
        <w:ind w:firstLine="480" w:firstLineChars="200"/>
        <w:rPr>
          <w:rFonts w:hint="eastAsia" w:ascii="黑体" w:hAnsi="黑体" w:eastAsia="黑体" w:cs="黑体"/>
          <w:sz w:val="24"/>
          <w:szCs w:val="24"/>
          <w:highlight w:val="none"/>
        </w:rPr>
      </w:pPr>
      <w:r>
        <w:rPr>
          <w:rFonts w:hint="eastAsia" w:ascii="黑体" w:hAnsi="黑体" w:eastAsia="黑体" w:cs="黑体"/>
          <w:sz w:val="24"/>
          <w:szCs w:val="24"/>
          <w:highlight w:val="none"/>
          <w:lang w:val="en-US" w:eastAsia="zh-CN"/>
        </w:rPr>
        <w:t>2</w:t>
      </w:r>
      <w:r>
        <w:rPr>
          <w:rFonts w:hint="eastAsia" w:ascii="黑体" w:hAnsi="黑体" w:eastAsia="黑体" w:cs="黑体"/>
          <w:sz w:val="24"/>
          <w:szCs w:val="24"/>
          <w:highlight w:val="none"/>
        </w:rPr>
        <w:t>. 采购文件售价：人民币500元/份（售后不退）。</w:t>
      </w:r>
    </w:p>
    <w:p w14:paraId="3A3F2CCF">
      <w:pPr>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eastAsia" w:ascii="黑体" w:hAnsi="黑体" w:eastAsia="黑体" w:cs="黑体"/>
          <w:color w:val="000000" w:themeColor="text1"/>
          <w:sz w:val="24"/>
          <w:szCs w:val="24"/>
          <w:highlight w:val="none"/>
          <w:lang w:eastAsia="zh-CN"/>
          <w14:textFill>
            <w14:solidFill>
              <w14:schemeClr w14:val="tx1"/>
            </w14:solidFill>
          </w14:textFill>
        </w:rPr>
      </w:pPr>
      <w:r>
        <w:rPr>
          <w:rFonts w:hint="eastAsia" w:ascii="黑体" w:hAnsi="黑体" w:eastAsia="黑体" w:cs="黑体"/>
          <w:sz w:val="24"/>
          <w:szCs w:val="24"/>
          <w:highlight w:val="none"/>
          <w:lang w:val="en-US" w:eastAsia="zh-CN"/>
        </w:rPr>
        <w:t>3</w:t>
      </w:r>
      <w:r>
        <w:rPr>
          <w:rFonts w:hint="eastAsia" w:ascii="黑体" w:hAnsi="黑体" w:eastAsia="黑体" w:cs="黑体"/>
          <w:sz w:val="24"/>
          <w:szCs w:val="24"/>
          <w:highlight w:val="none"/>
        </w:rPr>
        <w:t>. 报名方式：</w:t>
      </w:r>
      <w:r>
        <w:rPr>
          <w:rFonts w:hint="eastAsia" w:ascii="黑体" w:hAnsi="黑体" w:eastAsia="黑体" w:cs="黑体"/>
          <w:color w:val="000000" w:themeColor="text1"/>
          <w:sz w:val="24"/>
          <w:szCs w:val="24"/>
          <w:highlight w:val="none"/>
          <w14:textFill>
            <w14:solidFill>
              <w14:schemeClr w14:val="tx1"/>
            </w14:solidFill>
          </w14:textFill>
        </w:rPr>
        <w:t>在</w:t>
      </w:r>
      <w:r>
        <w:rPr>
          <w:rFonts w:hint="eastAsia" w:ascii="黑体" w:hAnsi="黑体" w:eastAsia="黑体" w:cs="黑体"/>
          <w:color w:val="000000" w:themeColor="text1"/>
          <w:sz w:val="24"/>
          <w:szCs w:val="24"/>
          <w:highlight w:val="none"/>
          <w:lang w:eastAsia="zh-CN"/>
          <w14:textFill>
            <w14:solidFill>
              <w14:schemeClr w14:val="tx1"/>
            </w14:solidFill>
          </w14:textFill>
        </w:rPr>
        <w:t>比选文件提供期限</w:t>
      </w:r>
      <w:r>
        <w:rPr>
          <w:rFonts w:hint="eastAsia" w:ascii="黑体" w:hAnsi="黑体" w:eastAsia="黑体" w:cs="黑体"/>
          <w:color w:val="000000" w:themeColor="text1"/>
          <w:sz w:val="24"/>
          <w:szCs w:val="24"/>
          <w:highlight w:val="none"/>
          <w14:textFill>
            <w14:solidFill>
              <w14:schemeClr w14:val="tx1"/>
            </w14:solidFill>
          </w14:textFill>
        </w:rPr>
        <w:t>内，</w:t>
      </w:r>
      <w:r>
        <w:rPr>
          <w:rFonts w:hint="eastAsia" w:ascii="黑体" w:hAnsi="黑体" w:eastAsia="黑体" w:cs="黑体"/>
          <w:color w:val="000000" w:themeColor="text1"/>
          <w:sz w:val="24"/>
          <w:szCs w:val="24"/>
          <w:highlight w:val="none"/>
          <w:lang w:eastAsia="zh-CN"/>
          <w14:textFill>
            <w14:solidFill>
              <w14:schemeClr w14:val="tx1"/>
            </w14:solidFill>
          </w14:textFill>
        </w:rPr>
        <w:t>供应商将比选文件成本费汇到至以下账户，并将汇款凭证（注明项目名称）和《采购文件发售登记</w:t>
      </w:r>
      <w:r>
        <w:rPr>
          <w:rFonts w:hint="eastAsia" w:ascii="黑体" w:hAnsi="黑体" w:eastAsia="黑体" w:cs="黑体"/>
          <w:color w:val="000000" w:themeColor="text1"/>
          <w:sz w:val="24"/>
          <w:szCs w:val="24"/>
          <w:highlight w:val="none"/>
          <w14:textFill>
            <w14:solidFill>
              <w14:schemeClr w14:val="tx1"/>
            </w14:solidFill>
          </w14:textFill>
        </w:rPr>
        <w:t>表》（加盖供应商公章）扫描后发送至邮箱：</w:t>
      </w:r>
      <w:r>
        <w:rPr>
          <w:rFonts w:hint="eastAsia" w:ascii="黑体" w:hAnsi="黑体" w:eastAsia="黑体" w:cs="黑体"/>
          <w:color w:val="000000" w:themeColor="text1"/>
          <w:sz w:val="24"/>
          <w:szCs w:val="24"/>
          <w:highlight w:val="none"/>
          <w:lang w:val="en-US" w:eastAsia="zh-CN" w:bidi="ar"/>
          <w14:textFill>
            <w14:solidFill>
              <w14:schemeClr w14:val="tx1"/>
            </w14:solidFill>
          </w14:textFill>
        </w:rPr>
        <w:t>947936315</w:t>
      </w:r>
      <w:r>
        <w:rPr>
          <w:rFonts w:hint="eastAsia" w:ascii="黑体" w:hAnsi="黑体" w:eastAsia="黑体" w:cs="黑体"/>
          <w:color w:val="000000" w:themeColor="text1"/>
          <w:sz w:val="24"/>
          <w:szCs w:val="24"/>
          <w:highlight w:val="none"/>
          <w:lang w:bidi="ar"/>
          <w14:textFill>
            <w14:solidFill>
              <w14:schemeClr w14:val="tx1"/>
            </w14:solidFill>
          </w14:textFill>
        </w:rPr>
        <w:t>@qq.com</w:t>
      </w:r>
      <w:r>
        <w:rPr>
          <w:rFonts w:hint="eastAsia" w:ascii="黑体" w:hAnsi="黑体" w:eastAsia="黑体" w:cs="黑体"/>
          <w:color w:val="000000" w:themeColor="text1"/>
          <w:sz w:val="24"/>
          <w:szCs w:val="24"/>
          <w:highlight w:val="none"/>
          <w14:textFill>
            <w14:solidFill>
              <w14:schemeClr w14:val="tx1"/>
            </w14:solidFill>
          </w14:textFill>
        </w:rPr>
        <w:t>。</w:t>
      </w:r>
    </w:p>
    <w:p w14:paraId="1535562F">
      <w:pPr>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eastAsia" w:ascii="黑体" w:hAnsi="黑体" w:eastAsia="黑体" w:cs="黑体"/>
          <w:sz w:val="24"/>
          <w:szCs w:val="24"/>
          <w:highlight w:val="none"/>
        </w:rPr>
      </w:pPr>
      <w:r>
        <w:rPr>
          <w:rFonts w:hint="eastAsia" w:ascii="黑体" w:hAnsi="黑体" w:eastAsia="黑体" w:cs="黑体"/>
          <w:sz w:val="24"/>
          <w:szCs w:val="24"/>
          <w:highlight w:val="none"/>
        </w:rPr>
        <w:t>户  名：重庆大学建筑规划设计研究总院有限公司</w:t>
      </w:r>
    </w:p>
    <w:p w14:paraId="37606504">
      <w:pPr>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eastAsia" w:ascii="黑体" w:hAnsi="黑体" w:eastAsia="黑体" w:cs="黑体"/>
          <w:sz w:val="24"/>
          <w:szCs w:val="24"/>
          <w:highlight w:val="none"/>
        </w:rPr>
      </w:pPr>
      <w:r>
        <w:rPr>
          <w:rFonts w:hint="eastAsia" w:ascii="黑体" w:hAnsi="黑体" w:eastAsia="黑体" w:cs="黑体"/>
          <w:sz w:val="24"/>
          <w:szCs w:val="24"/>
          <w:highlight w:val="none"/>
        </w:rPr>
        <w:t>开户行：重庆银行重大</w:t>
      </w:r>
      <w:r>
        <w:rPr>
          <w:rFonts w:hint="eastAsia" w:ascii="黑体" w:hAnsi="黑体" w:eastAsia="黑体" w:cs="黑体"/>
          <w:sz w:val="24"/>
          <w:szCs w:val="24"/>
          <w:highlight w:val="none"/>
          <w:lang w:eastAsia="zh-CN"/>
        </w:rPr>
        <w:t>支</w:t>
      </w:r>
      <w:r>
        <w:rPr>
          <w:rFonts w:hint="eastAsia" w:ascii="黑体" w:hAnsi="黑体" w:eastAsia="黑体" w:cs="黑体"/>
          <w:sz w:val="24"/>
          <w:szCs w:val="24"/>
          <w:highlight w:val="none"/>
        </w:rPr>
        <w:t>行</w:t>
      </w:r>
    </w:p>
    <w:p w14:paraId="55CEFED9">
      <w:pPr>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eastAsia" w:ascii="黑体" w:hAnsi="黑体" w:eastAsia="黑体" w:cs="黑体"/>
          <w:sz w:val="24"/>
          <w:szCs w:val="24"/>
          <w:highlight w:val="none"/>
        </w:rPr>
      </w:pPr>
      <w:r>
        <w:rPr>
          <w:rFonts w:hint="eastAsia" w:ascii="黑体" w:hAnsi="黑体" w:eastAsia="黑体" w:cs="黑体"/>
          <w:sz w:val="24"/>
          <w:szCs w:val="24"/>
          <w:highlight w:val="none"/>
        </w:rPr>
        <w:t xml:space="preserve">账  号：480101040001807 </w:t>
      </w:r>
    </w:p>
    <w:p w14:paraId="7C4D5BE8">
      <w:pPr>
        <w:kinsoku/>
        <w:wordWrap w:val="0"/>
        <w:overflowPunct/>
        <w:topLinePunct w:val="0"/>
        <w:autoSpaceDE/>
        <w:autoSpaceDN/>
        <w:bidi w:val="0"/>
        <w:adjustRightInd/>
        <w:spacing w:line="480" w:lineRule="exact"/>
        <w:ind w:firstLine="480" w:firstLineChars="200"/>
        <w:rPr>
          <w:rFonts w:hint="eastAsia" w:ascii="黑体" w:hAnsi="黑体" w:eastAsia="黑体" w:cs="黑体"/>
          <w:sz w:val="24"/>
          <w:szCs w:val="24"/>
          <w:highlight w:val="none"/>
        </w:rPr>
      </w:pPr>
      <w:r>
        <w:rPr>
          <w:rFonts w:hint="eastAsia" w:ascii="黑体" w:hAnsi="黑体" w:eastAsia="黑体" w:cs="黑体"/>
          <w:sz w:val="24"/>
          <w:szCs w:val="24"/>
          <w:highlight w:val="none"/>
        </w:rPr>
        <w:t>（三）供应商须满足以下两种要求，其响应文件才被接受：</w:t>
      </w:r>
    </w:p>
    <w:p w14:paraId="273C8677">
      <w:pPr>
        <w:kinsoku/>
        <w:wordWrap w:val="0"/>
        <w:overflowPunct/>
        <w:topLinePunct w:val="0"/>
        <w:autoSpaceDE/>
        <w:autoSpaceDN/>
        <w:bidi w:val="0"/>
        <w:adjustRightInd/>
        <w:spacing w:line="480" w:lineRule="exact"/>
        <w:ind w:firstLine="480" w:firstLineChars="200"/>
        <w:rPr>
          <w:rFonts w:hint="eastAsia" w:ascii="黑体" w:hAnsi="黑体" w:eastAsia="黑体" w:cs="黑体"/>
          <w:sz w:val="24"/>
          <w:szCs w:val="24"/>
          <w:highlight w:val="none"/>
        </w:rPr>
      </w:pPr>
      <w:r>
        <w:rPr>
          <w:rFonts w:hint="eastAsia" w:ascii="黑体" w:hAnsi="黑体" w:eastAsia="黑体" w:cs="黑体"/>
          <w:sz w:val="24"/>
          <w:szCs w:val="24"/>
          <w:highlight w:val="none"/>
        </w:rPr>
        <w:t>1、按时递交了响应文件；</w:t>
      </w:r>
    </w:p>
    <w:p w14:paraId="17D3B1B2">
      <w:pPr>
        <w:kinsoku/>
        <w:wordWrap w:val="0"/>
        <w:overflowPunct/>
        <w:topLinePunct w:val="0"/>
        <w:autoSpaceDE/>
        <w:autoSpaceDN/>
        <w:bidi w:val="0"/>
        <w:adjustRightInd/>
        <w:spacing w:line="480" w:lineRule="exact"/>
        <w:ind w:firstLine="480" w:firstLineChars="200"/>
        <w:rPr>
          <w:rFonts w:hint="eastAsia" w:ascii="黑体" w:hAnsi="黑体" w:eastAsia="黑体" w:cs="黑体"/>
          <w:sz w:val="24"/>
          <w:szCs w:val="24"/>
          <w:highlight w:val="none"/>
        </w:rPr>
      </w:pPr>
      <w:r>
        <w:rPr>
          <w:rFonts w:hint="eastAsia" w:ascii="黑体" w:hAnsi="黑体" w:eastAsia="黑体" w:cs="黑体"/>
          <w:sz w:val="24"/>
          <w:szCs w:val="24"/>
          <w:highlight w:val="none"/>
        </w:rPr>
        <w:t>2、按规定报名</w:t>
      </w:r>
      <w:r>
        <w:rPr>
          <w:rFonts w:hint="eastAsia" w:ascii="黑体" w:hAnsi="黑体" w:eastAsia="黑体" w:cs="黑体"/>
          <w:sz w:val="24"/>
          <w:szCs w:val="24"/>
          <w:highlight w:val="none"/>
          <w:lang w:eastAsia="zh-CN"/>
        </w:rPr>
        <w:t>并缴纳文件成本费</w:t>
      </w:r>
      <w:r>
        <w:rPr>
          <w:rFonts w:hint="eastAsia" w:ascii="黑体" w:hAnsi="黑体" w:eastAsia="黑体" w:cs="黑体"/>
          <w:sz w:val="24"/>
          <w:szCs w:val="24"/>
          <w:highlight w:val="none"/>
        </w:rPr>
        <w:t>。</w:t>
      </w:r>
    </w:p>
    <w:p w14:paraId="2848F36C">
      <w:pPr>
        <w:kinsoku/>
        <w:wordWrap w:val="0"/>
        <w:overflowPunct/>
        <w:topLinePunct w:val="0"/>
        <w:autoSpaceDE/>
        <w:autoSpaceDN/>
        <w:bidi w:val="0"/>
        <w:adjustRightInd/>
        <w:spacing w:line="480" w:lineRule="exact"/>
        <w:ind w:firstLine="480" w:firstLineChars="200"/>
        <w:rPr>
          <w:rFonts w:hint="default" w:ascii="黑体" w:hAnsi="黑体" w:eastAsia="黑体" w:cs="黑体"/>
          <w:color w:val="000000" w:themeColor="text1"/>
          <w:sz w:val="24"/>
          <w:szCs w:val="24"/>
          <w:highlight w:val="none"/>
          <w:lang w:val="en-US" w:eastAsia="zh-CN"/>
          <w14:textFill>
            <w14:solidFill>
              <w14:schemeClr w14:val="tx1"/>
            </w14:solidFill>
          </w14:textFill>
        </w:rPr>
      </w:pPr>
      <w:r>
        <w:rPr>
          <w:rFonts w:hint="eastAsia" w:ascii="黑体" w:hAnsi="黑体" w:eastAsia="黑体" w:cs="黑体"/>
          <w:sz w:val="24"/>
          <w:szCs w:val="24"/>
          <w:highlight w:val="none"/>
        </w:rPr>
        <w:t>（四）递交响应文件地点：</w:t>
      </w:r>
      <w:r>
        <w:rPr>
          <w:rFonts w:hint="eastAsia" w:ascii="黑体" w:hAnsi="黑体" w:eastAsia="黑体" w:cs="黑体"/>
          <w:color w:val="000000" w:themeColor="text1"/>
          <w:sz w:val="24"/>
          <w:szCs w:val="24"/>
          <w:highlight w:val="none"/>
          <w14:textFill>
            <w14:solidFill>
              <w14:schemeClr w14:val="tx1"/>
            </w14:solidFill>
          </w14:textFill>
        </w:rPr>
        <w:t>重庆市大足区棠香街道五星大道南段229号4幢8-25号</w:t>
      </w:r>
    </w:p>
    <w:p w14:paraId="31D524B3">
      <w:pPr>
        <w:kinsoku/>
        <w:wordWrap w:val="0"/>
        <w:overflowPunct/>
        <w:topLinePunct w:val="0"/>
        <w:autoSpaceDE/>
        <w:autoSpaceDN/>
        <w:bidi w:val="0"/>
        <w:adjustRightInd/>
        <w:spacing w:line="480" w:lineRule="exact"/>
        <w:ind w:firstLine="480" w:firstLineChars="200"/>
        <w:rPr>
          <w:rFonts w:hint="default" w:ascii="黑体" w:hAnsi="黑体" w:eastAsia="黑体" w:cs="黑体"/>
          <w:sz w:val="24"/>
          <w:szCs w:val="24"/>
          <w:highlight w:val="none"/>
          <w:lang w:val="en-US" w:eastAsia="zh-CN"/>
        </w:rPr>
      </w:pPr>
      <w:r>
        <w:rPr>
          <w:rFonts w:hint="eastAsia" w:ascii="黑体" w:hAnsi="黑体" w:eastAsia="黑体" w:cs="黑体"/>
          <w:sz w:val="24"/>
          <w:szCs w:val="24"/>
          <w:highlight w:val="none"/>
        </w:rPr>
        <w:t>（五）响应文件递交开始时间：202</w:t>
      </w:r>
      <w:r>
        <w:rPr>
          <w:rFonts w:hint="eastAsia" w:ascii="黑体" w:hAnsi="黑体" w:eastAsia="黑体" w:cs="黑体"/>
          <w:sz w:val="24"/>
          <w:szCs w:val="24"/>
          <w:highlight w:val="none"/>
          <w:lang w:val="en-US" w:eastAsia="zh-CN"/>
        </w:rPr>
        <w:t>6</w:t>
      </w:r>
      <w:r>
        <w:rPr>
          <w:rFonts w:hint="eastAsia" w:ascii="黑体" w:hAnsi="黑体" w:eastAsia="黑体" w:cs="黑体"/>
          <w:sz w:val="24"/>
          <w:szCs w:val="24"/>
          <w:highlight w:val="none"/>
        </w:rPr>
        <w:t>年</w:t>
      </w:r>
      <w:r>
        <w:rPr>
          <w:rFonts w:hint="eastAsia" w:ascii="黑体" w:hAnsi="黑体" w:eastAsia="黑体" w:cs="黑体"/>
          <w:sz w:val="24"/>
          <w:szCs w:val="24"/>
          <w:highlight w:val="none"/>
          <w:lang w:val="en-US" w:eastAsia="zh-CN"/>
        </w:rPr>
        <w:t>10月15日</w:t>
      </w:r>
      <w:r>
        <w:rPr>
          <w:rFonts w:hint="eastAsia" w:ascii="黑体" w:hAnsi="黑体" w:eastAsia="黑体" w:cs="黑体"/>
          <w:sz w:val="24"/>
          <w:szCs w:val="24"/>
          <w:highlight w:val="none"/>
        </w:rPr>
        <w:t>北京时间</w:t>
      </w:r>
      <w:r>
        <w:rPr>
          <w:rFonts w:hint="eastAsia" w:ascii="黑体" w:hAnsi="黑体" w:eastAsia="黑体" w:cs="黑体"/>
          <w:sz w:val="24"/>
          <w:szCs w:val="24"/>
          <w:highlight w:val="none"/>
          <w:lang w:val="en-US" w:eastAsia="zh-CN"/>
        </w:rPr>
        <w:t>09：00</w:t>
      </w:r>
    </w:p>
    <w:p w14:paraId="19329304">
      <w:pPr>
        <w:kinsoku/>
        <w:wordWrap w:val="0"/>
        <w:overflowPunct/>
        <w:topLinePunct w:val="0"/>
        <w:autoSpaceDE/>
        <w:autoSpaceDN/>
        <w:bidi w:val="0"/>
        <w:adjustRightInd/>
        <w:spacing w:line="480" w:lineRule="exact"/>
        <w:ind w:firstLine="480" w:firstLineChars="200"/>
        <w:rPr>
          <w:rFonts w:hint="default" w:ascii="黑体" w:hAnsi="黑体" w:eastAsia="黑体" w:cs="黑体"/>
          <w:sz w:val="24"/>
          <w:szCs w:val="24"/>
          <w:highlight w:val="none"/>
          <w:lang w:val="en-US" w:eastAsia="zh-CN"/>
        </w:rPr>
      </w:pPr>
      <w:r>
        <w:rPr>
          <w:rFonts w:hint="eastAsia" w:ascii="黑体" w:hAnsi="黑体" w:eastAsia="黑体" w:cs="黑体"/>
          <w:sz w:val="24"/>
          <w:szCs w:val="24"/>
          <w:highlight w:val="none"/>
        </w:rPr>
        <w:t>（六）响应文件递交截止时间：202</w:t>
      </w:r>
      <w:r>
        <w:rPr>
          <w:rFonts w:hint="eastAsia" w:ascii="黑体" w:hAnsi="黑体" w:eastAsia="黑体" w:cs="黑体"/>
          <w:sz w:val="24"/>
          <w:szCs w:val="24"/>
          <w:highlight w:val="none"/>
          <w:lang w:val="en-US" w:eastAsia="zh-CN"/>
        </w:rPr>
        <w:t>6</w:t>
      </w:r>
      <w:r>
        <w:rPr>
          <w:rFonts w:hint="eastAsia" w:ascii="黑体" w:hAnsi="黑体" w:eastAsia="黑体" w:cs="黑体"/>
          <w:sz w:val="24"/>
          <w:szCs w:val="24"/>
          <w:highlight w:val="none"/>
        </w:rPr>
        <w:t>年</w:t>
      </w:r>
      <w:r>
        <w:rPr>
          <w:rFonts w:hint="eastAsia" w:ascii="黑体" w:hAnsi="黑体" w:eastAsia="黑体" w:cs="黑体"/>
          <w:sz w:val="24"/>
          <w:szCs w:val="24"/>
          <w:highlight w:val="none"/>
          <w:lang w:val="en-US" w:eastAsia="zh-CN"/>
        </w:rPr>
        <w:t>10月15日</w:t>
      </w:r>
      <w:r>
        <w:rPr>
          <w:rFonts w:hint="eastAsia" w:ascii="黑体" w:hAnsi="黑体" w:eastAsia="黑体" w:cs="黑体"/>
          <w:sz w:val="24"/>
          <w:szCs w:val="24"/>
          <w:highlight w:val="none"/>
        </w:rPr>
        <w:t>北京时间</w:t>
      </w:r>
      <w:r>
        <w:rPr>
          <w:rFonts w:hint="eastAsia" w:ascii="黑体" w:hAnsi="黑体" w:eastAsia="黑体" w:cs="黑体"/>
          <w:sz w:val="24"/>
          <w:szCs w:val="24"/>
          <w:highlight w:val="none"/>
          <w:lang w:val="en-US" w:eastAsia="zh-CN"/>
        </w:rPr>
        <w:t>09：30</w:t>
      </w:r>
    </w:p>
    <w:p w14:paraId="486F4177">
      <w:pPr>
        <w:kinsoku/>
        <w:wordWrap w:val="0"/>
        <w:overflowPunct/>
        <w:topLinePunct w:val="0"/>
        <w:autoSpaceDE/>
        <w:autoSpaceDN/>
        <w:bidi w:val="0"/>
        <w:adjustRightInd/>
        <w:spacing w:line="480" w:lineRule="exact"/>
        <w:ind w:firstLine="480" w:firstLineChars="200"/>
        <w:rPr>
          <w:rFonts w:hint="eastAsia" w:ascii="黑体" w:hAnsi="黑体" w:eastAsia="黑体" w:cs="黑体"/>
          <w:sz w:val="24"/>
          <w:szCs w:val="24"/>
          <w:highlight w:val="none"/>
          <w:u w:val="none"/>
          <w:lang w:eastAsia="zh-CN"/>
        </w:rPr>
      </w:pPr>
      <w:r>
        <w:rPr>
          <w:rFonts w:hint="eastAsia" w:ascii="黑体" w:hAnsi="黑体" w:eastAsia="黑体" w:cs="黑体"/>
          <w:sz w:val="24"/>
          <w:szCs w:val="24"/>
          <w:highlight w:val="none"/>
        </w:rPr>
        <w:t>（七）响应文件开启时间：202</w:t>
      </w:r>
      <w:r>
        <w:rPr>
          <w:rFonts w:hint="eastAsia" w:ascii="黑体" w:hAnsi="黑体" w:eastAsia="黑体" w:cs="黑体"/>
          <w:sz w:val="24"/>
          <w:szCs w:val="24"/>
          <w:highlight w:val="none"/>
          <w:lang w:val="en-US" w:eastAsia="zh-CN"/>
        </w:rPr>
        <w:t>6</w:t>
      </w:r>
      <w:r>
        <w:rPr>
          <w:rFonts w:hint="eastAsia" w:ascii="黑体" w:hAnsi="黑体" w:eastAsia="黑体" w:cs="黑体"/>
          <w:sz w:val="24"/>
          <w:szCs w:val="24"/>
          <w:highlight w:val="none"/>
        </w:rPr>
        <w:t>年</w:t>
      </w:r>
      <w:r>
        <w:rPr>
          <w:rFonts w:hint="eastAsia" w:ascii="黑体" w:hAnsi="黑体" w:eastAsia="黑体" w:cs="黑体"/>
          <w:sz w:val="24"/>
          <w:szCs w:val="24"/>
          <w:highlight w:val="none"/>
          <w:lang w:val="en-US" w:eastAsia="zh-CN"/>
        </w:rPr>
        <w:t>10月15日</w:t>
      </w:r>
      <w:r>
        <w:rPr>
          <w:rFonts w:hint="eastAsia" w:ascii="黑体" w:hAnsi="黑体" w:eastAsia="黑体" w:cs="黑体"/>
          <w:sz w:val="24"/>
          <w:szCs w:val="24"/>
          <w:highlight w:val="none"/>
        </w:rPr>
        <w:t>北京时间</w:t>
      </w:r>
      <w:r>
        <w:rPr>
          <w:rFonts w:hint="eastAsia" w:ascii="黑体" w:hAnsi="黑体" w:eastAsia="黑体" w:cs="黑体"/>
          <w:sz w:val="24"/>
          <w:szCs w:val="24"/>
          <w:highlight w:val="none"/>
          <w:lang w:val="en-US" w:eastAsia="zh-CN"/>
        </w:rPr>
        <w:t xml:space="preserve">09：30 </w:t>
      </w:r>
    </w:p>
    <w:bookmarkEnd w:id="14"/>
    <w:bookmarkEnd w:id="15"/>
    <w:p w14:paraId="38F639EF">
      <w:pPr>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eastAsia" w:ascii="黑体" w:hAnsi="黑体" w:eastAsia="黑体" w:cs="黑体"/>
          <w:b/>
          <w:bCs/>
          <w:sz w:val="24"/>
          <w:szCs w:val="24"/>
          <w:lang w:eastAsia="zh-CN"/>
        </w:rPr>
      </w:pPr>
      <w:bookmarkStart w:id="16" w:name="_Toc12296"/>
      <w:bookmarkStart w:id="17" w:name="_Toc21052"/>
      <w:bookmarkStart w:id="18" w:name="_Toc2945"/>
      <w:bookmarkStart w:id="19" w:name="_Toc65660335"/>
      <w:bookmarkStart w:id="20" w:name="_Toc4355"/>
      <w:bookmarkStart w:id="21" w:name="_Toc525047162"/>
      <w:bookmarkStart w:id="22" w:name="_Toc519081888"/>
      <w:bookmarkStart w:id="23" w:name="_Toc521053054"/>
      <w:bookmarkStart w:id="24" w:name="_Toc106034775"/>
      <w:bookmarkStart w:id="25" w:name="_Toc12712"/>
      <w:bookmarkStart w:id="26" w:name="_Toc75258777"/>
      <w:r>
        <w:rPr>
          <w:rFonts w:hint="eastAsia" w:ascii="黑体" w:hAnsi="黑体" w:eastAsia="黑体" w:cs="黑体"/>
          <w:bCs/>
          <w:color w:val="auto"/>
          <w:sz w:val="24"/>
          <w:szCs w:val="24"/>
          <w:highlight w:val="none"/>
          <w:lang w:val="en-US" w:eastAsia="zh-CN"/>
        </w:rPr>
        <w:t>逾期送达的、未送达指定地点的或者不按照采购文件要求密封的响应文件，采购人或采购代理机构将予以拒收。</w:t>
      </w:r>
    </w:p>
    <w:bookmarkEnd w:id="16"/>
    <w:bookmarkEnd w:id="17"/>
    <w:bookmarkEnd w:id="18"/>
    <w:bookmarkEnd w:id="19"/>
    <w:bookmarkEnd w:id="20"/>
    <w:bookmarkEnd w:id="21"/>
    <w:bookmarkEnd w:id="22"/>
    <w:bookmarkEnd w:id="23"/>
    <w:bookmarkEnd w:id="24"/>
    <w:p w14:paraId="32203AB6">
      <w:pPr>
        <w:kinsoku/>
        <w:overflowPunct/>
        <w:topLinePunct w:val="0"/>
        <w:autoSpaceDE/>
        <w:autoSpaceDN/>
        <w:bidi w:val="0"/>
        <w:adjustRightInd/>
        <w:snapToGrid w:val="0"/>
        <w:spacing w:line="480" w:lineRule="exact"/>
        <w:ind w:firstLine="482" w:firstLineChars="200"/>
        <w:rPr>
          <w:rFonts w:hint="eastAsia" w:ascii="黑体" w:hAnsi="黑体" w:eastAsia="黑体" w:cs="黑体"/>
          <w:b/>
          <w:bCs/>
          <w:sz w:val="24"/>
          <w:szCs w:val="24"/>
          <w:u w:val="none"/>
          <w:lang w:eastAsia="zh-CN"/>
        </w:rPr>
      </w:pPr>
      <w:r>
        <w:rPr>
          <w:rFonts w:hint="eastAsia" w:ascii="黑体" w:hAnsi="黑体" w:eastAsia="黑体" w:cs="黑体"/>
          <w:b/>
          <w:bCs/>
          <w:sz w:val="24"/>
          <w:szCs w:val="24"/>
          <w:u w:val="none"/>
          <w:lang w:eastAsia="zh-CN"/>
        </w:rPr>
        <w:t>五、其它有关规定</w:t>
      </w:r>
      <w:bookmarkEnd w:id="25"/>
      <w:bookmarkEnd w:id="26"/>
    </w:p>
    <w:p w14:paraId="14A4A3F6">
      <w:pPr>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eastAsia" w:ascii="黑体" w:hAnsi="黑体" w:eastAsia="黑体" w:cs="黑体"/>
          <w:sz w:val="24"/>
          <w:szCs w:val="24"/>
        </w:rPr>
      </w:pPr>
      <w:bookmarkStart w:id="27" w:name="_Toc16646"/>
      <w:r>
        <w:rPr>
          <w:rFonts w:hint="eastAsia" w:ascii="黑体" w:hAnsi="黑体" w:eastAsia="黑体" w:cs="黑体"/>
          <w:sz w:val="24"/>
          <w:szCs w:val="24"/>
        </w:rPr>
        <w:t xml:space="preserve">（一）单位负责人为同一人或者存在直接控股、管理关系的不同供应商，不得参加同一合同项下的采购活动，否则均为无效响应。 </w:t>
      </w:r>
    </w:p>
    <w:p w14:paraId="137A3469">
      <w:pPr>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eastAsia" w:ascii="黑体" w:hAnsi="黑体" w:eastAsia="黑体" w:cs="黑体"/>
          <w:sz w:val="24"/>
          <w:szCs w:val="24"/>
        </w:rPr>
      </w:pPr>
      <w:r>
        <w:rPr>
          <w:rFonts w:hint="eastAsia" w:ascii="黑体" w:hAnsi="黑体" w:eastAsia="黑体" w:cs="黑体"/>
          <w:sz w:val="24"/>
          <w:szCs w:val="24"/>
        </w:rPr>
        <w:t>（二）为采购项目提供整体设计、规范编制或者项目管理、监理、检测等服务的供应商，不得再参加该采购项目的其他采购活动，否则均为无效响应。</w:t>
      </w:r>
    </w:p>
    <w:p w14:paraId="60987BB9">
      <w:pPr>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eastAsia" w:ascii="黑体" w:hAnsi="黑体" w:eastAsia="黑体" w:cs="黑体"/>
          <w:sz w:val="24"/>
          <w:szCs w:val="24"/>
        </w:rPr>
      </w:pPr>
      <w:r>
        <w:rPr>
          <w:rFonts w:hint="eastAsia" w:ascii="黑体" w:hAnsi="黑体" w:eastAsia="黑体" w:cs="黑体"/>
          <w:sz w:val="24"/>
          <w:szCs w:val="24"/>
        </w:rPr>
        <w:t>（三）超过响应文件截止时间递交的响应文件为无效文件，恕不接收。</w:t>
      </w:r>
    </w:p>
    <w:p w14:paraId="1FC9FB66">
      <w:pPr>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eastAsia" w:ascii="黑体" w:hAnsi="黑体" w:eastAsia="黑体" w:cs="黑体"/>
          <w:sz w:val="24"/>
          <w:szCs w:val="24"/>
        </w:rPr>
      </w:pPr>
      <w:r>
        <w:rPr>
          <w:rFonts w:hint="eastAsia" w:ascii="黑体" w:hAnsi="黑体" w:eastAsia="黑体" w:cs="黑体"/>
          <w:sz w:val="24"/>
          <w:szCs w:val="24"/>
        </w:rPr>
        <w:t>（四）比选费用：无论比选结果如何，供应商参与本项目比选的所有费用均应由供应商自行承担。</w:t>
      </w:r>
    </w:p>
    <w:p w14:paraId="1FCDB6D7">
      <w:pPr>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eastAsia" w:ascii="黑体" w:hAnsi="黑体" w:eastAsia="黑体" w:cs="黑体"/>
          <w:sz w:val="24"/>
          <w:szCs w:val="24"/>
        </w:rPr>
      </w:pPr>
      <w:r>
        <w:rPr>
          <w:rFonts w:hint="eastAsia" w:ascii="黑体" w:hAnsi="黑体" w:eastAsia="黑体" w:cs="黑体"/>
          <w:sz w:val="24"/>
          <w:szCs w:val="24"/>
        </w:rPr>
        <w:t>（五）本项目不接受联合体形式比选。</w:t>
      </w:r>
    </w:p>
    <w:p w14:paraId="46E2FAA5">
      <w:pPr>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eastAsia" w:ascii="黑体" w:hAnsi="黑体" w:eastAsia="黑体" w:cs="黑体"/>
          <w:sz w:val="24"/>
          <w:szCs w:val="24"/>
        </w:rPr>
      </w:pPr>
      <w:r>
        <w:rPr>
          <w:rFonts w:hint="eastAsia" w:ascii="黑体" w:hAnsi="黑体" w:eastAsia="黑体" w:cs="黑体"/>
          <w:sz w:val="24"/>
          <w:szCs w:val="24"/>
        </w:rPr>
        <w:t>（六）本项目不接受合同分包。</w:t>
      </w:r>
    </w:p>
    <w:p w14:paraId="0D1014D9">
      <w:pPr>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eastAsia" w:ascii="黑体" w:hAnsi="黑体" w:eastAsia="黑体" w:cs="黑体"/>
          <w:sz w:val="24"/>
          <w:szCs w:val="24"/>
        </w:rPr>
      </w:pPr>
      <w:r>
        <w:rPr>
          <w:rFonts w:hint="eastAsia" w:ascii="黑体" w:hAnsi="黑体" w:eastAsia="黑体" w:cs="黑体"/>
          <w:sz w:val="24"/>
          <w:szCs w:val="24"/>
        </w:rPr>
        <w:t>（七）提交银行盖章的开户许可证复印件并加盖公章，否则为无效文件，恕不接收。</w:t>
      </w:r>
    </w:p>
    <w:p w14:paraId="35F00AC9">
      <w:pPr>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eastAsia" w:ascii="黑体" w:hAnsi="黑体" w:eastAsia="黑体" w:cs="黑体"/>
          <w:sz w:val="24"/>
          <w:szCs w:val="24"/>
        </w:rPr>
      </w:pPr>
      <w:r>
        <w:rPr>
          <w:rFonts w:hint="eastAsia" w:ascii="黑体" w:hAnsi="黑体" w:eastAsia="黑体" w:cs="黑体"/>
          <w:sz w:val="24"/>
          <w:szCs w:val="24"/>
        </w:rPr>
        <w:t>（八）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50537DF6">
      <w:pPr>
        <w:kinsoku/>
        <w:overflowPunct/>
        <w:topLinePunct w:val="0"/>
        <w:autoSpaceDE/>
        <w:autoSpaceDN/>
        <w:bidi w:val="0"/>
        <w:adjustRightInd/>
        <w:snapToGrid w:val="0"/>
        <w:spacing w:line="480" w:lineRule="exact"/>
        <w:ind w:firstLine="482" w:firstLineChars="200"/>
        <w:rPr>
          <w:rFonts w:hint="eastAsia" w:ascii="黑体" w:hAnsi="黑体" w:eastAsia="黑体" w:cs="黑体"/>
          <w:b/>
          <w:bCs/>
          <w:sz w:val="24"/>
          <w:szCs w:val="24"/>
          <w:u w:val="none"/>
          <w:lang w:eastAsia="zh-CN"/>
        </w:rPr>
      </w:pPr>
      <w:r>
        <w:rPr>
          <w:rFonts w:hint="eastAsia" w:ascii="黑体" w:hAnsi="黑体" w:eastAsia="黑体" w:cs="黑体"/>
          <w:b/>
          <w:bCs/>
          <w:sz w:val="24"/>
          <w:szCs w:val="24"/>
          <w:u w:val="none"/>
          <w:lang w:val="en-US" w:eastAsia="zh-CN"/>
        </w:rPr>
        <w:t>六</w:t>
      </w:r>
      <w:r>
        <w:rPr>
          <w:rFonts w:hint="eastAsia" w:ascii="黑体" w:hAnsi="黑体" w:eastAsia="黑体" w:cs="黑体"/>
          <w:b/>
          <w:bCs/>
          <w:sz w:val="24"/>
          <w:szCs w:val="24"/>
          <w:u w:val="none"/>
          <w:lang w:eastAsia="zh-CN"/>
        </w:rPr>
        <w:t>、联系方式</w:t>
      </w:r>
      <w:bookmarkEnd w:id="27"/>
    </w:p>
    <w:p w14:paraId="5961968C">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r>
        <w:rPr>
          <w:rFonts w:hint="eastAsia" w:ascii="黑体" w:hAnsi="黑体" w:eastAsia="黑体" w:cs="黑体"/>
          <w:sz w:val="24"/>
          <w:szCs w:val="24"/>
          <w:u w:val="none"/>
          <w:lang w:eastAsia="zh-CN"/>
        </w:rPr>
        <w:t>（一）采购人：重庆泽足水务投资建设有限公司</w:t>
      </w:r>
    </w:p>
    <w:p w14:paraId="24F7B1E4">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r>
        <w:rPr>
          <w:rFonts w:hint="eastAsia" w:ascii="黑体" w:hAnsi="黑体" w:eastAsia="黑体" w:cs="黑体"/>
          <w:sz w:val="24"/>
          <w:szCs w:val="24"/>
          <w:u w:val="none"/>
          <w:lang w:eastAsia="zh-CN"/>
        </w:rPr>
        <w:t>联系人：蒋老师</w:t>
      </w:r>
    </w:p>
    <w:p w14:paraId="3B10841B">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r>
        <w:rPr>
          <w:rFonts w:hint="eastAsia" w:ascii="黑体" w:hAnsi="黑体" w:eastAsia="黑体" w:cs="黑体"/>
          <w:sz w:val="24"/>
          <w:szCs w:val="24"/>
          <w:u w:val="none"/>
          <w:lang w:eastAsia="zh-CN"/>
        </w:rPr>
        <w:t>电  话：18580228501</w:t>
      </w:r>
    </w:p>
    <w:p w14:paraId="477B157C">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r>
        <w:rPr>
          <w:rFonts w:hint="eastAsia" w:ascii="黑体" w:hAnsi="黑体" w:eastAsia="黑体" w:cs="黑体"/>
          <w:sz w:val="24"/>
          <w:szCs w:val="24"/>
          <w:u w:val="none"/>
          <w:lang w:eastAsia="zh-CN"/>
        </w:rPr>
        <w:t>地  址：重庆市大足区</w:t>
      </w:r>
    </w:p>
    <w:p w14:paraId="353794E1">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p>
    <w:p w14:paraId="1349CF82">
      <w:pPr>
        <w:numPr>
          <w:ilvl w:val="0"/>
          <w:numId w:val="2"/>
        </w:num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r>
        <w:rPr>
          <w:rFonts w:hint="eastAsia" w:ascii="黑体" w:hAnsi="黑体" w:eastAsia="黑体" w:cs="黑体"/>
          <w:sz w:val="24"/>
          <w:szCs w:val="24"/>
          <w:u w:val="none"/>
          <w:lang w:eastAsia="zh-CN"/>
        </w:rPr>
        <w:t>采购代理机构：重庆大学建筑规划设计研究总院有限公司</w:t>
      </w:r>
    </w:p>
    <w:p w14:paraId="3C7796BD">
      <w:pPr>
        <w:numPr>
          <w:ilvl w:val="0"/>
          <w:numId w:val="0"/>
        </w:num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r>
        <w:rPr>
          <w:rFonts w:hint="eastAsia" w:ascii="黑体" w:hAnsi="黑体" w:eastAsia="黑体" w:cs="黑体"/>
          <w:sz w:val="24"/>
          <w:szCs w:val="24"/>
          <w:u w:val="none"/>
          <w:lang w:eastAsia="zh-CN"/>
        </w:rPr>
        <w:t>联系人：李老师</w:t>
      </w:r>
    </w:p>
    <w:p w14:paraId="31F73C34">
      <w:pPr>
        <w:kinsoku/>
        <w:overflowPunct/>
        <w:topLinePunct w:val="0"/>
        <w:autoSpaceDE/>
        <w:autoSpaceDN/>
        <w:bidi w:val="0"/>
        <w:adjustRightInd/>
        <w:snapToGrid w:val="0"/>
        <w:spacing w:line="480" w:lineRule="exact"/>
        <w:ind w:firstLine="480" w:firstLineChars="200"/>
        <w:rPr>
          <w:rFonts w:hint="default" w:ascii="黑体" w:hAnsi="黑体" w:eastAsia="黑体" w:cs="黑体"/>
          <w:sz w:val="24"/>
          <w:szCs w:val="24"/>
          <w:u w:val="none"/>
          <w:lang w:val="en-US" w:eastAsia="zh-CN"/>
        </w:rPr>
      </w:pPr>
      <w:r>
        <w:rPr>
          <w:rFonts w:hint="eastAsia" w:ascii="黑体" w:hAnsi="黑体" w:eastAsia="黑体" w:cs="黑体"/>
          <w:sz w:val="24"/>
          <w:szCs w:val="24"/>
          <w:u w:val="none"/>
          <w:lang w:eastAsia="zh-CN"/>
        </w:rPr>
        <w:t>电  话：</w:t>
      </w:r>
      <w:bookmarkStart w:id="28" w:name="_Toc180051219"/>
      <w:bookmarkStart w:id="29" w:name="_Toc178828108"/>
      <w:bookmarkStart w:id="30" w:name="_Toc216163282"/>
      <w:r>
        <w:rPr>
          <w:rFonts w:hint="eastAsia" w:ascii="黑体" w:hAnsi="黑体" w:eastAsia="黑体" w:cs="黑体"/>
          <w:sz w:val="24"/>
          <w:szCs w:val="24"/>
          <w:u w:val="none"/>
          <w:lang w:val="en-US" w:eastAsia="zh-CN"/>
        </w:rPr>
        <w:t>18983947483</w:t>
      </w:r>
    </w:p>
    <w:p w14:paraId="3AFCA786">
      <w:pPr>
        <w:keepNext w:val="0"/>
        <w:keepLines w:val="0"/>
        <w:suppressLineNumbers w:val="0"/>
        <w:spacing w:before="0" w:beforeAutospacing="0" w:after="0" w:afterAutospacing="0" w:line="440" w:lineRule="exact"/>
        <w:ind w:left="0" w:right="0" w:firstLine="480" w:firstLineChars="200"/>
        <w:rPr>
          <w:rFonts w:hint="default" w:ascii="宋体" w:hAnsi="宋体" w:cs="宋体"/>
          <w:bCs/>
          <w:color w:val="auto"/>
          <w:spacing w:val="8"/>
          <w:kern w:val="0"/>
          <w:szCs w:val="21"/>
        </w:rPr>
      </w:pPr>
      <w:r>
        <w:rPr>
          <w:rFonts w:hint="eastAsia" w:ascii="黑体" w:hAnsi="黑体" w:eastAsia="黑体" w:cs="黑体"/>
          <w:sz w:val="24"/>
          <w:szCs w:val="24"/>
          <w:u w:val="none"/>
          <w:lang w:eastAsia="zh-CN"/>
        </w:rPr>
        <w:t>地  址：</w:t>
      </w:r>
      <w:bookmarkEnd w:id="28"/>
      <w:bookmarkEnd w:id="29"/>
      <w:bookmarkEnd w:id="30"/>
      <w:bookmarkStart w:id="31" w:name="_Toc828"/>
      <w:r>
        <w:rPr>
          <w:rFonts w:hint="eastAsia" w:ascii="黑体" w:hAnsi="黑体" w:eastAsia="黑体" w:cs="黑体"/>
          <w:sz w:val="24"/>
          <w:szCs w:val="24"/>
          <w:u w:val="none"/>
          <w:lang w:eastAsia="zh-CN"/>
        </w:rPr>
        <w:t>重庆市沙坪坝区沙北街83号</w:t>
      </w:r>
    </w:p>
    <w:p w14:paraId="3CFA03F2">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p>
    <w:p w14:paraId="4450476A">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p>
    <w:p w14:paraId="28C0CF6D">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p>
    <w:p w14:paraId="03BCC81D">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p>
    <w:p w14:paraId="35B3883C">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p>
    <w:p w14:paraId="6414A05D">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p>
    <w:p w14:paraId="7C3D7550">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eastAsia="zh-CN"/>
        </w:rPr>
      </w:pPr>
    </w:p>
    <w:p w14:paraId="3010D8AB">
      <w:pPr>
        <w:kinsoku/>
        <w:overflowPunct/>
        <w:topLinePunct w:val="0"/>
        <w:autoSpaceDE/>
        <w:autoSpaceDN/>
        <w:bidi w:val="0"/>
        <w:adjustRightInd/>
        <w:snapToGrid w:val="0"/>
        <w:spacing w:line="480" w:lineRule="exact"/>
        <w:jc w:val="both"/>
        <w:rPr>
          <w:rFonts w:hint="eastAsia" w:ascii="黑体" w:hAnsi="黑体" w:eastAsia="黑体" w:cs="黑体"/>
          <w:sz w:val="30"/>
          <w:szCs w:val="30"/>
          <w:u w:val="none"/>
          <w:lang w:eastAsia="zh-CN"/>
        </w:rPr>
      </w:pPr>
    </w:p>
    <w:p w14:paraId="62BEEDA9">
      <w:pPr>
        <w:kinsoku/>
        <w:overflowPunct/>
        <w:topLinePunct w:val="0"/>
        <w:autoSpaceDE/>
        <w:autoSpaceDN/>
        <w:bidi w:val="0"/>
        <w:adjustRightInd/>
        <w:snapToGrid w:val="0"/>
        <w:spacing w:line="480" w:lineRule="exact"/>
        <w:jc w:val="both"/>
        <w:rPr>
          <w:rFonts w:hint="eastAsia" w:ascii="黑体" w:hAnsi="黑体" w:eastAsia="黑体" w:cs="黑体"/>
          <w:b/>
          <w:bCs/>
          <w:sz w:val="30"/>
          <w:szCs w:val="30"/>
          <w:u w:val="none"/>
          <w:lang w:eastAsia="zh-CN"/>
        </w:rPr>
      </w:pPr>
    </w:p>
    <w:p w14:paraId="23AFF47F">
      <w:pPr>
        <w:kinsoku/>
        <w:overflowPunct/>
        <w:topLinePunct w:val="0"/>
        <w:autoSpaceDE/>
        <w:autoSpaceDN/>
        <w:bidi w:val="0"/>
        <w:adjustRightInd/>
        <w:snapToGrid w:val="0"/>
        <w:spacing w:line="480" w:lineRule="exact"/>
        <w:jc w:val="center"/>
        <w:rPr>
          <w:rFonts w:hint="eastAsia" w:ascii="黑体" w:hAnsi="黑体" w:eastAsia="黑体" w:cs="黑体"/>
          <w:b/>
          <w:bCs/>
          <w:sz w:val="30"/>
          <w:szCs w:val="30"/>
          <w:u w:val="none"/>
          <w:lang w:eastAsia="zh-CN"/>
        </w:rPr>
      </w:pPr>
    </w:p>
    <w:p w14:paraId="66E9C955">
      <w:pPr>
        <w:kinsoku/>
        <w:overflowPunct/>
        <w:topLinePunct w:val="0"/>
        <w:autoSpaceDE/>
        <w:autoSpaceDN/>
        <w:bidi w:val="0"/>
        <w:adjustRightInd/>
        <w:snapToGrid w:val="0"/>
        <w:spacing w:line="480" w:lineRule="exact"/>
        <w:jc w:val="center"/>
        <w:rPr>
          <w:rFonts w:hint="eastAsia" w:ascii="黑体" w:hAnsi="黑体" w:eastAsia="黑体" w:cs="黑体"/>
          <w:b/>
          <w:bCs/>
          <w:sz w:val="30"/>
          <w:szCs w:val="30"/>
          <w:u w:val="none"/>
          <w:lang w:eastAsia="zh-CN"/>
        </w:rPr>
      </w:pPr>
    </w:p>
    <w:p w14:paraId="602D3E0A">
      <w:pPr>
        <w:kinsoku/>
        <w:overflowPunct/>
        <w:topLinePunct w:val="0"/>
        <w:autoSpaceDE/>
        <w:autoSpaceDN/>
        <w:bidi w:val="0"/>
        <w:adjustRightInd/>
        <w:snapToGrid w:val="0"/>
        <w:spacing w:line="480" w:lineRule="exact"/>
        <w:jc w:val="center"/>
        <w:rPr>
          <w:rFonts w:hint="eastAsia" w:ascii="黑体" w:hAnsi="黑体" w:eastAsia="黑体" w:cs="黑体"/>
          <w:b/>
          <w:bCs/>
          <w:sz w:val="30"/>
          <w:szCs w:val="30"/>
          <w:u w:val="none"/>
          <w:lang w:eastAsia="zh-CN"/>
        </w:rPr>
      </w:pPr>
    </w:p>
    <w:p w14:paraId="0EE2679B">
      <w:pPr>
        <w:kinsoku/>
        <w:overflowPunct/>
        <w:topLinePunct w:val="0"/>
        <w:autoSpaceDE/>
        <w:autoSpaceDN/>
        <w:bidi w:val="0"/>
        <w:adjustRightInd/>
        <w:snapToGrid w:val="0"/>
        <w:spacing w:line="480" w:lineRule="exact"/>
        <w:jc w:val="center"/>
        <w:rPr>
          <w:rFonts w:hint="eastAsia" w:ascii="黑体" w:hAnsi="黑体" w:eastAsia="黑体" w:cs="黑体"/>
          <w:b/>
          <w:bCs/>
          <w:sz w:val="30"/>
          <w:szCs w:val="30"/>
          <w:u w:val="none"/>
          <w:lang w:eastAsia="zh-CN"/>
        </w:rPr>
      </w:pPr>
    </w:p>
    <w:p w14:paraId="71C52A76">
      <w:pPr>
        <w:kinsoku/>
        <w:overflowPunct/>
        <w:topLinePunct w:val="0"/>
        <w:autoSpaceDE/>
        <w:autoSpaceDN/>
        <w:bidi w:val="0"/>
        <w:adjustRightInd/>
        <w:snapToGrid w:val="0"/>
        <w:spacing w:line="480" w:lineRule="exact"/>
        <w:jc w:val="center"/>
        <w:rPr>
          <w:rFonts w:hint="eastAsia" w:ascii="黑体" w:hAnsi="黑体" w:eastAsia="黑体" w:cs="黑体"/>
          <w:b/>
          <w:bCs/>
          <w:sz w:val="30"/>
          <w:szCs w:val="30"/>
          <w:u w:val="none"/>
          <w:lang w:eastAsia="zh-CN"/>
        </w:rPr>
      </w:pPr>
    </w:p>
    <w:p w14:paraId="3B5B46F7">
      <w:pPr>
        <w:kinsoku/>
        <w:overflowPunct/>
        <w:topLinePunct w:val="0"/>
        <w:autoSpaceDE/>
        <w:autoSpaceDN/>
        <w:bidi w:val="0"/>
        <w:adjustRightInd/>
        <w:snapToGrid w:val="0"/>
        <w:spacing w:line="480" w:lineRule="exact"/>
        <w:jc w:val="center"/>
        <w:rPr>
          <w:rFonts w:hint="eastAsia" w:ascii="黑体" w:hAnsi="黑体" w:eastAsia="黑体" w:cs="黑体"/>
          <w:b/>
          <w:bCs/>
          <w:sz w:val="30"/>
          <w:szCs w:val="30"/>
          <w:u w:val="none"/>
          <w:lang w:eastAsia="zh-CN"/>
        </w:rPr>
      </w:pPr>
    </w:p>
    <w:p w14:paraId="7098D5E4">
      <w:pPr>
        <w:kinsoku/>
        <w:overflowPunct/>
        <w:topLinePunct w:val="0"/>
        <w:autoSpaceDE/>
        <w:autoSpaceDN/>
        <w:bidi w:val="0"/>
        <w:adjustRightInd/>
        <w:snapToGrid w:val="0"/>
        <w:spacing w:line="480" w:lineRule="exact"/>
        <w:jc w:val="both"/>
        <w:rPr>
          <w:rFonts w:hint="eastAsia" w:ascii="黑体" w:hAnsi="黑体" w:eastAsia="黑体" w:cs="黑体"/>
          <w:b/>
          <w:bCs/>
          <w:sz w:val="30"/>
          <w:szCs w:val="30"/>
          <w:u w:val="none"/>
          <w:lang w:eastAsia="zh-CN"/>
        </w:rPr>
      </w:pPr>
    </w:p>
    <w:p w14:paraId="10FA2DA8">
      <w:pPr>
        <w:kinsoku/>
        <w:overflowPunct/>
        <w:topLinePunct w:val="0"/>
        <w:autoSpaceDE/>
        <w:autoSpaceDN/>
        <w:bidi w:val="0"/>
        <w:adjustRightInd/>
        <w:snapToGrid w:val="0"/>
        <w:spacing w:line="480" w:lineRule="exact"/>
        <w:jc w:val="center"/>
        <w:rPr>
          <w:rFonts w:hint="eastAsia" w:ascii="黑体" w:hAnsi="黑体" w:eastAsia="黑体" w:cs="黑体"/>
          <w:b/>
          <w:bCs/>
          <w:sz w:val="30"/>
          <w:szCs w:val="30"/>
          <w:u w:val="none"/>
          <w:lang w:eastAsia="zh-CN"/>
        </w:rPr>
      </w:pPr>
    </w:p>
    <w:p w14:paraId="38F4F243">
      <w:pPr>
        <w:kinsoku/>
        <w:overflowPunct/>
        <w:topLinePunct w:val="0"/>
        <w:autoSpaceDE/>
        <w:autoSpaceDN/>
        <w:bidi w:val="0"/>
        <w:adjustRightInd/>
        <w:snapToGrid w:val="0"/>
        <w:spacing w:line="480" w:lineRule="exact"/>
        <w:jc w:val="center"/>
        <w:rPr>
          <w:rFonts w:hint="eastAsia" w:ascii="黑体" w:hAnsi="黑体" w:eastAsia="黑体" w:cs="黑体"/>
          <w:b/>
          <w:bCs/>
          <w:sz w:val="30"/>
          <w:szCs w:val="30"/>
          <w:u w:val="none"/>
          <w:lang w:eastAsia="zh-CN"/>
        </w:rPr>
      </w:pPr>
      <w:r>
        <w:rPr>
          <w:rFonts w:hint="eastAsia" w:ascii="黑体" w:hAnsi="黑体" w:eastAsia="黑体" w:cs="黑体"/>
          <w:b/>
          <w:bCs/>
          <w:sz w:val="30"/>
          <w:szCs w:val="30"/>
          <w:u w:val="none"/>
          <w:lang w:eastAsia="zh-CN"/>
        </w:rPr>
        <w:t>第二篇  项目技术需求</w:t>
      </w:r>
      <w:bookmarkEnd w:id="31"/>
    </w:p>
    <w:p w14:paraId="4759AEDF">
      <w:pPr>
        <w:kinsoku/>
        <w:overflowPunct/>
        <w:topLinePunct w:val="0"/>
        <w:autoSpaceDE/>
        <w:autoSpaceDN/>
        <w:bidi w:val="0"/>
        <w:adjustRightInd/>
        <w:snapToGrid w:val="0"/>
        <w:spacing w:line="480" w:lineRule="exact"/>
        <w:ind w:firstLine="482" w:firstLineChars="200"/>
        <w:rPr>
          <w:rFonts w:hint="eastAsia" w:ascii="黑体" w:hAnsi="黑体" w:eastAsia="黑体" w:cs="黑体"/>
          <w:b/>
          <w:bCs/>
          <w:sz w:val="24"/>
          <w:szCs w:val="24"/>
          <w:u w:val="none"/>
          <w:lang w:eastAsia="zh-CN"/>
        </w:rPr>
      </w:pPr>
      <w:bookmarkStart w:id="32" w:name="_Toc132194552"/>
      <w:bookmarkStart w:id="33" w:name="_Toc12507"/>
      <w:r>
        <w:rPr>
          <w:rFonts w:hint="eastAsia" w:ascii="黑体" w:hAnsi="黑体" w:eastAsia="黑体" w:cs="黑体"/>
          <w:b/>
          <w:bCs/>
          <w:sz w:val="24"/>
          <w:szCs w:val="24"/>
          <w:u w:val="none"/>
          <w:lang w:eastAsia="zh-CN"/>
        </w:rPr>
        <w:t>一、</w:t>
      </w:r>
      <w:bookmarkEnd w:id="32"/>
      <w:r>
        <w:rPr>
          <w:rFonts w:hint="eastAsia" w:ascii="黑体" w:hAnsi="黑体" w:eastAsia="黑体" w:cs="黑体"/>
          <w:b/>
          <w:bCs/>
          <w:sz w:val="24"/>
          <w:szCs w:val="24"/>
          <w:u w:val="none"/>
          <w:lang w:eastAsia="zh-CN"/>
        </w:rPr>
        <w:t>项目概况</w:t>
      </w:r>
      <w:bookmarkEnd w:id="33"/>
    </w:p>
    <w:p w14:paraId="5EE9319C">
      <w:pPr>
        <w:kinsoku/>
        <w:overflowPunct/>
        <w:topLinePunct w:val="0"/>
        <w:autoSpaceDE/>
        <w:autoSpaceDN/>
        <w:bidi w:val="0"/>
        <w:adjustRightInd/>
        <w:snapToGrid w:val="0"/>
        <w:spacing w:line="480" w:lineRule="exact"/>
        <w:ind w:firstLine="480" w:firstLineChars="200"/>
        <w:rPr>
          <w:rFonts w:hint="eastAsia" w:ascii="黑体" w:hAnsi="黑体" w:eastAsia="黑体" w:cs="黑体"/>
          <w:sz w:val="24"/>
          <w:szCs w:val="24"/>
          <w:u w:val="none"/>
          <w:lang w:val="en-US" w:eastAsia="zh-CN"/>
        </w:rPr>
      </w:pPr>
      <w:r>
        <w:rPr>
          <w:rFonts w:hint="eastAsia" w:ascii="黑体" w:hAnsi="黑体" w:eastAsia="黑体" w:cs="黑体"/>
          <w:sz w:val="24"/>
          <w:szCs w:val="24"/>
          <w:u w:val="none"/>
          <w:lang w:val="en-US" w:eastAsia="zh-CN"/>
        </w:rPr>
        <w:t>1、为保障公司各自来水厂2026年的正常运行维护和发展新的用水，需对制水药品进行采购。</w:t>
      </w:r>
    </w:p>
    <w:p w14:paraId="22198DA7">
      <w:pPr>
        <w:pStyle w:val="3"/>
        <w:kinsoku/>
        <w:overflowPunct/>
        <w:topLinePunct w:val="0"/>
        <w:autoSpaceDE/>
        <w:autoSpaceDN/>
        <w:bidi w:val="0"/>
        <w:adjustRightInd/>
        <w:spacing w:before="0" w:after="0" w:line="480" w:lineRule="exact"/>
        <w:ind w:firstLine="480" w:firstLineChars="200"/>
        <w:rPr>
          <w:rFonts w:hint="eastAsia" w:ascii="黑体" w:hAnsi="黑体" w:eastAsia="黑体" w:cs="黑体"/>
          <w:b w:val="0"/>
          <w:bCs/>
          <w:color w:val="auto"/>
          <w:sz w:val="24"/>
          <w:szCs w:val="24"/>
        </w:rPr>
      </w:pPr>
      <w:r>
        <w:rPr>
          <w:rFonts w:hint="eastAsia" w:ascii="黑体" w:hAnsi="黑体" w:eastAsia="黑体" w:cs="黑体"/>
          <w:b w:val="0"/>
          <w:bCs/>
          <w:sz w:val="24"/>
          <w:szCs w:val="24"/>
          <w:u w:val="none"/>
          <w:lang w:val="en-US" w:eastAsia="zh-CN"/>
        </w:rPr>
        <w:t>2、使用地点</w:t>
      </w:r>
      <w:r>
        <w:rPr>
          <w:rFonts w:hint="eastAsia" w:ascii="黑体" w:hAnsi="黑体" w:eastAsia="黑体" w:cs="黑体"/>
          <w:sz w:val="24"/>
          <w:szCs w:val="24"/>
          <w:u w:val="none"/>
          <w:lang w:val="en-US" w:eastAsia="zh-CN"/>
        </w:rPr>
        <w:t>：</w:t>
      </w:r>
      <w:r>
        <w:rPr>
          <w:rFonts w:hint="eastAsia" w:ascii="黑体" w:hAnsi="黑体" w:eastAsia="黑体" w:cs="黑体"/>
          <w:b w:val="0"/>
          <w:bCs/>
          <w:color w:val="auto"/>
          <w:sz w:val="24"/>
          <w:szCs w:val="24"/>
        </w:rPr>
        <w:t>重庆市大足区29个自来水厂</w:t>
      </w:r>
    </w:p>
    <w:p w14:paraId="3701C9C9">
      <w:pPr>
        <w:kinsoku/>
        <w:overflowPunct/>
        <w:topLinePunct w:val="0"/>
        <w:autoSpaceDE/>
        <w:autoSpaceDN/>
        <w:bidi w:val="0"/>
        <w:adjustRightInd/>
        <w:spacing w:line="480" w:lineRule="exact"/>
        <w:ind w:firstLine="480" w:firstLineChars="200"/>
        <w:rPr>
          <w:rFonts w:hint="eastAsia" w:ascii="黑体" w:hAnsi="黑体" w:eastAsia="黑体" w:cs="黑体"/>
          <w:b w:val="0"/>
          <w:bCs/>
          <w:color w:val="auto"/>
          <w:sz w:val="24"/>
          <w:szCs w:val="24"/>
          <w:highlight w:val="none"/>
          <w:lang w:eastAsia="zh-CN"/>
        </w:rPr>
      </w:pPr>
      <w:bookmarkStart w:id="34" w:name="_Toc5040"/>
      <w:bookmarkStart w:id="35" w:name="_Toc30288"/>
      <w:bookmarkStart w:id="36" w:name="_Toc24587"/>
      <w:bookmarkStart w:id="37" w:name="_Toc22751"/>
      <w:bookmarkStart w:id="38" w:name="_Toc29822"/>
      <w:r>
        <w:rPr>
          <w:rFonts w:hint="eastAsia" w:ascii="黑体" w:hAnsi="黑体" w:eastAsia="黑体" w:cs="黑体"/>
          <w:b w:val="0"/>
          <w:bCs/>
          <w:color w:val="auto"/>
          <w:sz w:val="24"/>
          <w:szCs w:val="24"/>
        </w:rPr>
        <w:t>3、招标采购范围</w:t>
      </w:r>
      <w:r>
        <w:rPr>
          <w:rFonts w:hint="eastAsia" w:ascii="黑体" w:hAnsi="黑体" w:eastAsia="黑体" w:cs="黑体"/>
          <w:b w:val="0"/>
          <w:bCs/>
          <w:color w:val="auto"/>
          <w:sz w:val="24"/>
          <w:szCs w:val="24"/>
          <w:highlight w:val="none"/>
        </w:rPr>
        <w:t>：</w:t>
      </w:r>
      <w:bookmarkEnd w:id="34"/>
      <w:bookmarkEnd w:id="35"/>
      <w:bookmarkEnd w:id="36"/>
      <w:bookmarkEnd w:id="37"/>
      <w:bookmarkEnd w:id="38"/>
      <w:r>
        <w:rPr>
          <w:rFonts w:hint="eastAsia" w:ascii="黑体" w:hAnsi="黑体" w:eastAsia="黑体" w:cs="黑体"/>
          <w:b w:val="0"/>
          <w:bCs/>
          <w:color w:val="auto"/>
          <w:sz w:val="24"/>
          <w:szCs w:val="24"/>
          <w:highlight w:val="none"/>
        </w:rPr>
        <w:t>29个自来水厂（根据实际情况采购</w:t>
      </w:r>
      <w:r>
        <w:rPr>
          <w:rFonts w:hint="eastAsia" w:ascii="黑体" w:hAnsi="黑体" w:eastAsia="黑体" w:cs="黑体"/>
          <w:b w:val="0"/>
          <w:bCs/>
          <w:color w:val="auto"/>
          <w:sz w:val="24"/>
          <w:szCs w:val="24"/>
          <w:highlight w:val="none"/>
          <w:lang w:eastAsia="zh-CN"/>
        </w:rPr>
        <w:t>）</w:t>
      </w:r>
    </w:p>
    <w:p w14:paraId="50195384">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b w:val="0"/>
          <w:bCs/>
          <w:color w:val="auto"/>
          <w:sz w:val="24"/>
          <w:szCs w:val="24"/>
          <w:highlight w:val="none"/>
        </w:rPr>
      </w:pPr>
      <w:bookmarkStart w:id="39" w:name="_Toc27149"/>
      <w:r>
        <w:rPr>
          <w:rFonts w:hint="eastAsia" w:ascii="黑体" w:hAnsi="黑体" w:eastAsia="黑体" w:cs="黑体"/>
          <w:color w:val="auto"/>
          <w:sz w:val="24"/>
          <w:szCs w:val="24"/>
          <w:highlight w:val="none"/>
        </w:rPr>
        <w:t>二、采购货物名称、数量、规格等</w:t>
      </w:r>
      <w:bookmarkEnd w:id="39"/>
    </w:p>
    <w:tbl>
      <w:tblPr>
        <w:tblStyle w:val="12"/>
        <w:tblW w:w="9540" w:type="dxa"/>
        <w:tblInd w:w="135" w:type="dxa"/>
        <w:tblLayout w:type="fixed"/>
        <w:tblCellMar>
          <w:top w:w="0" w:type="dxa"/>
          <w:left w:w="108" w:type="dxa"/>
          <w:bottom w:w="0" w:type="dxa"/>
          <w:right w:w="108" w:type="dxa"/>
        </w:tblCellMar>
      </w:tblPr>
      <w:tblGrid>
        <w:gridCol w:w="975"/>
        <w:gridCol w:w="3555"/>
        <w:gridCol w:w="1635"/>
        <w:gridCol w:w="1050"/>
        <w:gridCol w:w="2325"/>
      </w:tblGrid>
      <w:tr w14:paraId="0C9B9684">
        <w:tblPrEx>
          <w:tblCellMar>
            <w:top w:w="0" w:type="dxa"/>
            <w:left w:w="108" w:type="dxa"/>
            <w:bottom w:w="0" w:type="dxa"/>
            <w:right w:w="108" w:type="dxa"/>
          </w:tblCellMar>
        </w:tblPrEx>
        <w:trPr>
          <w:trHeight w:val="680" w:hRule="atLeast"/>
        </w:trPr>
        <w:tc>
          <w:tcPr>
            <w:tcW w:w="975" w:type="dxa"/>
            <w:tcBorders>
              <w:top w:val="single" w:color="000000" w:sz="4" w:space="0"/>
              <w:left w:val="single" w:color="auto" w:sz="4" w:space="0"/>
              <w:bottom w:val="single" w:color="auto" w:sz="4" w:space="0"/>
              <w:right w:val="single" w:color="000000" w:sz="4" w:space="0"/>
            </w:tcBorders>
            <w:shd w:val="clear" w:color="auto" w:fill="auto"/>
            <w:vAlign w:val="center"/>
          </w:tcPr>
          <w:p w14:paraId="3484D8E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Style w:val="17"/>
                <w:rFonts w:hint="eastAsia" w:ascii="黑体" w:hAnsi="黑体" w:eastAsia="黑体" w:cs="黑体"/>
                <w:color w:val="000000" w:themeColor="text1"/>
                <w:sz w:val="24"/>
                <w:szCs w:val="24"/>
                <w:highlight w:val="none"/>
                <w:lang w:bidi="ar"/>
                <w14:textFill>
                  <w14:solidFill>
                    <w14:schemeClr w14:val="tx1"/>
                  </w14:solidFill>
                </w14:textFill>
              </w:rPr>
              <w:t>序号</w:t>
            </w:r>
          </w:p>
        </w:tc>
        <w:tc>
          <w:tcPr>
            <w:tcW w:w="3555" w:type="dxa"/>
            <w:tcBorders>
              <w:top w:val="single" w:color="000000" w:sz="4" w:space="0"/>
              <w:left w:val="single" w:color="000000" w:sz="4" w:space="0"/>
              <w:bottom w:val="single" w:color="auto" w:sz="4" w:space="0"/>
              <w:right w:val="single" w:color="000000" w:sz="4" w:space="0"/>
            </w:tcBorders>
            <w:shd w:val="clear" w:color="auto" w:fill="auto"/>
            <w:vAlign w:val="center"/>
          </w:tcPr>
          <w:p w14:paraId="691DEDE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Style w:val="17"/>
                <w:rFonts w:hint="eastAsia" w:ascii="黑体" w:hAnsi="黑体" w:eastAsia="黑体" w:cs="黑体"/>
                <w:color w:val="000000" w:themeColor="text1"/>
                <w:sz w:val="24"/>
                <w:szCs w:val="24"/>
                <w:highlight w:val="none"/>
                <w:lang w:bidi="ar"/>
                <w14:textFill>
                  <w14:solidFill>
                    <w14:schemeClr w14:val="tx1"/>
                  </w14:solidFill>
                </w14:textFill>
              </w:rPr>
              <w:t>货物名称</w:t>
            </w:r>
          </w:p>
        </w:tc>
        <w:tc>
          <w:tcPr>
            <w:tcW w:w="1635" w:type="dxa"/>
            <w:tcBorders>
              <w:top w:val="single" w:color="000000" w:sz="4" w:space="0"/>
              <w:left w:val="single" w:color="000000" w:sz="4" w:space="0"/>
              <w:bottom w:val="single" w:color="auto" w:sz="4" w:space="0"/>
              <w:right w:val="single" w:color="000000" w:sz="4" w:space="0"/>
            </w:tcBorders>
            <w:shd w:val="clear" w:color="auto" w:fill="auto"/>
            <w:vAlign w:val="center"/>
          </w:tcPr>
          <w:p w14:paraId="58124DB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lang w:eastAsia="zh-CN"/>
                <w14:textFill>
                  <w14:solidFill>
                    <w14:schemeClr w14:val="tx1"/>
                  </w14:solidFill>
                </w14:textFill>
              </w:rPr>
            </w:pPr>
            <w:r>
              <w:rPr>
                <w:rStyle w:val="17"/>
                <w:rFonts w:hint="eastAsia" w:ascii="黑体" w:hAnsi="黑体" w:eastAsia="黑体" w:cs="黑体"/>
                <w:color w:val="000000" w:themeColor="text1"/>
                <w:sz w:val="24"/>
                <w:szCs w:val="24"/>
                <w:highlight w:val="none"/>
                <w:lang w:eastAsia="zh-CN" w:bidi="ar"/>
                <w14:textFill>
                  <w14:solidFill>
                    <w14:schemeClr w14:val="tx1"/>
                  </w14:solidFill>
                </w14:textFill>
              </w:rPr>
              <w:t>规格</w:t>
            </w:r>
            <w:r>
              <w:rPr>
                <w:rStyle w:val="17"/>
                <w:rFonts w:hint="eastAsia" w:ascii="黑体" w:hAnsi="黑体" w:eastAsia="黑体" w:cs="黑体"/>
                <w:color w:val="000000" w:themeColor="text1"/>
                <w:sz w:val="24"/>
                <w:szCs w:val="24"/>
                <w:highlight w:val="none"/>
                <w:lang w:val="en-US" w:eastAsia="zh-CN" w:bidi="ar"/>
                <w14:textFill>
                  <w14:solidFill>
                    <w14:schemeClr w14:val="tx1"/>
                  </w14:solidFill>
                </w14:textFill>
              </w:rPr>
              <w:t>/</w:t>
            </w:r>
            <w:r>
              <w:rPr>
                <w:rStyle w:val="17"/>
                <w:rFonts w:hint="eastAsia" w:ascii="黑体" w:hAnsi="黑体" w:eastAsia="黑体" w:cs="黑体"/>
                <w:color w:val="000000" w:themeColor="text1"/>
                <w:sz w:val="24"/>
                <w:szCs w:val="24"/>
                <w:highlight w:val="none"/>
                <w:lang w:eastAsia="zh-CN" w:bidi="ar"/>
                <w14:textFill>
                  <w14:solidFill>
                    <w14:schemeClr w14:val="tx1"/>
                  </w14:solidFill>
                </w14:textFill>
              </w:rPr>
              <w:t>单位</w:t>
            </w:r>
          </w:p>
        </w:tc>
        <w:tc>
          <w:tcPr>
            <w:tcW w:w="1050" w:type="dxa"/>
            <w:tcBorders>
              <w:top w:val="single" w:color="000000" w:sz="4" w:space="0"/>
              <w:left w:val="single" w:color="000000" w:sz="4" w:space="0"/>
              <w:bottom w:val="single" w:color="auto" w:sz="4" w:space="0"/>
              <w:right w:val="single" w:color="000000" w:sz="4" w:space="0"/>
            </w:tcBorders>
            <w:shd w:val="clear" w:color="auto" w:fill="auto"/>
            <w:vAlign w:val="center"/>
          </w:tcPr>
          <w:p w14:paraId="2B3BB1A1">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数量</w:t>
            </w:r>
          </w:p>
        </w:tc>
        <w:tc>
          <w:tcPr>
            <w:tcW w:w="2325" w:type="dxa"/>
            <w:tcBorders>
              <w:top w:val="single" w:color="000000" w:sz="4" w:space="0"/>
              <w:left w:val="single" w:color="000000" w:sz="4" w:space="0"/>
              <w:bottom w:val="single" w:color="auto" w:sz="4" w:space="0"/>
              <w:right w:val="single" w:color="000000" w:sz="4" w:space="0"/>
            </w:tcBorders>
            <w:shd w:val="clear" w:color="auto" w:fill="auto"/>
            <w:vAlign w:val="center"/>
          </w:tcPr>
          <w:p w14:paraId="5F750BE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限价</w:t>
            </w:r>
            <w:r>
              <w:rPr>
                <w:rFonts w:hint="eastAsia" w:ascii="黑体" w:hAnsi="黑体" w:eastAsia="黑体" w:cs="黑体"/>
                <w:color w:val="000000" w:themeColor="text1"/>
                <w:kern w:val="0"/>
                <w:sz w:val="24"/>
                <w:szCs w:val="24"/>
                <w:highlight w:val="none"/>
                <w:lang w:bidi="ar"/>
                <w14:textFill>
                  <w14:solidFill>
                    <w14:schemeClr w14:val="tx1"/>
                  </w14:solidFill>
                </w14:textFill>
              </w:rPr>
              <w:t>单价（元）</w:t>
            </w:r>
          </w:p>
        </w:tc>
      </w:tr>
      <w:tr w14:paraId="2C2D37A4">
        <w:tblPrEx>
          <w:tblCellMar>
            <w:top w:w="0" w:type="dxa"/>
            <w:left w:w="108" w:type="dxa"/>
            <w:bottom w:w="0" w:type="dxa"/>
            <w:right w:w="108" w:type="dxa"/>
          </w:tblCellMar>
        </w:tblPrEx>
        <w:trPr>
          <w:trHeight w:val="640" w:hRule="atLeast"/>
        </w:trPr>
        <w:tc>
          <w:tcPr>
            <w:tcW w:w="975" w:type="dxa"/>
            <w:tcBorders>
              <w:top w:val="single" w:color="auto" w:sz="4" w:space="0"/>
              <w:left w:val="single" w:color="000000" w:sz="4" w:space="0"/>
              <w:bottom w:val="single" w:color="000000" w:sz="4" w:space="0"/>
              <w:right w:val="single" w:color="000000" w:sz="4" w:space="0"/>
            </w:tcBorders>
            <w:shd w:val="clear" w:color="auto" w:fill="auto"/>
            <w:vAlign w:val="center"/>
          </w:tcPr>
          <w:p w14:paraId="26BF5599">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3555" w:type="dxa"/>
            <w:tcBorders>
              <w:top w:val="single" w:color="auto" w:sz="4" w:space="0"/>
              <w:left w:val="single" w:color="000000" w:sz="4" w:space="0"/>
              <w:bottom w:val="single" w:color="000000" w:sz="4" w:space="0"/>
              <w:right w:val="single" w:color="000000" w:sz="4" w:space="0"/>
            </w:tcBorders>
            <w:shd w:val="clear" w:color="auto" w:fill="auto"/>
            <w:vAlign w:val="center"/>
          </w:tcPr>
          <w:p w14:paraId="53844E0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固态聚氯化铝</w:t>
            </w:r>
          </w:p>
        </w:tc>
        <w:tc>
          <w:tcPr>
            <w:tcW w:w="1635" w:type="dxa"/>
            <w:tcBorders>
              <w:top w:val="single" w:color="auto" w:sz="4" w:space="0"/>
              <w:left w:val="single" w:color="000000" w:sz="4" w:space="0"/>
              <w:bottom w:val="single" w:color="000000" w:sz="4" w:space="0"/>
              <w:right w:val="single" w:color="000000" w:sz="4" w:space="0"/>
            </w:tcBorders>
            <w:shd w:val="clear" w:color="auto" w:fill="auto"/>
            <w:vAlign w:val="center"/>
          </w:tcPr>
          <w:p w14:paraId="4C0FCD7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吨</w:t>
            </w:r>
          </w:p>
        </w:tc>
        <w:tc>
          <w:tcPr>
            <w:tcW w:w="1050" w:type="dxa"/>
            <w:tcBorders>
              <w:top w:val="single" w:color="auto" w:sz="4" w:space="0"/>
              <w:left w:val="single" w:color="000000" w:sz="4" w:space="0"/>
              <w:bottom w:val="single" w:color="000000" w:sz="4" w:space="0"/>
              <w:right w:val="single" w:color="000000" w:sz="4" w:space="0"/>
            </w:tcBorders>
            <w:shd w:val="clear" w:color="auto" w:fill="auto"/>
            <w:vAlign w:val="center"/>
          </w:tcPr>
          <w:p w14:paraId="0094E21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auto" w:sz="4" w:space="0"/>
              <w:left w:val="single" w:color="000000" w:sz="4" w:space="0"/>
              <w:bottom w:val="single" w:color="000000" w:sz="4" w:space="0"/>
              <w:right w:val="single" w:color="000000" w:sz="4" w:space="0"/>
            </w:tcBorders>
            <w:shd w:val="clear" w:color="auto" w:fill="auto"/>
            <w:vAlign w:val="center"/>
          </w:tcPr>
          <w:p w14:paraId="1FA0519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3287.00 </w:t>
            </w:r>
          </w:p>
        </w:tc>
      </w:tr>
      <w:tr w14:paraId="72A0D2E6">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6BA7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2</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09B8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液态聚氯化铝</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CA16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吨</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AE07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C868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1295.00 </w:t>
            </w:r>
          </w:p>
        </w:tc>
      </w:tr>
      <w:tr w14:paraId="6AD00E03">
        <w:tblPrEx>
          <w:tblCellMar>
            <w:top w:w="0" w:type="dxa"/>
            <w:left w:w="108" w:type="dxa"/>
            <w:bottom w:w="0" w:type="dxa"/>
            <w:right w:w="108" w:type="dxa"/>
          </w:tblCellMar>
        </w:tblPrEx>
        <w:trPr>
          <w:trHeight w:val="61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B85D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3</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FD28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AB剂</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BBFA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套</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9E25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246E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70.00 </w:t>
            </w:r>
          </w:p>
        </w:tc>
      </w:tr>
      <w:tr w14:paraId="0FB25290">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0DB9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4</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DB4F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阳离子聚丙烯酰胺</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05FF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吨</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09A11">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082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29350.00 </w:t>
            </w:r>
          </w:p>
        </w:tc>
      </w:tr>
      <w:tr w14:paraId="2FB297AD">
        <w:tblPrEx>
          <w:tblCellMar>
            <w:top w:w="0" w:type="dxa"/>
            <w:left w:w="108" w:type="dxa"/>
            <w:bottom w:w="0" w:type="dxa"/>
            <w:right w:w="108" w:type="dxa"/>
          </w:tblCellMar>
        </w:tblPrEx>
        <w:trPr>
          <w:trHeight w:val="625"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E165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5</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8BC6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活性炭</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F829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吨</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AC3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597A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5982.00 </w:t>
            </w:r>
          </w:p>
        </w:tc>
      </w:tr>
      <w:tr w14:paraId="3E16AD60">
        <w:tblPrEx>
          <w:tblCellMar>
            <w:top w:w="0" w:type="dxa"/>
            <w:left w:w="108" w:type="dxa"/>
            <w:bottom w:w="0" w:type="dxa"/>
            <w:right w:w="108" w:type="dxa"/>
          </w:tblCellMar>
        </w:tblPrEx>
        <w:trPr>
          <w:trHeight w:val="61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2766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6</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978C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高纯度二氧化氯</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2BD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25Kg/桶</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DC2E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B0F6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715.00 </w:t>
            </w:r>
          </w:p>
        </w:tc>
      </w:tr>
      <w:tr w14:paraId="658BEC05">
        <w:tblPrEx>
          <w:tblCellMar>
            <w:top w:w="0" w:type="dxa"/>
            <w:left w:w="108" w:type="dxa"/>
            <w:bottom w:w="0" w:type="dxa"/>
            <w:right w:w="108" w:type="dxa"/>
          </w:tblCellMar>
        </w:tblPrEx>
        <w:trPr>
          <w:trHeight w:val="595"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DFB4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7</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752D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清时捷PH酚红指示剂</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A7F3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50ml/瓶</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FA6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B826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213.00 </w:t>
            </w:r>
          </w:p>
        </w:tc>
      </w:tr>
      <w:tr w14:paraId="2DCF2859">
        <w:tblPrEx>
          <w:tblCellMar>
            <w:top w:w="0" w:type="dxa"/>
            <w:left w:w="108" w:type="dxa"/>
            <w:bottom w:w="0" w:type="dxa"/>
            <w:right w:w="108" w:type="dxa"/>
          </w:tblCellMar>
        </w:tblPrEx>
        <w:trPr>
          <w:trHeight w:val="625"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937E3">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8</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800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清时捷余氯试剂</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5340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B-ARK/套</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DC4C">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963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368.00 </w:t>
            </w:r>
          </w:p>
        </w:tc>
      </w:tr>
      <w:tr w14:paraId="47E60664">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DA20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9</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E59B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宇微总大肠菌群测试板</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CB43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25片/套</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4F809">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4A8D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580.00 </w:t>
            </w:r>
          </w:p>
        </w:tc>
      </w:tr>
      <w:tr w14:paraId="0E04143A">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187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10</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A4FE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总大肠菌群科立得试剂</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8808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WCHN200/盒</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4BAF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674A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5200.00 </w:t>
            </w:r>
          </w:p>
        </w:tc>
      </w:tr>
      <w:tr w14:paraId="0F8AF102">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8507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11</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CC03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无菌取样瓶</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3E00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WV120SBST-200/箱</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999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EDBF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2075.00 </w:t>
            </w:r>
          </w:p>
        </w:tc>
      </w:tr>
      <w:tr w14:paraId="57993378">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A925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12</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4D7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宇微菌落总数测试板</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F269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25片/套</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BB3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80C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610.00 </w:t>
            </w:r>
          </w:p>
        </w:tc>
      </w:tr>
      <w:tr w14:paraId="4C9F4407">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B394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13</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3B45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simplate菌落总数试剂</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7446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WHPC-25/盒</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2683">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C3D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1215.00 </w:t>
            </w:r>
          </w:p>
        </w:tc>
      </w:tr>
      <w:tr w14:paraId="4F6DECF7">
        <w:tblPrEx>
          <w:tblCellMar>
            <w:top w:w="0" w:type="dxa"/>
            <w:left w:w="108" w:type="dxa"/>
            <w:bottom w:w="0" w:type="dxa"/>
            <w:right w:w="108" w:type="dxa"/>
          </w:tblCellMar>
        </w:tblPrEx>
        <w:trPr>
          <w:trHeight w:val="595"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DC2F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14</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2733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哈希余氯试剂</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732E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包</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811FC">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FEDD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285.00 </w:t>
            </w:r>
          </w:p>
        </w:tc>
      </w:tr>
      <w:tr w14:paraId="553090C1">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65C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15</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0507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百灵达余氯试剂</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7A8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250次/盒</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4C00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6786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838.00 </w:t>
            </w:r>
          </w:p>
        </w:tc>
      </w:tr>
      <w:tr w14:paraId="08294228">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995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16</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7948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百灵达PH试剂</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6921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250次/盒</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93D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2E41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800.00 </w:t>
            </w:r>
          </w:p>
        </w:tc>
      </w:tr>
      <w:tr w14:paraId="725ED732">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65DF9">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17</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EDCF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高锰酸盐指数（碱性）CODmn（陆恒生物）</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8F3F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50次/套</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2F9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900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739.00 </w:t>
            </w:r>
          </w:p>
        </w:tc>
      </w:tr>
      <w:tr w14:paraId="71BF269E">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0EF4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18</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6C96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清时捷比色瓶</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FEB3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12ml/个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BA969">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798B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357.00 </w:t>
            </w:r>
          </w:p>
        </w:tc>
      </w:tr>
      <w:tr w14:paraId="4367C663">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97A9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19</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78EF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无菌水</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CC9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120ml/瓶</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FFE5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E993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130.00 </w:t>
            </w:r>
          </w:p>
        </w:tc>
      </w:tr>
      <w:tr w14:paraId="6C5A3036">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DEA6C">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20</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3588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梅特勒ph标液4</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8DBE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2A73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88EC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370.00 </w:t>
            </w:r>
          </w:p>
        </w:tc>
      </w:tr>
      <w:tr w14:paraId="6F532E67">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041C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21</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5FF2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梅特勒PH标液7</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08DA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875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34A1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373.00 </w:t>
            </w:r>
          </w:p>
        </w:tc>
      </w:tr>
      <w:tr w14:paraId="130DD830">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E5E31">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22</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4CF9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梅特勒PH标液10</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F75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CE60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AA75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375.00 </w:t>
            </w:r>
          </w:p>
        </w:tc>
      </w:tr>
      <w:tr w14:paraId="5262911F">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985B3">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23</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43A7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梅特勒PH保护液</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C7DB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250ml</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FE19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49BD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390.00 </w:t>
            </w:r>
          </w:p>
        </w:tc>
      </w:tr>
      <w:tr w14:paraId="7BB72112">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765B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24</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E39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爱德士97孔定量盘</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FFD5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100个/箱</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542D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13A6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1778.00 </w:t>
            </w:r>
          </w:p>
        </w:tc>
      </w:tr>
      <w:tr w14:paraId="08F78D1E">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1C71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25</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58E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梅特勒F2探头LE438</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2140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4F9B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A43B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900.00 </w:t>
            </w:r>
          </w:p>
        </w:tc>
      </w:tr>
      <w:tr w14:paraId="074A31DB">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BE0D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26</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BB85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梅特勒S210探头</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0C14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516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ECF5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4652.00 </w:t>
            </w:r>
          </w:p>
        </w:tc>
      </w:tr>
      <w:tr w14:paraId="6E95DCE5">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A7BFE">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27</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E48F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赛默飞移液器</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B32F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5ml/个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04021">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67B3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535.00 </w:t>
            </w:r>
          </w:p>
        </w:tc>
      </w:tr>
      <w:tr w14:paraId="601512A4">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E141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28</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4F50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赛默飞移液器</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FAF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1ml/个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BC3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909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535.00 </w:t>
            </w:r>
          </w:p>
        </w:tc>
      </w:tr>
      <w:tr w14:paraId="0A932BCB">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D807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29</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0DE8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赛默飞移液头</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CB82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5ml，100次/包</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C8F2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AC9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22.00 </w:t>
            </w:r>
          </w:p>
        </w:tc>
      </w:tr>
      <w:tr w14:paraId="09546C71">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903A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30</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D927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赛默飞移液头</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D343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1ml，100次/包</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D3B0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B1D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22.00 </w:t>
            </w:r>
          </w:p>
        </w:tc>
      </w:tr>
      <w:tr w14:paraId="223A6EDC">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9EE4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31</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CB50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广口瓶（取样）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41D4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250ml</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F418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584B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28.00 </w:t>
            </w:r>
          </w:p>
        </w:tc>
      </w:tr>
      <w:tr w14:paraId="43B48E78">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06C8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32</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B118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塑料氟化瓶（取样）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AF05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8DE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5799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20.00 </w:t>
            </w:r>
          </w:p>
        </w:tc>
      </w:tr>
      <w:tr w14:paraId="63106300">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B46F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33</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A10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一次性无菌水样取样袋</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2AEC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100个/箱</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B0E9">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4226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800.00 </w:t>
            </w:r>
          </w:p>
        </w:tc>
      </w:tr>
      <w:tr w14:paraId="764ADFEE">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F826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34</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5F1F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陆恒COD试管</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2AB5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25支/盒</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28D6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0C2E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415.00 </w:t>
            </w:r>
          </w:p>
        </w:tc>
      </w:tr>
      <w:tr w14:paraId="24061460">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A19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35</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5A0D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哈希2100Q浊度仪测量瓶</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AA07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6个/盒</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272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E7A7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800.00 </w:t>
            </w:r>
          </w:p>
        </w:tc>
      </w:tr>
      <w:tr w14:paraId="2EFC3625">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EBD8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36</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92D0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2100Q浊度仪成套小瓶标液</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DFEE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套</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AA50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305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3624.00 </w:t>
            </w:r>
          </w:p>
        </w:tc>
      </w:tr>
      <w:tr w14:paraId="7C0432B5">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40A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37</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DF47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哈希DR300余氯仪测试瓶</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0196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6个/套</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7D29">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2909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358.00 </w:t>
            </w:r>
          </w:p>
        </w:tc>
      </w:tr>
      <w:tr w14:paraId="73A82F8D">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03BC">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38</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15A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移液器</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8AD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1F8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FBB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840.00 </w:t>
            </w:r>
          </w:p>
        </w:tc>
      </w:tr>
      <w:tr w14:paraId="677A5322">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51B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39</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EE60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玻璃刻度吸管（移液管）</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B134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10ml</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71073">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C876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9.00 </w:t>
            </w:r>
          </w:p>
        </w:tc>
      </w:tr>
      <w:tr w14:paraId="1D72F604">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3D6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40</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CBE6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玻璃刻度吸管（移液管）</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DE9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1ml</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7423">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61A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7.00 </w:t>
            </w:r>
          </w:p>
        </w:tc>
      </w:tr>
      <w:tr w14:paraId="5B7F8704">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66E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41</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A24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量筒</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BEC3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100ml</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0EB9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995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6.00 </w:t>
            </w:r>
          </w:p>
        </w:tc>
      </w:tr>
      <w:tr w14:paraId="12DB2653">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9A8C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42</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B597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量筒</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029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250ml</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ABE8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5EE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10.00 </w:t>
            </w:r>
          </w:p>
        </w:tc>
      </w:tr>
      <w:tr w14:paraId="4BD70E39">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07F9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43</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124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烧杯</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AB6D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D19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C71D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7.00 </w:t>
            </w:r>
          </w:p>
        </w:tc>
      </w:tr>
      <w:tr w14:paraId="7D532DD3">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E891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44</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8DAF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烧杯</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B49F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1000ml</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CCD4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6246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13.00 </w:t>
            </w:r>
          </w:p>
        </w:tc>
      </w:tr>
      <w:tr w14:paraId="299A1F8C">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4C60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45</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DE24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洗耳头（吸水头）</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0ABF4">
            <w:pPr>
              <w:kinsoku/>
              <w:overflowPunct/>
              <w:topLinePunct w:val="0"/>
              <w:autoSpaceDE/>
              <w:autoSpaceDN/>
              <w:bidi w:val="0"/>
              <w:adjustRightInd/>
              <w:spacing w:line="480" w:lineRule="exact"/>
              <w:jc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50A5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B0B3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5.00 </w:t>
            </w:r>
          </w:p>
        </w:tc>
      </w:tr>
      <w:tr w14:paraId="45AC23D4">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532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46</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BBEC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化验室工作服</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92AE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套</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CC0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3CE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88.00 </w:t>
            </w:r>
          </w:p>
        </w:tc>
      </w:tr>
      <w:tr w14:paraId="35256C25">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4B60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47</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BFF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清时捷便携式余氯检测仪校正维护</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AF2F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Q-CL501B</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AA28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8C9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3567.00 </w:t>
            </w:r>
          </w:p>
        </w:tc>
      </w:tr>
      <w:tr w14:paraId="1386E4CF">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FF11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48</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5AE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清时捷便携式浊度检测仪校正维护</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DF6F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TB-2000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D440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70E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2058.00 </w:t>
            </w:r>
          </w:p>
        </w:tc>
      </w:tr>
      <w:tr w14:paraId="0ED20492">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E947E">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49</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19F2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清时捷便携式五合一检测仪校正维护</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94C0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T-CP40(标准型）</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D54BE">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AB4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800.00 </w:t>
            </w:r>
          </w:p>
        </w:tc>
      </w:tr>
      <w:tr w14:paraId="05EBFFC3">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0357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50</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026F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百灵达多参数水质分析仪校正维护</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BDC2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RW7</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BC0D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453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850.00 </w:t>
            </w:r>
          </w:p>
        </w:tc>
      </w:tr>
      <w:tr w14:paraId="52EDEA61">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6318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51</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BCB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百灵达浊度仪校正维护</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98F1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CT12</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AD8EE">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60D0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800.00 </w:t>
            </w:r>
          </w:p>
        </w:tc>
      </w:tr>
      <w:tr w14:paraId="39BB7D14">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B22C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52</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AABF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哈希浊度仪校正维护</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BFB6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2100Q</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3EC1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B77E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800.00 </w:t>
            </w:r>
          </w:p>
        </w:tc>
      </w:tr>
      <w:tr w14:paraId="6255B3BD">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AD5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53</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98E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哈希余氯仪校正维护</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CDF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DR300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2D4AE">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D40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800.00 </w:t>
            </w:r>
          </w:p>
        </w:tc>
      </w:tr>
      <w:tr w14:paraId="210D4CA7">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57B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54</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4D2E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精创实验室专用温湿度记录仪</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2329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套</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08CE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E99A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251.00 </w:t>
            </w:r>
          </w:p>
        </w:tc>
      </w:tr>
      <w:tr w14:paraId="00B87F63">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DE7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55</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A38D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清时捷二氧化氯试剂</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100C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B-ARK（100次/套）</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8209E">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023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262.00 </w:t>
            </w:r>
          </w:p>
        </w:tc>
      </w:tr>
      <w:tr w14:paraId="22434658">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B70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56</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829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清时捷高锰酸盐指数试剂</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6E68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500mL/瓶，3瓶</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2AAC3">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2F7A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475.00 </w:t>
            </w:r>
          </w:p>
        </w:tc>
      </w:tr>
      <w:tr w14:paraId="7E8B0474">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B0719">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57</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63B9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清时捷耗氧量R1（硫酸溶液1+3）</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0A34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500mL/瓶</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8EB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DEDA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173.00 </w:t>
            </w:r>
          </w:p>
        </w:tc>
      </w:tr>
      <w:tr w14:paraId="4CE42325">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9D14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58</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8474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清时捷耗氧量R2（高锰酸钾储备液）</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727F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500mL/瓶</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A2BA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800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186.00 </w:t>
            </w:r>
          </w:p>
        </w:tc>
      </w:tr>
      <w:tr w14:paraId="4A90B700">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772CE">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59</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A533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清时捷耗氧量R3（草酸钠储备液）</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20B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500mL/瓶</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A1B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D681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179.00 </w:t>
            </w:r>
          </w:p>
        </w:tc>
      </w:tr>
      <w:tr w14:paraId="37B606B9">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100E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60</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7617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清时捷菌落总数培养基（套装）</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6F66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50次/套</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D454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C592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360.00 </w:t>
            </w:r>
          </w:p>
        </w:tc>
      </w:tr>
      <w:tr w14:paraId="567DB2D2">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523C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61</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9AE3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清时捷总大肠菌群培养基—（套装）</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18C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50次/套</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3E2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4C05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380.00 </w:t>
            </w:r>
          </w:p>
        </w:tc>
      </w:tr>
      <w:tr w14:paraId="03587DCC">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DE20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62</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5B8A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清时捷巴氏无菌吸管1ml</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F460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50个/包</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84803">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B251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47.00 </w:t>
            </w:r>
          </w:p>
        </w:tc>
      </w:tr>
      <w:tr w14:paraId="503B4734">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335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63</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6799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清时捷巴氏无菌吸管3ml</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958E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30个/包</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7FE2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625F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48.00 </w:t>
            </w:r>
          </w:p>
        </w:tc>
      </w:tr>
      <w:tr w14:paraId="77A951F6">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5F09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64</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B30F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清时捷9CM无菌培养皿</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5ED3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10个/包，5包/套</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7F23">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2BAC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132.00 </w:t>
            </w:r>
          </w:p>
        </w:tc>
      </w:tr>
      <w:tr w14:paraId="151FB0D5">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B2E8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65</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BFD4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清时捷1ml 移液枪头</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8EE2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1盒/98次，1ml</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8228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39FD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73.00 </w:t>
            </w:r>
          </w:p>
        </w:tc>
      </w:tr>
      <w:tr w14:paraId="79995ECE">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2C99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66</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1724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清时捷5ml 移液枪头</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257D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1盒/28次，5ml</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C551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38B2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71.00 </w:t>
            </w:r>
          </w:p>
        </w:tc>
      </w:tr>
      <w:tr w14:paraId="19382FF5">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B20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67</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05E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清时捷10ml 移液枪头</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4EEA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1盒/15次，10ml</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5F03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E9B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69.00 </w:t>
            </w:r>
          </w:p>
        </w:tc>
      </w:tr>
      <w:tr w14:paraId="78315A9C">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E76B1">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68</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EEA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清时捷无水乙醇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AF6C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500mL/瓶</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56AC">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5CE3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20.00 </w:t>
            </w:r>
          </w:p>
        </w:tc>
      </w:tr>
      <w:tr w14:paraId="09AFFD61">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3FF5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69</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D62B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清时捷无菌滤膜</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DA0C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47mm 0.45um 200张</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5FB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CE55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622.00 </w:t>
            </w:r>
          </w:p>
        </w:tc>
      </w:tr>
      <w:tr w14:paraId="23BEB1C3">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FEA1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70</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D4ED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清时捷灯芯棉线</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801C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20CM/</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31CC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89D8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4.50 </w:t>
            </w:r>
          </w:p>
        </w:tc>
      </w:tr>
      <w:tr w14:paraId="6CAA632D">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5A9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71</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BFE1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清时捷氨氮试剂</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0DB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B-ARK（100次/套）</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0367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1CD0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160.00 </w:t>
            </w:r>
          </w:p>
        </w:tc>
      </w:tr>
      <w:tr w14:paraId="014A5DCC">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A821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72</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62FA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清时捷大肠埃希氏菌培养基（套装）</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ADC6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6瓶/套</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4EC6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F0E1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500.00 </w:t>
            </w:r>
          </w:p>
        </w:tc>
      </w:tr>
      <w:tr w14:paraId="43D1D97D">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BB4B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73</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AB6D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清时捷11-12CM中性滤纸</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070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100张/盒</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34F6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A336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21.00 </w:t>
            </w:r>
          </w:p>
        </w:tc>
      </w:tr>
      <w:tr w14:paraId="0FC9DEE9">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C619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74</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A986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清时捷长绒棉球</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8699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28g</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187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5EBB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46.00 </w:t>
            </w:r>
          </w:p>
        </w:tc>
      </w:tr>
      <w:tr w14:paraId="3FBBE296">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1DB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75</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520A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清时捷水样采集无菌袋（含硫代硫酸钠）</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5CE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500mL/个</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3716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9F40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4.00 </w:t>
            </w:r>
          </w:p>
        </w:tc>
      </w:tr>
      <w:tr w14:paraId="76791725">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1F6C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76</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D30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清时捷250ml 烧杯</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A3AD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250ml</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DA5EE">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DC49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8.00 </w:t>
            </w:r>
          </w:p>
        </w:tc>
      </w:tr>
      <w:tr w14:paraId="3D584B5F">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FF2E">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77</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59D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清时捷滴定泵管</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0DF4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滴定 14#</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C18C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CDA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130.00 </w:t>
            </w:r>
          </w:p>
        </w:tc>
      </w:tr>
      <w:tr w14:paraId="3B8AEC36">
        <w:tblPrEx>
          <w:tblCellMar>
            <w:top w:w="0" w:type="dxa"/>
            <w:left w:w="108" w:type="dxa"/>
            <w:bottom w:w="0" w:type="dxa"/>
            <w:right w:w="108" w:type="dxa"/>
          </w:tblCellMar>
        </w:tblPrEx>
        <w:trPr>
          <w:trHeight w:val="625"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0340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78</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DABC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清时捷浊度比色瓶</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7546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2个/盒</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7062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C02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172.00 </w:t>
            </w:r>
          </w:p>
        </w:tc>
      </w:tr>
      <w:tr w14:paraId="6016ED67">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D348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79</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DFF4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清时捷试剂比色瓶</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4A15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12.5ml</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10F9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91E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170.00 </w:t>
            </w:r>
          </w:p>
        </w:tc>
      </w:tr>
      <w:tr w14:paraId="0DF0FEA2">
        <w:tblPrEx>
          <w:tblCellMar>
            <w:top w:w="0" w:type="dxa"/>
            <w:left w:w="108" w:type="dxa"/>
            <w:bottom w:w="0" w:type="dxa"/>
            <w:right w:w="108" w:type="dxa"/>
          </w:tblCellMar>
        </w:tblPrEx>
        <w:trPr>
          <w:trHeight w:val="64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465BC">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80</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99CA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清时捷浊度验证液</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B27A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B-ARK</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8485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5FF4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281.00 </w:t>
            </w:r>
          </w:p>
        </w:tc>
      </w:tr>
      <w:tr w14:paraId="722A115D">
        <w:tblPrEx>
          <w:tblCellMar>
            <w:top w:w="0" w:type="dxa"/>
            <w:left w:w="108" w:type="dxa"/>
            <w:bottom w:w="0" w:type="dxa"/>
            <w:right w:w="108" w:type="dxa"/>
          </w:tblCellMar>
        </w:tblPrEx>
        <w:trPr>
          <w:trHeight w:val="625"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E8F0E">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81</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945B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清时捷水浴锅</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5106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1.5L</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0EE4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7A5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425.00 </w:t>
            </w:r>
          </w:p>
        </w:tc>
      </w:tr>
      <w:tr w14:paraId="3A492FAC">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46B2C">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82</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B4A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清时捷不锈钢水浴锅支架</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060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4孔</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CFD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C3E4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175.00 </w:t>
            </w:r>
          </w:p>
        </w:tc>
      </w:tr>
      <w:tr w14:paraId="2F0ECAB0">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C57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83</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435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清时捷镊子</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3BF7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不锈钢医用</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27C4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8FEC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16.00 </w:t>
            </w:r>
          </w:p>
        </w:tc>
      </w:tr>
      <w:tr w14:paraId="6D9629DA">
        <w:tblPrEx>
          <w:tblCellMar>
            <w:top w:w="0" w:type="dxa"/>
            <w:left w:w="108" w:type="dxa"/>
            <w:bottom w:w="0" w:type="dxa"/>
            <w:right w:w="108" w:type="dxa"/>
          </w:tblCellMar>
        </w:tblPrEx>
        <w:trPr>
          <w:trHeight w:val="6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41271">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
                <w14:textFill>
                  <w14:solidFill>
                    <w14:schemeClr w14:val="tx1"/>
                  </w14:solidFill>
                </w14:textFill>
              </w:rPr>
              <w:t>84</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51EA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紫外线消毒灯管</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41B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T8-15W-长43.7cm</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A9D6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0695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000000" w:themeColor="text1"/>
                <w:kern w:val="0"/>
                <w:sz w:val="24"/>
                <w:szCs w:val="24"/>
                <w:highlight w:val="none"/>
                <w:lang w:bidi="ar"/>
                <w14:textFill>
                  <w14:solidFill>
                    <w14:schemeClr w14:val="tx1"/>
                  </w14:solidFill>
                </w14:textFill>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 xml:space="preserve">20.00 </w:t>
            </w:r>
          </w:p>
        </w:tc>
      </w:tr>
    </w:tbl>
    <w:p w14:paraId="5BD257F1">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color w:val="auto"/>
          <w:sz w:val="24"/>
          <w:szCs w:val="24"/>
          <w:highlight w:val="none"/>
        </w:rPr>
      </w:pPr>
      <w:bookmarkStart w:id="40" w:name="_Toc13291"/>
    </w:p>
    <w:p w14:paraId="153C6ADF">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b w:val="0"/>
          <w:bCs/>
          <w:color w:val="auto"/>
          <w:sz w:val="24"/>
          <w:szCs w:val="24"/>
          <w:highlight w:val="none"/>
        </w:rPr>
      </w:pPr>
      <w:r>
        <w:rPr>
          <w:rFonts w:hint="eastAsia" w:ascii="黑体" w:hAnsi="黑体" w:eastAsia="黑体" w:cs="黑体"/>
          <w:color w:val="auto"/>
          <w:sz w:val="24"/>
          <w:szCs w:val="24"/>
          <w:highlight w:val="none"/>
        </w:rPr>
        <w:t>三、质量要求</w:t>
      </w:r>
      <w:bookmarkEnd w:id="40"/>
    </w:p>
    <w:p w14:paraId="0B05A770">
      <w:pPr>
        <w:kinsoku/>
        <w:overflowPunct/>
        <w:topLinePunct w:val="0"/>
        <w:autoSpaceDE/>
        <w:autoSpaceDN/>
        <w:bidi w:val="0"/>
        <w:adjustRightInd/>
        <w:spacing w:line="480" w:lineRule="exact"/>
        <w:ind w:firstLine="480" w:firstLineChars="200"/>
        <w:rPr>
          <w:rFonts w:hint="eastAsia" w:ascii="黑体" w:hAnsi="黑体" w:eastAsia="黑体" w:cs="黑体"/>
          <w:bCs/>
          <w:color w:val="auto"/>
          <w:sz w:val="24"/>
          <w:szCs w:val="24"/>
          <w:highlight w:val="none"/>
          <w:lang w:eastAsia="zh-CN"/>
        </w:rPr>
      </w:pPr>
      <w:r>
        <w:rPr>
          <w:rFonts w:hint="eastAsia" w:ascii="黑体" w:hAnsi="黑体" w:eastAsia="黑体" w:cs="黑体"/>
          <w:bCs/>
          <w:color w:val="auto"/>
          <w:sz w:val="24"/>
          <w:szCs w:val="24"/>
          <w:highlight w:val="none"/>
        </w:rPr>
        <w:t>符合国家质量检测标准，并达到合格标准</w:t>
      </w:r>
      <w:r>
        <w:rPr>
          <w:rFonts w:hint="eastAsia" w:ascii="黑体" w:hAnsi="黑体" w:eastAsia="黑体" w:cs="黑体"/>
          <w:bCs/>
          <w:color w:val="auto"/>
          <w:sz w:val="24"/>
          <w:szCs w:val="24"/>
          <w:highlight w:val="none"/>
          <w:lang w:eastAsia="zh-CN"/>
        </w:rPr>
        <w:t>。</w:t>
      </w:r>
      <w:bookmarkStart w:id="41" w:name="_Toc28183"/>
    </w:p>
    <w:p w14:paraId="6EBA44A3">
      <w:pPr>
        <w:kinsoku/>
        <w:overflowPunct/>
        <w:topLinePunct w:val="0"/>
        <w:autoSpaceDE/>
        <w:autoSpaceDN/>
        <w:bidi w:val="0"/>
        <w:adjustRightInd/>
        <w:spacing w:line="480" w:lineRule="exact"/>
        <w:ind w:firstLine="480" w:firstLineChars="200"/>
        <w:rPr>
          <w:rFonts w:hint="eastAsia" w:ascii="黑体" w:hAnsi="黑体" w:eastAsia="黑体" w:cs="黑体"/>
          <w:bCs/>
          <w:color w:val="auto"/>
          <w:sz w:val="24"/>
          <w:szCs w:val="24"/>
          <w:highlight w:val="none"/>
          <w:lang w:eastAsia="zh-CN"/>
        </w:rPr>
      </w:pPr>
    </w:p>
    <w:p w14:paraId="17E30C17">
      <w:pPr>
        <w:kinsoku/>
        <w:overflowPunct/>
        <w:topLinePunct w:val="0"/>
        <w:autoSpaceDE/>
        <w:autoSpaceDN/>
        <w:bidi w:val="0"/>
        <w:adjustRightInd/>
        <w:spacing w:line="480" w:lineRule="exact"/>
        <w:ind w:firstLine="480" w:firstLineChars="200"/>
        <w:rPr>
          <w:rFonts w:hint="eastAsia" w:ascii="黑体" w:hAnsi="黑体" w:eastAsia="黑体" w:cs="黑体"/>
          <w:bCs/>
          <w:color w:val="auto"/>
          <w:sz w:val="24"/>
          <w:szCs w:val="24"/>
          <w:highlight w:val="none"/>
          <w:lang w:eastAsia="zh-CN"/>
        </w:rPr>
      </w:pPr>
    </w:p>
    <w:p w14:paraId="40878F07">
      <w:pPr>
        <w:kinsoku/>
        <w:overflowPunct/>
        <w:topLinePunct w:val="0"/>
        <w:autoSpaceDE/>
        <w:autoSpaceDN/>
        <w:bidi w:val="0"/>
        <w:adjustRightInd/>
        <w:spacing w:line="480" w:lineRule="exact"/>
        <w:jc w:val="center"/>
        <w:rPr>
          <w:rFonts w:hint="eastAsia" w:ascii="黑体" w:hAnsi="黑体" w:eastAsia="黑体" w:cs="黑体"/>
          <w:b/>
          <w:bCs/>
          <w:color w:val="auto"/>
          <w:sz w:val="30"/>
          <w:szCs w:val="30"/>
        </w:rPr>
      </w:pPr>
    </w:p>
    <w:p w14:paraId="6430017B">
      <w:pPr>
        <w:kinsoku/>
        <w:overflowPunct/>
        <w:topLinePunct w:val="0"/>
        <w:autoSpaceDE/>
        <w:autoSpaceDN/>
        <w:bidi w:val="0"/>
        <w:adjustRightInd/>
        <w:spacing w:line="480" w:lineRule="exact"/>
        <w:jc w:val="center"/>
        <w:rPr>
          <w:rFonts w:hint="eastAsia" w:ascii="黑体" w:hAnsi="黑体" w:eastAsia="黑体" w:cs="黑体"/>
          <w:b/>
          <w:bCs/>
          <w:color w:val="auto"/>
          <w:sz w:val="30"/>
          <w:szCs w:val="30"/>
        </w:rPr>
      </w:pPr>
      <w:r>
        <w:rPr>
          <w:rFonts w:hint="eastAsia" w:ascii="黑体" w:hAnsi="黑体" w:eastAsia="黑体" w:cs="黑体"/>
          <w:b/>
          <w:bCs/>
          <w:color w:val="auto"/>
          <w:sz w:val="30"/>
          <w:szCs w:val="30"/>
        </w:rPr>
        <w:t>第三篇  项目商务需求</w:t>
      </w:r>
      <w:bookmarkEnd w:id="41"/>
    </w:p>
    <w:p w14:paraId="1EE0D056">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color w:val="auto"/>
          <w:sz w:val="24"/>
          <w:szCs w:val="24"/>
        </w:rPr>
      </w:pPr>
      <w:bookmarkStart w:id="42" w:name="_Toc22570"/>
      <w:bookmarkStart w:id="43" w:name="_Toc132194555"/>
    </w:p>
    <w:p w14:paraId="0F45FAAE">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一、交货时间、交货地点、服务期及验收方式</w:t>
      </w:r>
      <w:bookmarkEnd w:id="42"/>
      <w:bookmarkEnd w:id="43"/>
    </w:p>
    <w:p w14:paraId="77478A81">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（一）交货时间</w:t>
      </w:r>
    </w:p>
    <w:p w14:paraId="337FC61E">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根据采购人书面通知的时间，在48小时内运到采购人指定的供货现场并完成下车、搬运入库、现场清理等工作。</w:t>
      </w:r>
    </w:p>
    <w:p w14:paraId="63E54119">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（二）交货地点</w:t>
      </w:r>
    </w:p>
    <w:p w14:paraId="52E219D1">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重庆市大足区29个自来水厂</w:t>
      </w:r>
    </w:p>
    <w:p w14:paraId="3224BCC0">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（三）服务期</w:t>
      </w:r>
    </w:p>
    <w:p w14:paraId="6ABE2717">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本次合同金额</w:t>
      </w:r>
      <w:r>
        <w:rPr>
          <w:rFonts w:hint="eastAsia" w:ascii="黑体" w:hAnsi="黑体" w:eastAsia="黑体" w:cs="黑体"/>
          <w:color w:val="auto"/>
          <w:sz w:val="24"/>
          <w:szCs w:val="24"/>
          <w:highlight w:val="none"/>
          <w:lang w:val="en-US" w:eastAsia="zh-CN"/>
        </w:rPr>
        <w:t>暂定</w:t>
      </w:r>
      <w:r>
        <w:rPr>
          <w:rFonts w:hint="eastAsia" w:ascii="黑体" w:hAnsi="黑体" w:eastAsia="黑体" w:cs="黑体"/>
          <w:color w:val="auto"/>
          <w:sz w:val="24"/>
          <w:szCs w:val="24"/>
          <w:highlight w:val="none"/>
        </w:rPr>
        <w:t>为49.5万元*折扣率，完成业主供货需求并达到合同金额后供货自动终止。</w:t>
      </w:r>
    </w:p>
    <w:p w14:paraId="25214F14">
      <w:pPr>
        <w:kinsoku/>
        <w:overflowPunct/>
        <w:topLinePunct w:val="0"/>
        <w:autoSpaceDE/>
        <w:autoSpaceDN/>
        <w:bidi w:val="0"/>
        <w:adjustRightInd/>
        <w:snapToGrid w:val="0"/>
        <w:spacing w:line="480" w:lineRule="exact"/>
        <w:ind w:left="476" w:leftChars="170"/>
        <w:rPr>
          <w:rFonts w:hint="eastAsia" w:ascii="黑体" w:hAnsi="黑体" w:eastAsia="黑体" w:cs="黑体"/>
          <w:color w:val="auto"/>
          <w:sz w:val="24"/>
          <w:szCs w:val="24"/>
        </w:rPr>
      </w:pPr>
      <w:r>
        <w:rPr>
          <w:rFonts w:hint="eastAsia" w:ascii="黑体" w:hAnsi="黑体" w:eastAsia="黑体" w:cs="黑体"/>
          <w:color w:val="auto"/>
          <w:sz w:val="24"/>
          <w:szCs w:val="24"/>
        </w:rPr>
        <w:t>（四）验收方式</w:t>
      </w:r>
    </w:p>
    <w:p w14:paraId="56E3FB29">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由采购方组织相关人员进行验收</w:t>
      </w:r>
    </w:p>
    <w:p w14:paraId="063BD3B3">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color w:val="auto"/>
          <w:sz w:val="24"/>
          <w:szCs w:val="24"/>
        </w:rPr>
      </w:pPr>
      <w:bookmarkStart w:id="44" w:name="_Toc30366"/>
      <w:bookmarkStart w:id="45" w:name="_Toc132194556"/>
      <w:r>
        <w:rPr>
          <w:rFonts w:hint="eastAsia" w:ascii="黑体" w:hAnsi="黑体" w:eastAsia="黑体" w:cs="黑体"/>
          <w:color w:val="auto"/>
          <w:sz w:val="24"/>
          <w:szCs w:val="24"/>
        </w:rPr>
        <w:t>二、报价要求</w:t>
      </w:r>
      <w:bookmarkEnd w:id="44"/>
      <w:bookmarkEnd w:id="45"/>
    </w:p>
    <w:p w14:paraId="6F5AED86">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bookmarkStart w:id="46" w:name="_Toc20975"/>
      <w:bookmarkStart w:id="47" w:name="_Toc8981"/>
      <w:bookmarkStart w:id="48" w:name="_Toc132194558"/>
      <w:r>
        <w:rPr>
          <w:rFonts w:hint="eastAsia" w:ascii="黑体" w:hAnsi="黑体" w:eastAsia="黑体" w:cs="黑体"/>
          <w:color w:val="auto"/>
          <w:sz w:val="24"/>
          <w:szCs w:val="24"/>
        </w:rPr>
        <w:t>1、本次采购的投标报价货币为人民币</w:t>
      </w:r>
      <w:r>
        <w:rPr>
          <w:rFonts w:hint="eastAsia" w:ascii="黑体" w:hAnsi="黑体" w:eastAsia="黑体" w:cs="黑体"/>
          <w:color w:val="auto"/>
          <w:sz w:val="24"/>
          <w:szCs w:val="24"/>
          <w:lang w:eastAsia="zh-CN"/>
        </w:rPr>
        <w:t>报价</w:t>
      </w:r>
      <w:r>
        <w:rPr>
          <w:rFonts w:hint="eastAsia" w:ascii="黑体" w:hAnsi="黑体" w:eastAsia="黑体" w:cs="黑体"/>
          <w:color w:val="auto"/>
          <w:sz w:val="24"/>
          <w:szCs w:val="24"/>
        </w:rPr>
        <w:t>，投标人应根据自身的实力和对招标文件、技术条件和国家技术规范和标准的理解，结合市场行情进行自主报价。</w:t>
      </w:r>
    </w:p>
    <w:p w14:paraId="0F493A7E">
      <w:pPr>
        <w:numPr>
          <w:ilvl w:val="0"/>
          <w:numId w:val="3"/>
        </w:num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lang w:val="en-US" w:eastAsia="zh-CN"/>
        </w:rPr>
      </w:pPr>
      <w:bookmarkStart w:id="49" w:name="_Toc132194557"/>
      <w:r>
        <w:rPr>
          <w:rFonts w:hint="eastAsia" w:ascii="黑体" w:hAnsi="黑体" w:eastAsia="黑体" w:cs="黑体"/>
          <w:color w:val="auto"/>
          <w:sz w:val="24"/>
          <w:szCs w:val="24"/>
        </w:rPr>
        <w:t>货到买方交货地点价。包含产品单价（含税）、运输费、包装费、装卸费、保险费、检测费、税金等所有送货到甲方指定地点的一切费用，在合同执行过程中不作调整，采购数量以招标人通知为准</w:t>
      </w:r>
      <w:r>
        <w:rPr>
          <w:rFonts w:hint="eastAsia" w:ascii="黑体" w:hAnsi="黑体" w:eastAsia="黑体" w:cs="黑体"/>
          <w:color w:val="auto"/>
          <w:sz w:val="24"/>
          <w:szCs w:val="24"/>
          <w:lang w:eastAsia="zh-CN"/>
        </w:rPr>
        <w:t>。</w:t>
      </w:r>
    </w:p>
    <w:p w14:paraId="397A2B6D">
      <w:pPr>
        <w:numPr>
          <w:ilvl w:val="0"/>
          <w:numId w:val="3"/>
        </w:numPr>
        <w:kinsoku/>
        <w:overflowPunct/>
        <w:topLinePunct w:val="0"/>
        <w:autoSpaceDE/>
        <w:autoSpaceDN/>
        <w:bidi w:val="0"/>
        <w:adjustRightInd/>
        <w:snapToGrid w:val="0"/>
        <w:spacing w:line="480" w:lineRule="exact"/>
        <w:ind w:left="0" w:leftChars="0" w:firstLine="480" w:firstLineChars="200"/>
        <w:rPr>
          <w:rFonts w:hint="eastAsia" w:ascii="黑体" w:hAnsi="黑体" w:eastAsia="黑体" w:cs="黑体"/>
          <w:color w:val="auto"/>
          <w:kern w:val="0"/>
          <w:sz w:val="24"/>
          <w:szCs w:val="24"/>
        </w:rPr>
      </w:pPr>
      <w:r>
        <w:rPr>
          <w:rFonts w:hint="eastAsia" w:ascii="黑体" w:hAnsi="黑体" w:eastAsia="黑体" w:cs="黑体"/>
          <w:color w:val="auto"/>
          <w:sz w:val="24"/>
          <w:szCs w:val="24"/>
        </w:rPr>
        <w:t>本次报价采用</w:t>
      </w:r>
      <w:r>
        <w:rPr>
          <w:rFonts w:hint="eastAsia" w:ascii="黑体" w:hAnsi="黑体" w:eastAsia="黑体" w:cs="黑体"/>
          <w:color w:val="auto"/>
          <w:sz w:val="24"/>
          <w:szCs w:val="24"/>
          <w:highlight w:val="none"/>
        </w:rPr>
        <w:t>采用总价折扣比例形式报价</w:t>
      </w:r>
      <w:r>
        <w:rPr>
          <w:rFonts w:hint="eastAsia" w:ascii="黑体" w:hAnsi="黑体" w:eastAsia="黑体" w:cs="黑体"/>
          <w:color w:val="auto"/>
          <w:sz w:val="24"/>
          <w:szCs w:val="24"/>
        </w:rPr>
        <w:t>，折扣比例不得高于100%，否则为无效响应。合同期内采购人根据成交折扣比例和实际供货量据实结算</w:t>
      </w:r>
      <w:r>
        <w:rPr>
          <w:rFonts w:hint="eastAsia" w:ascii="黑体" w:hAnsi="黑体" w:eastAsia="黑体" w:cs="黑体"/>
          <w:color w:val="auto"/>
          <w:kern w:val="0"/>
          <w:sz w:val="24"/>
          <w:szCs w:val="24"/>
        </w:rPr>
        <w:t>。</w:t>
      </w:r>
      <w:bookmarkEnd w:id="49"/>
    </w:p>
    <w:p w14:paraId="42A1D82B">
      <w:pPr>
        <w:numPr>
          <w:ilvl w:val="0"/>
          <w:numId w:val="0"/>
        </w:numPr>
        <w:kinsoku/>
        <w:overflowPunct/>
        <w:topLinePunct w:val="0"/>
        <w:autoSpaceDE/>
        <w:autoSpaceDN/>
        <w:bidi w:val="0"/>
        <w:adjustRightInd/>
        <w:snapToGrid w:val="0"/>
        <w:spacing w:line="480" w:lineRule="exact"/>
        <w:ind w:firstLine="482" w:firstLineChars="200"/>
        <w:rPr>
          <w:rFonts w:hint="eastAsia" w:ascii="黑体" w:hAnsi="黑体" w:eastAsia="黑体" w:cs="黑体"/>
          <w:b/>
          <w:bCs/>
          <w:color w:val="auto"/>
          <w:sz w:val="24"/>
          <w:szCs w:val="24"/>
        </w:rPr>
      </w:pPr>
      <w:r>
        <w:rPr>
          <w:rFonts w:hint="eastAsia" w:ascii="黑体" w:hAnsi="黑体" w:eastAsia="黑体" w:cs="黑体"/>
          <w:b/>
          <w:bCs/>
          <w:color w:val="auto"/>
          <w:sz w:val="24"/>
          <w:szCs w:val="24"/>
          <w:lang w:eastAsia="zh-CN"/>
        </w:rPr>
        <w:t>三、</w:t>
      </w:r>
      <w:r>
        <w:rPr>
          <w:rFonts w:hint="eastAsia" w:ascii="黑体" w:hAnsi="黑体" w:eastAsia="黑体" w:cs="黑体"/>
          <w:b/>
          <w:bCs/>
          <w:color w:val="auto"/>
          <w:sz w:val="24"/>
          <w:szCs w:val="24"/>
        </w:rPr>
        <w:t>质量保证</w:t>
      </w:r>
      <w:bookmarkEnd w:id="46"/>
      <w:bookmarkEnd w:id="47"/>
      <w:bookmarkStart w:id="50" w:name="_Toc5060"/>
      <w:bookmarkStart w:id="51" w:name="_Toc30044"/>
      <w:bookmarkStart w:id="52" w:name="_Toc30177"/>
      <w:bookmarkStart w:id="53" w:name="_Toc7067"/>
      <w:bookmarkStart w:id="54" w:name="_Toc2281"/>
      <w:bookmarkStart w:id="55" w:name="_Toc26490"/>
      <w:bookmarkStart w:id="56" w:name="_Toc27222"/>
    </w:p>
    <w:p w14:paraId="4C73A90F">
      <w:pPr>
        <w:numPr>
          <w:ilvl w:val="0"/>
          <w:numId w:val="0"/>
        </w:numPr>
        <w:kinsoku/>
        <w:overflowPunct/>
        <w:topLinePunct w:val="0"/>
        <w:autoSpaceDE/>
        <w:autoSpaceDN/>
        <w:bidi w:val="0"/>
        <w:adjustRightInd/>
        <w:snapToGrid w:val="0"/>
        <w:spacing w:line="480" w:lineRule="exact"/>
        <w:ind w:firstLine="480" w:firstLineChars="200"/>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rPr>
        <w:t>1.产品质量保证期：一年</w:t>
      </w:r>
      <w:bookmarkEnd w:id="50"/>
      <w:bookmarkEnd w:id="51"/>
      <w:bookmarkEnd w:id="52"/>
      <w:bookmarkEnd w:id="53"/>
      <w:bookmarkEnd w:id="54"/>
      <w:bookmarkEnd w:id="55"/>
      <w:bookmarkEnd w:id="56"/>
      <w:bookmarkStart w:id="57" w:name="_Toc8037"/>
      <w:bookmarkStart w:id="58" w:name="_Toc6409"/>
      <w:bookmarkStart w:id="59" w:name="_Toc28152"/>
      <w:bookmarkStart w:id="60" w:name="_Toc14717"/>
      <w:bookmarkStart w:id="61" w:name="_Toc2072"/>
      <w:bookmarkStart w:id="62" w:name="_Toc31636"/>
      <w:bookmarkStart w:id="63" w:name="_Toc6792"/>
    </w:p>
    <w:p w14:paraId="4733D43F">
      <w:pPr>
        <w:numPr>
          <w:ilvl w:val="0"/>
          <w:numId w:val="0"/>
        </w:num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b w:val="0"/>
          <w:bCs/>
          <w:color w:val="auto"/>
          <w:sz w:val="24"/>
          <w:szCs w:val="24"/>
        </w:rPr>
        <w:t>2.投标产品属于国家规定“三包”范围的，其产品质量保证期不得低于“三包”规定。</w:t>
      </w:r>
      <w:bookmarkEnd w:id="57"/>
      <w:bookmarkEnd w:id="58"/>
      <w:bookmarkEnd w:id="59"/>
      <w:bookmarkEnd w:id="60"/>
      <w:bookmarkEnd w:id="61"/>
      <w:bookmarkEnd w:id="62"/>
      <w:bookmarkEnd w:id="63"/>
      <w:bookmarkStart w:id="64" w:name="_Toc24167"/>
      <w:bookmarkStart w:id="65" w:name="_Toc9359"/>
      <w:bookmarkStart w:id="66" w:name="_Toc17980"/>
      <w:bookmarkStart w:id="67" w:name="_Toc6476"/>
      <w:bookmarkStart w:id="68" w:name="_Toc26650"/>
      <w:bookmarkStart w:id="69" w:name="_Toc12668"/>
      <w:bookmarkStart w:id="70" w:name="_Toc16385"/>
    </w:p>
    <w:p w14:paraId="5B82558E">
      <w:pPr>
        <w:numPr>
          <w:ilvl w:val="0"/>
          <w:numId w:val="0"/>
        </w:numPr>
        <w:kinsoku/>
        <w:overflowPunct/>
        <w:topLinePunct w:val="0"/>
        <w:autoSpaceDE/>
        <w:autoSpaceDN/>
        <w:bidi w:val="0"/>
        <w:adjustRightInd/>
        <w:snapToGrid w:val="0"/>
        <w:spacing w:line="480" w:lineRule="exact"/>
        <w:ind w:firstLine="480" w:firstLineChars="200"/>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val="en-US" w:eastAsia="zh-CN"/>
        </w:rPr>
        <w:t>3</w:t>
      </w:r>
      <w:r>
        <w:rPr>
          <w:rFonts w:hint="eastAsia" w:ascii="黑体" w:hAnsi="黑体" w:eastAsia="黑体" w:cs="黑体"/>
          <w:b w:val="0"/>
          <w:bCs/>
          <w:color w:val="auto"/>
          <w:sz w:val="24"/>
          <w:szCs w:val="24"/>
        </w:rPr>
        <w:t>.供应商的质量保证期承诺优于国家“三包”规定的，按供应商实际承诺执行。</w:t>
      </w:r>
      <w:bookmarkEnd w:id="64"/>
      <w:bookmarkEnd w:id="65"/>
      <w:bookmarkEnd w:id="66"/>
      <w:bookmarkEnd w:id="67"/>
      <w:bookmarkEnd w:id="68"/>
      <w:bookmarkEnd w:id="69"/>
      <w:bookmarkEnd w:id="70"/>
      <w:bookmarkStart w:id="71" w:name="_Toc25140"/>
    </w:p>
    <w:p w14:paraId="69D59D0E">
      <w:pPr>
        <w:numPr>
          <w:ilvl w:val="0"/>
          <w:numId w:val="0"/>
        </w:numPr>
        <w:kinsoku/>
        <w:overflowPunct/>
        <w:topLinePunct w:val="0"/>
        <w:autoSpaceDE/>
        <w:autoSpaceDN/>
        <w:bidi w:val="0"/>
        <w:adjustRightInd/>
        <w:snapToGrid w:val="0"/>
        <w:spacing w:line="480" w:lineRule="exact"/>
        <w:ind w:firstLine="482" w:firstLineChars="200"/>
        <w:rPr>
          <w:rFonts w:hint="eastAsia" w:ascii="黑体" w:hAnsi="黑体" w:eastAsia="黑体" w:cs="黑体"/>
          <w:b/>
          <w:bCs/>
          <w:color w:val="auto"/>
          <w:sz w:val="24"/>
          <w:szCs w:val="24"/>
        </w:rPr>
      </w:pPr>
      <w:r>
        <w:rPr>
          <w:rFonts w:hint="eastAsia" w:ascii="黑体" w:hAnsi="黑体" w:eastAsia="黑体" w:cs="黑体"/>
          <w:b/>
          <w:bCs/>
          <w:color w:val="auto"/>
          <w:sz w:val="24"/>
          <w:szCs w:val="24"/>
        </w:rPr>
        <w:t>四、其它要求</w:t>
      </w:r>
      <w:bookmarkEnd w:id="71"/>
      <w:bookmarkStart w:id="72" w:name="_Toc30953"/>
      <w:bookmarkStart w:id="73" w:name="_Toc267"/>
      <w:bookmarkStart w:id="74" w:name="_Toc2826"/>
      <w:bookmarkStart w:id="75" w:name="_Toc12734"/>
      <w:bookmarkStart w:id="76" w:name="_Toc4217"/>
      <w:bookmarkStart w:id="77" w:name="_Toc31467"/>
      <w:bookmarkStart w:id="78" w:name="_Toc21097"/>
    </w:p>
    <w:p w14:paraId="31FCBAA2">
      <w:pPr>
        <w:numPr>
          <w:ilvl w:val="0"/>
          <w:numId w:val="0"/>
        </w:numPr>
        <w:kinsoku/>
        <w:overflowPunct/>
        <w:topLinePunct w:val="0"/>
        <w:autoSpaceDE/>
        <w:autoSpaceDN/>
        <w:bidi w:val="0"/>
        <w:adjustRightInd/>
        <w:snapToGrid w:val="0"/>
        <w:spacing w:line="480" w:lineRule="exact"/>
        <w:ind w:firstLine="480" w:firstLineChars="200"/>
        <w:rPr>
          <w:rFonts w:hint="eastAsia" w:ascii="黑体" w:hAnsi="黑体" w:eastAsia="黑体" w:cs="黑体"/>
          <w:b w:val="0"/>
          <w:color w:val="auto"/>
          <w:sz w:val="24"/>
          <w:szCs w:val="24"/>
        </w:rPr>
      </w:pPr>
      <w:r>
        <w:rPr>
          <w:rFonts w:hint="eastAsia" w:ascii="黑体" w:hAnsi="黑体" w:eastAsia="黑体" w:cs="黑体"/>
          <w:b w:val="0"/>
          <w:color w:val="auto"/>
          <w:sz w:val="24"/>
          <w:szCs w:val="24"/>
        </w:rPr>
        <w:t>1、提供供货期期间售后服务承诺，承诺接到发货通知后48小时货物到达现场。</w:t>
      </w:r>
      <w:bookmarkEnd w:id="72"/>
      <w:bookmarkEnd w:id="73"/>
      <w:bookmarkEnd w:id="74"/>
      <w:bookmarkEnd w:id="75"/>
      <w:bookmarkEnd w:id="76"/>
      <w:bookmarkEnd w:id="77"/>
      <w:bookmarkStart w:id="79" w:name="_Toc16737"/>
      <w:bookmarkStart w:id="80" w:name="_Toc5540"/>
      <w:bookmarkStart w:id="81" w:name="_Toc19558"/>
      <w:bookmarkStart w:id="82" w:name="_Toc18240"/>
      <w:bookmarkStart w:id="83" w:name="_Toc286"/>
      <w:bookmarkStart w:id="84" w:name="_Toc24555"/>
    </w:p>
    <w:p w14:paraId="54EB9C42">
      <w:pPr>
        <w:numPr>
          <w:ilvl w:val="0"/>
          <w:numId w:val="0"/>
        </w:numPr>
        <w:kinsoku/>
        <w:overflowPunct/>
        <w:topLinePunct w:val="0"/>
        <w:autoSpaceDE/>
        <w:autoSpaceDN/>
        <w:bidi w:val="0"/>
        <w:adjustRightInd/>
        <w:snapToGrid w:val="0"/>
        <w:spacing w:line="480" w:lineRule="exact"/>
        <w:ind w:firstLine="240" w:firstLineChars="100"/>
        <w:rPr>
          <w:rFonts w:hint="eastAsia" w:ascii="黑体" w:hAnsi="黑体" w:eastAsia="黑体" w:cs="黑体"/>
          <w:b w:val="0"/>
          <w:color w:val="auto"/>
          <w:sz w:val="24"/>
          <w:szCs w:val="24"/>
        </w:rPr>
      </w:pPr>
      <w:r>
        <w:rPr>
          <w:rFonts w:hint="eastAsia" w:ascii="黑体" w:hAnsi="黑体" w:eastAsia="黑体" w:cs="黑体"/>
          <w:b w:val="0"/>
          <w:color w:val="auto"/>
          <w:sz w:val="24"/>
          <w:szCs w:val="24"/>
        </w:rPr>
        <w:t>注：提供承诺书原件并加盖投标公章，格式自拟；</w:t>
      </w:r>
      <w:bookmarkEnd w:id="78"/>
      <w:bookmarkEnd w:id="79"/>
      <w:bookmarkEnd w:id="80"/>
      <w:bookmarkEnd w:id="81"/>
      <w:bookmarkEnd w:id="82"/>
      <w:bookmarkEnd w:id="83"/>
      <w:bookmarkEnd w:id="84"/>
    </w:p>
    <w:p w14:paraId="0DFAF344">
      <w:pPr>
        <w:numPr>
          <w:ilvl w:val="0"/>
          <w:numId w:val="0"/>
        </w:num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2、承诺所提供的材料必须是自己工厂所制造或代理的产品，不得外购他人产品。</w:t>
      </w:r>
    </w:p>
    <w:p w14:paraId="05580302">
      <w:pPr>
        <w:pStyle w:val="5"/>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注：提供承诺书原件并加盖投标公章，格式自拟。</w:t>
      </w:r>
    </w:p>
    <w:p w14:paraId="1BDE6AB9">
      <w:pPr>
        <w:pStyle w:val="5"/>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3、聚氯化铝技术要求。</w:t>
      </w:r>
    </w:p>
    <w:p w14:paraId="3D738196">
      <w:pPr>
        <w:pStyle w:val="5"/>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（1）具有卫生监督部门颁发的《涉及饮用水卫生安全产品卫生许可证批件》，且在有效期范围内。</w:t>
      </w:r>
    </w:p>
    <w:p w14:paraId="4CAC8D07">
      <w:pPr>
        <w:pStyle w:val="5"/>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rPr>
        <w:t>注：提供证明文件复印件并加盖投标公章。</w:t>
      </w:r>
    </w:p>
    <w:p w14:paraId="40FA431A">
      <w:pPr>
        <w:pStyle w:val="5"/>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highlight w:val="none"/>
        </w:rPr>
        <w:t>（2）具有相关CMA资质认定的第三方检测机构出具的所投</w:t>
      </w:r>
      <w:r>
        <w:rPr>
          <w:rFonts w:hint="eastAsia" w:ascii="黑体" w:hAnsi="黑体" w:eastAsia="黑体" w:cs="黑体"/>
          <w:color w:val="auto"/>
          <w:sz w:val="24"/>
          <w:szCs w:val="24"/>
          <w:highlight w:val="none"/>
          <w:lang w:val="en-US" w:eastAsia="zh-CN"/>
        </w:rPr>
        <w:t>任意</w:t>
      </w:r>
      <w:r>
        <w:rPr>
          <w:rFonts w:hint="eastAsia" w:ascii="黑体" w:hAnsi="黑体" w:eastAsia="黑体" w:cs="黑体"/>
          <w:color w:val="auto"/>
          <w:sz w:val="24"/>
          <w:szCs w:val="24"/>
          <w:highlight w:val="none"/>
        </w:rPr>
        <w:t>产品质</w:t>
      </w:r>
      <w:r>
        <w:rPr>
          <w:rFonts w:hint="eastAsia" w:ascii="黑体" w:hAnsi="黑体" w:eastAsia="黑体" w:cs="黑体"/>
          <w:color w:val="auto"/>
          <w:sz w:val="24"/>
          <w:szCs w:val="24"/>
        </w:rPr>
        <w:t>量、卫生检测指标合格的报告；</w:t>
      </w:r>
    </w:p>
    <w:p w14:paraId="28DCB617">
      <w:pPr>
        <w:pStyle w:val="5"/>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注：提供证明文件复印件并加盖投标公章。</w:t>
      </w:r>
    </w:p>
    <w:p w14:paraId="1824D23F">
      <w:pPr>
        <w:pStyle w:val="5"/>
        <w:kinsoku/>
        <w:overflowPunct/>
        <w:topLinePunct w:val="0"/>
        <w:autoSpaceDE/>
        <w:autoSpaceDN/>
        <w:bidi w:val="0"/>
        <w:adjustRightInd/>
        <w:spacing w:line="480" w:lineRule="exact"/>
        <w:ind w:firstLine="482" w:firstLineChars="200"/>
        <w:rPr>
          <w:rFonts w:hint="eastAsia" w:ascii="黑体" w:hAnsi="黑体" w:eastAsia="黑体" w:cs="黑体"/>
          <w:b/>
          <w:bCs/>
          <w:color w:val="auto"/>
          <w:sz w:val="24"/>
          <w:szCs w:val="24"/>
        </w:rPr>
      </w:pPr>
      <w:r>
        <w:rPr>
          <w:rFonts w:hint="eastAsia" w:ascii="黑体" w:hAnsi="黑体" w:eastAsia="黑体" w:cs="黑体"/>
          <w:b/>
          <w:bCs/>
          <w:color w:val="auto"/>
          <w:sz w:val="24"/>
          <w:szCs w:val="24"/>
        </w:rPr>
        <w:t>注：以上要求格式自拟，如未提供为无效响应</w:t>
      </w:r>
      <w:bookmarkStart w:id="85" w:name="_Toc28971"/>
      <w:r>
        <w:rPr>
          <w:rFonts w:hint="eastAsia" w:ascii="黑体" w:hAnsi="黑体" w:eastAsia="黑体" w:cs="黑体"/>
          <w:b/>
          <w:bCs/>
          <w:color w:val="auto"/>
          <w:sz w:val="24"/>
          <w:szCs w:val="24"/>
        </w:rPr>
        <w:t>。</w:t>
      </w:r>
    </w:p>
    <w:p w14:paraId="5B214F17">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color w:val="auto"/>
          <w:sz w:val="24"/>
          <w:szCs w:val="24"/>
        </w:rPr>
      </w:pPr>
      <w:r>
        <w:rPr>
          <w:rFonts w:hint="eastAsia" w:ascii="黑体" w:hAnsi="黑体" w:eastAsia="黑体" w:cs="黑体"/>
          <w:color w:val="auto"/>
          <w:sz w:val="24"/>
          <w:szCs w:val="24"/>
        </w:rPr>
        <w:t>五、结算方式</w:t>
      </w:r>
      <w:bookmarkEnd w:id="85"/>
    </w:p>
    <w:p w14:paraId="7A498B75">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000000" w:themeColor="text1"/>
          <w:sz w:val="24"/>
          <w:szCs w:val="24"/>
          <w:highlight w:val="none"/>
          <w:lang w:eastAsia="zh-CN"/>
          <w14:textFill>
            <w14:solidFill>
              <w14:schemeClr w14:val="tx1"/>
            </w14:solidFill>
          </w14:textFill>
        </w:rPr>
      </w:pPr>
      <w:bookmarkStart w:id="86" w:name="_Toc13052"/>
      <w:r>
        <w:rPr>
          <w:rFonts w:hint="eastAsia" w:ascii="黑体" w:hAnsi="黑体" w:eastAsia="黑体" w:cs="黑体"/>
          <w:color w:val="000000" w:themeColor="text1"/>
          <w:sz w:val="24"/>
          <w:szCs w:val="24"/>
          <w:highlight w:val="none"/>
          <w:lang w:eastAsia="zh-CN"/>
          <w14:textFill>
            <w14:solidFill>
              <w14:schemeClr w14:val="tx1"/>
            </w14:solidFill>
          </w14:textFill>
        </w:rPr>
        <w:t>结算总价=合同单价*实际供货数量*成交价折扣率（结算金额不能超过合同金额）</w:t>
      </w:r>
    </w:p>
    <w:p w14:paraId="3C3575B5">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六、付款方式</w:t>
      </w:r>
      <w:bookmarkEnd w:id="48"/>
      <w:bookmarkEnd w:id="86"/>
    </w:p>
    <w:p w14:paraId="1E6D7035">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按照实际供货量付款</w:t>
      </w:r>
      <w:r>
        <w:rPr>
          <w:rFonts w:hint="eastAsia" w:ascii="黑体" w:hAnsi="黑体" w:eastAsia="黑体" w:cs="黑体"/>
          <w:color w:val="000000" w:themeColor="text1"/>
          <w:sz w:val="24"/>
          <w:szCs w:val="24"/>
          <w:highlight w:val="none"/>
          <w:lang w:eastAsia="zh-CN"/>
          <w14:textFill>
            <w14:solidFill>
              <w14:schemeClr w14:val="tx1"/>
            </w14:solidFill>
          </w14:textFill>
        </w:rPr>
        <w:t>。</w:t>
      </w:r>
      <w:r>
        <w:rPr>
          <w:rFonts w:hint="eastAsia" w:ascii="黑体" w:hAnsi="黑体" w:eastAsia="黑体" w:cs="黑体"/>
          <w:color w:val="000000" w:themeColor="text1"/>
          <w:sz w:val="24"/>
          <w:szCs w:val="24"/>
          <w:highlight w:val="none"/>
          <w14:textFill>
            <w14:solidFill>
              <w14:schemeClr w14:val="tx1"/>
            </w14:solidFill>
          </w14:textFill>
        </w:rPr>
        <w:t>到货验收合格，</w:t>
      </w:r>
      <w:r>
        <w:rPr>
          <w:rFonts w:hint="eastAsia" w:ascii="黑体" w:hAnsi="黑体" w:eastAsia="黑体" w:cs="黑体"/>
          <w:color w:val="000000" w:themeColor="text1"/>
          <w:sz w:val="24"/>
          <w:szCs w:val="24"/>
          <w:highlight w:val="none"/>
          <w:lang w:eastAsia="zh-CN"/>
          <w14:textFill>
            <w14:solidFill>
              <w14:schemeClr w14:val="tx1"/>
            </w14:solidFill>
          </w14:textFill>
        </w:rPr>
        <w:t>并</w:t>
      </w:r>
      <w:r>
        <w:rPr>
          <w:rFonts w:hint="eastAsia" w:ascii="黑体" w:hAnsi="黑体" w:eastAsia="黑体" w:cs="黑体"/>
          <w:color w:val="000000" w:themeColor="text1"/>
          <w:sz w:val="24"/>
          <w:szCs w:val="24"/>
          <w:highlight w:val="none"/>
          <w14:textFill>
            <w14:solidFill>
              <w14:schemeClr w14:val="tx1"/>
            </w14:solidFill>
          </w14:textFill>
        </w:rPr>
        <w:t>提供</w:t>
      </w:r>
      <w:r>
        <w:rPr>
          <w:rFonts w:hint="eastAsia" w:ascii="黑体" w:hAnsi="黑体" w:eastAsia="黑体" w:cs="黑体"/>
          <w:color w:val="000000" w:themeColor="text1"/>
          <w:sz w:val="24"/>
          <w:szCs w:val="24"/>
          <w:highlight w:val="none"/>
          <w:lang w:eastAsia="zh-CN"/>
          <w14:textFill>
            <w14:solidFill>
              <w14:schemeClr w14:val="tx1"/>
            </w14:solidFill>
          </w14:textFill>
        </w:rPr>
        <w:t>等额增值税专用发</w:t>
      </w:r>
      <w:r>
        <w:rPr>
          <w:rFonts w:hint="eastAsia" w:ascii="黑体" w:hAnsi="黑体" w:eastAsia="黑体" w:cs="黑体"/>
          <w:color w:val="000000" w:themeColor="text1"/>
          <w:sz w:val="24"/>
          <w:szCs w:val="24"/>
          <w:highlight w:val="none"/>
          <w14:textFill>
            <w14:solidFill>
              <w14:schemeClr w14:val="tx1"/>
            </w14:solidFill>
          </w14:textFill>
        </w:rPr>
        <w:t>票后根据公司资金情况二年内付款。</w:t>
      </w:r>
      <w:bookmarkStart w:id="87" w:name="_Toc137451076"/>
      <w:bookmarkStart w:id="88" w:name="_Toc105059458"/>
      <w:bookmarkStart w:id="89" w:name="_Toc129858361"/>
      <w:bookmarkStart w:id="90" w:name="_Toc132194559"/>
    </w:p>
    <w:p w14:paraId="1D96CEB1">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color w:val="auto"/>
          <w:sz w:val="24"/>
          <w:szCs w:val="24"/>
        </w:rPr>
      </w:pPr>
      <w:bookmarkStart w:id="91" w:name="_Toc23835"/>
      <w:r>
        <w:rPr>
          <w:rFonts w:hint="eastAsia" w:ascii="黑体" w:hAnsi="黑体" w:eastAsia="黑体" w:cs="黑体"/>
          <w:color w:val="auto"/>
          <w:sz w:val="24"/>
          <w:szCs w:val="24"/>
        </w:rPr>
        <w:t>七、履约保证金</w:t>
      </w:r>
      <w:bookmarkEnd w:id="91"/>
    </w:p>
    <w:p w14:paraId="15DDCF1E">
      <w:pPr>
        <w:kinsoku/>
        <w:overflowPunct/>
        <w:topLinePunct w:val="0"/>
        <w:autoSpaceDE/>
        <w:autoSpaceDN/>
        <w:bidi w:val="0"/>
        <w:adjustRightInd/>
        <w:snapToGrid w:val="0"/>
        <w:spacing w:line="480" w:lineRule="exact"/>
        <w:ind w:firstLine="480" w:firstLineChars="200"/>
        <w:rPr>
          <w:rFonts w:hint="eastAsia" w:ascii="黑体" w:hAnsi="黑体" w:eastAsia="黑体" w:cs="黑体"/>
          <w:bCs/>
          <w:color w:val="auto"/>
          <w:sz w:val="24"/>
          <w:szCs w:val="24"/>
        </w:rPr>
      </w:pPr>
      <w:r>
        <w:rPr>
          <w:rFonts w:hint="eastAsia" w:ascii="黑体" w:hAnsi="黑体" w:eastAsia="黑体" w:cs="黑体"/>
          <w:bCs/>
          <w:color w:val="auto"/>
          <w:sz w:val="24"/>
          <w:szCs w:val="24"/>
        </w:rPr>
        <w:t>1、担保形式：现金或转账；</w:t>
      </w:r>
    </w:p>
    <w:p w14:paraId="7F8F80AE">
      <w:pPr>
        <w:kinsoku/>
        <w:overflowPunct/>
        <w:topLinePunct w:val="0"/>
        <w:autoSpaceDE/>
        <w:autoSpaceDN/>
        <w:bidi w:val="0"/>
        <w:adjustRightInd/>
        <w:snapToGrid w:val="0"/>
        <w:spacing w:line="480" w:lineRule="exact"/>
        <w:ind w:firstLine="480" w:firstLineChars="200"/>
        <w:rPr>
          <w:rFonts w:hint="eastAsia" w:ascii="黑体" w:hAnsi="黑体" w:eastAsia="黑体" w:cs="黑体"/>
          <w:bCs/>
          <w:color w:val="auto"/>
          <w:sz w:val="24"/>
          <w:szCs w:val="24"/>
        </w:rPr>
      </w:pPr>
      <w:r>
        <w:rPr>
          <w:rFonts w:hint="eastAsia" w:ascii="黑体" w:hAnsi="黑体" w:eastAsia="黑体" w:cs="黑体"/>
          <w:bCs/>
          <w:color w:val="auto"/>
          <w:sz w:val="24"/>
          <w:szCs w:val="24"/>
        </w:rPr>
        <w:t>2、担保金额：40000元</w:t>
      </w:r>
    </w:p>
    <w:p w14:paraId="36580850">
      <w:pPr>
        <w:kinsoku/>
        <w:overflowPunct/>
        <w:topLinePunct w:val="0"/>
        <w:autoSpaceDE/>
        <w:autoSpaceDN/>
        <w:bidi w:val="0"/>
        <w:adjustRightInd/>
        <w:snapToGrid w:val="0"/>
        <w:spacing w:line="480" w:lineRule="exact"/>
        <w:ind w:firstLine="480" w:firstLineChars="200"/>
        <w:rPr>
          <w:rFonts w:hint="eastAsia" w:ascii="黑体" w:hAnsi="黑体" w:eastAsia="黑体" w:cs="黑体"/>
          <w:bCs/>
          <w:color w:val="auto"/>
          <w:sz w:val="24"/>
          <w:szCs w:val="24"/>
        </w:rPr>
      </w:pPr>
      <w:r>
        <w:rPr>
          <w:rFonts w:hint="eastAsia" w:ascii="黑体" w:hAnsi="黑体" w:eastAsia="黑体" w:cs="黑体"/>
          <w:bCs/>
          <w:color w:val="auto"/>
          <w:sz w:val="24"/>
          <w:szCs w:val="24"/>
        </w:rPr>
        <w:t>3、提交时间：中标人领取中标通知书后次日起5日内，并作为签订合同的必备条件。</w:t>
      </w:r>
      <w:bookmarkStart w:id="92" w:name="_Toc17375"/>
      <w:bookmarkStart w:id="93" w:name="_Toc29200"/>
    </w:p>
    <w:p w14:paraId="24CC6B53">
      <w:pPr>
        <w:kinsoku/>
        <w:overflowPunct/>
        <w:topLinePunct w:val="0"/>
        <w:autoSpaceDE/>
        <w:autoSpaceDN/>
        <w:bidi w:val="0"/>
        <w:adjustRightInd/>
        <w:snapToGrid w:val="0"/>
        <w:spacing w:line="480" w:lineRule="exact"/>
        <w:ind w:firstLine="480" w:firstLineChars="200"/>
        <w:rPr>
          <w:rFonts w:hint="eastAsia" w:ascii="黑体" w:hAnsi="黑体" w:eastAsia="黑体" w:cs="黑体"/>
          <w:bCs/>
          <w:color w:val="auto"/>
          <w:sz w:val="24"/>
          <w:szCs w:val="24"/>
        </w:rPr>
      </w:pPr>
      <w:r>
        <w:rPr>
          <w:rFonts w:hint="eastAsia" w:ascii="黑体" w:hAnsi="黑体" w:eastAsia="黑体" w:cs="黑体"/>
          <w:bCs/>
          <w:color w:val="auto"/>
          <w:sz w:val="24"/>
          <w:szCs w:val="24"/>
        </w:rPr>
        <w:t>4、履约担保为银行转账的，中标人须从其企业基本账户将相应的履约担保金额打入招标人指定账户：</w:t>
      </w:r>
      <w:bookmarkEnd w:id="92"/>
      <w:bookmarkEnd w:id="93"/>
      <w:bookmarkStart w:id="94" w:name="_Toc17779"/>
      <w:bookmarkStart w:id="95" w:name="_Toc464"/>
    </w:p>
    <w:bookmarkEnd w:id="94"/>
    <w:bookmarkEnd w:id="95"/>
    <w:p w14:paraId="2025C86F">
      <w:pPr>
        <w:kinsoku/>
        <w:overflowPunct/>
        <w:topLinePunct w:val="0"/>
        <w:autoSpaceDE/>
        <w:autoSpaceDN/>
        <w:bidi w:val="0"/>
        <w:adjustRightInd/>
        <w:snapToGrid w:val="0"/>
        <w:spacing w:line="480" w:lineRule="exact"/>
        <w:ind w:firstLine="480" w:firstLineChars="200"/>
        <w:rPr>
          <w:rFonts w:hint="eastAsia" w:ascii="黑体" w:hAnsi="黑体" w:eastAsia="黑体" w:cs="黑体"/>
          <w:bCs/>
          <w:color w:val="auto"/>
          <w:sz w:val="24"/>
          <w:szCs w:val="24"/>
          <w:lang w:eastAsia="zh-CN"/>
        </w:rPr>
      </w:pPr>
      <w:bookmarkStart w:id="96" w:name="_Toc9896"/>
      <w:bookmarkStart w:id="97" w:name="_Toc15270"/>
      <w:r>
        <w:rPr>
          <w:rFonts w:hint="eastAsia" w:ascii="黑体" w:hAnsi="黑体" w:eastAsia="黑体" w:cs="黑体"/>
          <w:bCs/>
          <w:color w:val="auto"/>
          <w:sz w:val="24"/>
          <w:szCs w:val="24"/>
        </w:rPr>
        <w:t>账户名称：</w:t>
      </w:r>
      <w:bookmarkStart w:id="98" w:name="_Toc887"/>
      <w:bookmarkStart w:id="99" w:name="_Toc8772"/>
      <w:r>
        <w:rPr>
          <w:rFonts w:hint="eastAsia" w:ascii="黑体" w:hAnsi="黑体" w:eastAsia="黑体" w:cs="黑体"/>
          <w:bCs/>
          <w:color w:val="auto"/>
          <w:sz w:val="24"/>
          <w:szCs w:val="24"/>
          <w:lang w:eastAsia="zh-CN"/>
        </w:rPr>
        <w:t>重庆泽足水务投资建设有限公司</w:t>
      </w:r>
    </w:p>
    <w:p w14:paraId="6C1CECC4">
      <w:pPr>
        <w:kinsoku/>
        <w:overflowPunct/>
        <w:topLinePunct w:val="0"/>
        <w:autoSpaceDE/>
        <w:autoSpaceDN/>
        <w:bidi w:val="0"/>
        <w:adjustRightInd/>
        <w:snapToGrid w:val="0"/>
        <w:spacing w:line="480" w:lineRule="exact"/>
        <w:ind w:firstLine="480" w:firstLineChars="200"/>
        <w:rPr>
          <w:rFonts w:hint="eastAsia" w:ascii="黑体" w:hAnsi="黑体" w:eastAsia="黑体" w:cs="黑体"/>
          <w:bCs/>
          <w:color w:val="auto"/>
          <w:sz w:val="24"/>
          <w:szCs w:val="24"/>
          <w:lang w:eastAsia="zh-CN"/>
        </w:rPr>
      </w:pPr>
      <w:r>
        <w:rPr>
          <w:rFonts w:hint="eastAsia" w:ascii="黑体" w:hAnsi="黑体" w:eastAsia="黑体" w:cs="黑体"/>
          <w:bCs/>
          <w:color w:val="auto"/>
          <w:sz w:val="24"/>
          <w:szCs w:val="24"/>
        </w:rPr>
        <w:t>银行账号：</w:t>
      </w:r>
      <w:bookmarkEnd w:id="98"/>
      <w:bookmarkEnd w:id="99"/>
      <w:bookmarkStart w:id="100" w:name="_Toc11349"/>
      <w:bookmarkStart w:id="101" w:name="_Toc6274"/>
      <w:r>
        <w:rPr>
          <w:rFonts w:hint="eastAsia" w:ascii="黑体" w:hAnsi="黑体" w:eastAsia="黑体" w:cs="黑体"/>
          <w:bCs/>
          <w:color w:val="auto"/>
          <w:sz w:val="24"/>
          <w:szCs w:val="24"/>
          <w:lang w:eastAsia="zh-CN"/>
        </w:rPr>
        <w:t>0165014210007279</w:t>
      </w:r>
    </w:p>
    <w:p w14:paraId="3F0CE757">
      <w:pPr>
        <w:kinsoku/>
        <w:overflowPunct/>
        <w:topLinePunct w:val="0"/>
        <w:autoSpaceDE/>
        <w:autoSpaceDN/>
        <w:bidi w:val="0"/>
        <w:adjustRightInd/>
        <w:snapToGrid w:val="0"/>
        <w:spacing w:line="480" w:lineRule="exact"/>
        <w:ind w:firstLine="480" w:firstLineChars="200"/>
        <w:rPr>
          <w:rFonts w:hint="eastAsia" w:ascii="黑体" w:hAnsi="黑体" w:eastAsia="黑体" w:cs="黑体"/>
          <w:bCs/>
          <w:color w:val="auto"/>
          <w:sz w:val="24"/>
          <w:szCs w:val="24"/>
          <w:lang w:eastAsia="zh-CN"/>
        </w:rPr>
      </w:pPr>
      <w:r>
        <w:rPr>
          <w:rFonts w:hint="eastAsia" w:ascii="黑体" w:hAnsi="黑体" w:eastAsia="黑体" w:cs="黑体"/>
          <w:bCs/>
          <w:color w:val="auto"/>
          <w:sz w:val="24"/>
          <w:szCs w:val="24"/>
        </w:rPr>
        <w:t>开户行：</w:t>
      </w:r>
      <w:bookmarkEnd w:id="100"/>
      <w:bookmarkEnd w:id="101"/>
      <w:r>
        <w:rPr>
          <w:rFonts w:hint="eastAsia" w:ascii="黑体" w:hAnsi="黑体" w:eastAsia="黑体" w:cs="黑体"/>
          <w:bCs/>
          <w:color w:val="auto"/>
          <w:sz w:val="24"/>
          <w:szCs w:val="24"/>
          <w:lang w:eastAsia="zh-CN"/>
        </w:rPr>
        <w:t>重庆三峡银行大足支行</w:t>
      </w:r>
    </w:p>
    <w:p w14:paraId="0E3FD6EF">
      <w:pPr>
        <w:kinsoku/>
        <w:overflowPunct/>
        <w:topLinePunct w:val="0"/>
        <w:autoSpaceDE/>
        <w:autoSpaceDN/>
        <w:bidi w:val="0"/>
        <w:adjustRightInd/>
        <w:snapToGrid w:val="0"/>
        <w:spacing w:line="480" w:lineRule="exact"/>
        <w:ind w:firstLine="480" w:firstLineChars="200"/>
        <w:rPr>
          <w:rFonts w:hint="eastAsia" w:ascii="黑体" w:hAnsi="黑体" w:eastAsia="黑体" w:cs="黑体"/>
          <w:bCs/>
          <w:color w:val="auto"/>
          <w:sz w:val="24"/>
          <w:szCs w:val="24"/>
        </w:rPr>
      </w:pPr>
      <w:r>
        <w:rPr>
          <w:rFonts w:hint="eastAsia" w:ascii="黑体" w:hAnsi="黑体" w:eastAsia="黑体" w:cs="黑体"/>
          <w:bCs/>
          <w:color w:val="auto"/>
          <w:sz w:val="24"/>
          <w:szCs w:val="24"/>
        </w:rPr>
        <w:t>备注：转</w:t>
      </w:r>
      <w:r>
        <w:rPr>
          <w:rFonts w:hint="eastAsia" w:ascii="黑体" w:hAnsi="黑体" w:eastAsia="黑体" w:cs="黑体"/>
          <w:bCs/>
          <w:color w:val="auto"/>
          <w:sz w:val="24"/>
          <w:szCs w:val="24"/>
          <w:lang w:val="en-US" w:eastAsia="zh-CN"/>
        </w:rPr>
        <w:t xml:space="preserve"> </w:t>
      </w:r>
      <w:r>
        <w:rPr>
          <w:rFonts w:hint="eastAsia" w:ascii="黑体" w:hAnsi="黑体" w:eastAsia="黑体" w:cs="黑体"/>
          <w:bCs/>
          <w:color w:val="auto"/>
          <w:sz w:val="24"/>
          <w:szCs w:val="24"/>
          <w:u w:val="single"/>
          <w:lang w:val="en-US" w:eastAsia="zh-CN"/>
        </w:rPr>
        <w:t xml:space="preserve">         </w:t>
      </w:r>
      <w:r>
        <w:rPr>
          <w:rFonts w:hint="eastAsia" w:ascii="黑体" w:hAnsi="黑体" w:eastAsia="黑体" w:cs="黑体"/>
          <w:bCs/>
          <w:color w:val="auto"/>
          <w:sz w:val="24"/>
          <w:szCs w:val="24"/>
        </w:rPr>
        <w:t>（项目名称）履约保证金，项目名称可简写。</w:t>
      </w:r>
      <w:bookmarkEnd w:id="96"/>
      <w:bookmarkEnd w:id="97"/>
      <w:bookmarkStart w:id="102" w:name="_Toc16344"/>
      <w:bookmarkStart w:id="103" w:name="_Toc23186"/>
    </w:p>
    <w:p w14:paraId="3075FEEC">
      <w:pPr>
        <w:kinsoku/>
        <w:overflowPunct/>
        <w:topLinePunct w:val="0"/>
        <w:autoSpaceDE/>
        <w:autoSpaceDN/>
        <w:bidi w:val="0"/>
        <w:adjustRightInd/>
        <w:snapToGrid w:val="0"/>
        <w:spacing w:line="480" w:lineRule="exact"/>
        <w:ind w:firstLine="480" w:firstLineChars="200"/>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rPr>
        <w:t>5、退还时间：</w:t>
      </w:r>
      <w:r>
        <w:rPr>
          <w:rFonts w:hint="eastAsia" w:ascii="黑体" w:hAnsi="黑体" w:eastAsia="黑体" w:cs="黑体"/>
          <w:bCs/>
          <w:color w:val="000000" w:themeColor="text1"/>
          <w:sz w:val="24"/>
          <w:szCs w:val="24"/>
          <w:highlight w:val="none"/>
          <w:lang w:eastAsia="zh-CN"/>
          <w14:textFill>
            <w14:solidFill>
              <w14:schemeClr w14:val="tx1"/>
            </w14:solidFill>
          </w14:textFill>
        </w:rPr>
        <w:t>货物交付验收</w:t>
      </w:r>
      <w:r>
        <w:rPr>
          <w:rFonts w:hint="eastAsia" w:ascii="黑体" w:hAnsi="黑体" w:eastAsia="黑体" w:cs="黑体"/>
          <w:bCs/>
          <w:color w:val="000000" w:themeColor="text1"/>
          <w:sz w:val="24"/>
          <w:szCs w:val="24"/>
          <w:highlight w:val="none"/>
          <w14:textFill>
            <w14:solidFill>
              <w14:schemeClr w14:val="tx1"/>
            </w14:solidFill>
          </w14:textFill>
        </w:rPr>
        <w:t>合格后</w:t>
      </w:r>
      <w:r>
        <w:rPr>
          <w:rFonts w:hint="eastAsia" w:ascii="黑体" w:hAnsi="黑体" w:eastAsia="黑体" w:cs="黑体"/>
          <w:bCs/>
          <w:color w:val="000000" w:themeColor="text1"/>
          <w:sz w:val="24"/>
          <w:szCs w:val="24"/>
          <w:highlight w:val="none"/>
          <w:lang w:eastAsia="zh-CN"/>
          <w14:textFill>
            <w14:solidFill>
              <w14:schemeClr w14:val="tx1"/>
            </w14:solidFill>
          </w14:textFill>
        </w:rPr>
        <w:t>且达到合同金额</w:t>
      </w:r>
      <w:r>
        <w:rPr>
          <w:rFonts w:hint="eastAsia" w:ascii="黑体" w:hAnsi="黑体" w:eastAsia="黑体" w:cs="黑体"/>
          <w:bCs/>
          <w:color w:val="auto"/>
          <w:sz w:val="24"/>
          <w:szCs w:val="24"/>
          <w:highlight w:val="none"/>
        </w:rPr>
        <w:t>退还履约保证金（履约保证金不计算利息）。</w:t>
      </w:r>
      <w:bookmarkEnd w:id="102"/>
      <w:bookmarkEnd w:id="103"/>
      <w:bookmarkStart w:id="104" w:name="_Toc2698"/>
      <w:bookmarkStart w:id="105" w:name="_Toc16302"/>
      <w:bookmarkStart w:id="106" w:name="_Toc4494"/>
      <w:bookmarkStart w:id="107" w:name="_Toc8455"/>
      <w:bookmarkStart w:id="108" w:name="_Toc16977"/>
      <w:bookmarkStart w:id="109" w:name="_Toc14304"/>
      <w:bookmarkStart w:id="110" w:name="_Toc15300"/>
    </w:p>
    <w:p w14:paraId="4E28178B">
      <w:pPr>
        <w:kinsoku/>
        <w:overflowPunct/>
        <w:topLinePunct w:val="0"/>
        <w:autoSpaceDE/>
        <w:autoSpaceDN/>
        <w:bidi w:val="0"/>
        <w:adjustRightInd/>
        <w:snapToGrid w:val="0"/>
        <w:spacing w:line="480" w:lineRule="exact"/>
        <w:ind w:firstLine="480" w:firstLineChars="200"/>
        <w:rPr>
          <w:rFonts w:hint="eastAsia" w:ascii="黑体" w:hAnsi="黑体" w:eastAsia="黑体" w:cs="黑体"/>
          <w:bCs/>
          <w:color w:val="auto"/>
          <w:sz w:val="24"/>
          <w:szCs w:val="24"/>
        </w:rPr>
      </w:pPr>
      <w:r>
        <w:rPr>
          <w:rFonts w:hint="eastAsia" w:ascii="黑体" w:hAnsi="黑体" w:eastAsia="黑体" w:cs="黑体"/>
          <w:bCs/>
          <w:color w:val="auto"/>
          <w:sz w:val="24"/>
          <w:szCs w:val="24"/>
        </w:rPr>
        <w:t>注：中标人领取中标通知书后次日起</w:t>
      </w:r>
      <w:r>
        <w:rPr>
          <w:rFonts w:hint="eastAsia" w:ascii="黑体" w:hAnsi="黑体" w:eastAsia="黑体" w:cs="黑体"/>
          <w:bCs/>
          <w:color w:val="000000" w:themeColor="text1"/>
          <w:sz w:val="24"/>
          <w:szCs w:val="24"/>
          <w:highlight w:val="none"/>
          <w14:textFill>
            <w14:solidFill>
              <w14:schemeClr w14:val="tx1"/>
            </w14:solidFill>
          </w14:textFill>
        </w:rPr>
        <w:t>10</w:t>
      </w:r>
      <w:r>
        <w:rPr>
          <w:rFonts w:hint="eastAsia" w:ascii="黑体" w:hAnsi="黑体" w:eastAsia="黑体" w:cs="黑体"/>
          <w:bCs/>
          <w:color w:val="000000" w:themeColor="text1"/>
          <w:sz w:val="24"/>
          <w:szCs w:val="24"/>
          <w:highlight w:val="none"/>
          <w:lang w:eastAsia="zh-CN"/>
          <w14:textFill>
            <w14:solidFill>
              <w14:schemeClr w14:val="tx1"/>
            </w14:solidFill>
          </w14:textFill>
        </w:rPr>
        <w:t>个工作</w:t>
      </w:r>
      <w:r>
        <w:rPr>
          <w:rFonts w:hint="eastAsia" w:ascii="黑体" w:hAnsi="黑体" w:eastAsia="黑体" w:cs="黑体"/>
          <w:bCs/>
          <w:color w:val="000000" w:themeColor="text1"/>
          <w:sz w:val="24"/>
          <w:szCs w:val="24"/>
          <w:highlight w:val="none"/>
          <w14:textFill>
            <w14:solidFill>
              <w14:schemeClr w14:val="tx1"/>
            </w14:solidFill>
          </w14:textFill>
        </w:rPr>
        <w:t>日内</w:t>
      </w:r>
      <w:r>
        <w:rPr>
          <w:rFonts w:hint="eastAsia" w:ascii="黑体" w:hAnsi="黑体" w:eastAsia="黑体" w:cs="黑体"/>
          <w:bCs/>
          <w:color w:val="auto"/>
          <w:sz w:val="24"/>
          <w:szCs w:val="24"/>
        </w:rPr>
        <w:t>，依法与中标人签订书面合同。如果中标人未能按要求缴纳履约担保金并签订书面合同的，招标人有权取消其中标资格并没收其投标保证金。</w:t>
      </w:r>
      <w:bookmarkEnd w:id="104"/>
      <w:bookmarkEnd w:id="105"/>
      <w:bookmarkEnd w:id="106"/>
      <w:bookmarkEnd w:id="107"/>
      <w:bookmarkEnd w:id="108"/>
      <w:bookmarkEnd w:id="109"/>
      <w:bookmarkEnd w:id="110"/>
    </w:p>
    <w:p w14:paraId="1F7305DB">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color w:val="auto"/>
          <w:sz w:val="24"/>
          <w:szCs w:val="24"/>
        </w:rPr>
      </w:pPr>
      <w:bookmarkStart w:id="111" w:name="_Toc8676"/>
      <w:r>
        <w:rPr>
          <w:rFonts w:hint="eastAsia" w:ascii="黑体" w:hAnsi="黑体" w:eastAsia="黑体" w:cs="黑体"/>
          <w:color w:val="auto"/>
          <w:sz w:val="24"/>
          <w:szCs w:val="24"/>
          <w:lang w:val="en-US" w:eastAsia="zh-CN"/>
        </w:rPr>
        <w:t>八</w:t>
      </w:r>
      <w:r>
        <w:rPr>
          <w:rFonts w:hint="eastAsia" w:ascii="黑体" w:hAnsi="黑体" w:eastAsia="黑体" w:cs="黑体"/>
          <w:color w:val="auto"/>
          <w:sz w:val="24"/>
          <w:szCs w:val="24"/>
        </w:rPr>
        <w:t>、</w:t>
      </w:r>
      <w:bookmarkEnd w:id="87"/>
      <w:bookmarkEnd w:id="88"/>
      <w:bookmarkEnd w:id="89"/>
      <w:r>
        <w:rPr>
          <w:rFonts w:hint="eastAsia" w:ascii="黑体" w:hAnsi="黑体" w:eastAsia="黑体" w:cs="黑体"/>
          <w:color w:val="auto"/>
          <w:sz w:val="24"/>
          <w:szCs w:val="24"/>
        </w:rPr>
        <w:t>知识产权</w:t>
      </w:r>
      <w:bookmarkEnd w:id="90"/>
      <w:bookmarkEnd w:id="111"/>
    </w:p>
    <w:p w14:paraId="1D4CB3BE">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采购人在中华人民共和国境内使用供应商提供的货物及服务时免受第三方提出的侵犯其专利权或其它知识产权的起诉。如果第三方提出侵权指控，成交供应商应承担由此而引起的一切法律责任和费用。</w:t>
      </w:r>
    </w:p>
    <w:p w14:paraId="094B41CF">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color w:val="auto"/>
          <w:sz w:val="24"/>
          <w:szCs w:val="24"/>
        </w:rPr>
      </w:pPr>
      <w:bookmarkStart w:id="112" w:name="_Toc30442"/>
      <w:bookmarkStart w:id="113" w:name="_Toc132194560"/>
      <w:r>
        <w:rPr>
          <w:rFonts w:hint="eastAsia" w:ascii="黑体" w:hAnsi="黑体" w:eastAsia="黑体" w:cs="黑体"/>
          <w:color w:val="auto"/>
          <w:sz w:val="24"/>
          <w:szCs w:val="24"/>
        </w:rPr>
        <w:t>九、培训</w:t>
      </w:r>
      <w:bookmarkEnd w:id="112"/>
      <w:bookmarkEnd w:id="113"/>
    </w:p>
    <w:p w14:paraId="0F6B07A4">
      <w:pPr>
        <w:suppressAutoHyphen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供应商对其提供产品的使用和操作应尽培训义务。供应商应提供对采购人的基本免费培训，使采购人使用人员能够正常操作。</w:t>
      </w:r>
    </w:p>
    <w:p w14:paraId="12A79ECD">
      <w:pPr>
        <w:pStyle w:val="3"/>
        <w:kinsoku/>
        <w:overflowPunct/>
        <w:topLinePunct w:val="0"/>
        <w:autoSpaceDE/>
        <w:autoSpaceDN/>
        <w:bidi w:val="0"/>
        <w:adjustRightInd/>
        <w:spacing w:before="0" w:after="0" w:line="480" w:lineRule="exact"/>
        <w:ind w:firstLine="482" w:firstLineChars="200"/>
        <w:rPr>
          <w:rFonts w:hint="default" w:ascii="黑体" w:hAnsi="黑体" w:eastAsia="黑体" w:cs="黑体"/>
          <w:color w:val="auto"/>
          <w:sz w:val="24"/>
          <w:szCs w:val="24"/>
          <w:lang w:val="en-US" w:eastAsia="zh-CN"/>
        </w:rPr>
      </w:pPr>
      <w:bookmarkStart w:id="114" w:name="_Toc132194561"/>
      <w:bookmarkStart w:id="115" w:name="_Toc28036"/>
      <w:r>
        <w:rPr>
          <w:rFonts w:hint="eastAsia" w:ascii="黑体" w:hAnsi="黑体" w:eastAsia="黑体" w:cs="黑体"/>
          <w:color w:val="auto"/>
          <w:sz w:val="24"/>
          <w:szCs w:val="24"/>
        </w:rPr>
        <w:t>十、</w:t>
      </w:r>
      <w:bookmarkEnd w:id="114"/>
      <w:bookmarkEnd w:id="115"/>
      <w:r>
        <w:rPr>
          <w:rFonts w:hint="eastAsia" w:ascii="黑体" w:hAnsi="黑体" w:eastAsia="黑体" w:cs="黑体"/>
          <w:color w:val="auto"/>
          <w:sz w:val="24"/>
          <w:szCs w:val="24"/>
          <w:lang w:val="en-US" w:eastAsia="zh-CN"/>
        </w:rPr>
        <w:t>其它</w:t>
      </w:r>
    </w:p>
    <w:p w14:paraId="59C064CA">
      <w:pPr>
        <w:suppressAutoHyphen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bookmarkStart w:id="116" w:name="_Toc132194562"/>
      <w:r>
        <w:rPr>
          <w:rFonts w:hint="eastAsia" w:ascii="黑体" w:hAnsi="黑体" w:eastAsia="黑体" w:cs="黑体"/>
          <w:color w:val="auto"/>
          <w:sz w:val="24"/>
          <w:szCs w:val="24"/>
        </w:rPr>
        <w:t>（一）成交供应商因自身原因不能履行合同的或提供的产品不符合竞争性比选文件规定的或质量不符合要求的，取消中标资格，成交供应商应全额退还采购人已支付款项，若因此对采购人造成损失的，由成交供应商承担一切责任，并赔偿所造成的损失。</w:t>
      </w:r>
    </w:p>
    <w:p w14:paraId="0908DF29">
      <w:pPr>
        <w:suppressAutoHyphen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（二）若因相关政策调整、财政部门通知等不可抗力及因客观原因致使合同订立后因无法履行而解除的，成交供应商应全额退还采购人已支付款项，采购人不承担任何责任。</w:t>
      </w:r>
    </w:p>
    <w:p w14:paraId="771378AB">
      <w:pPr>
        <w:suppressAutoHyphen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（三）成交供应商未能按照约定提供质量保证及售后服务约定的，应按照合同金额的20%向采购人支付违约金，并赔偿由此给采购人造成的全部损失。</w:t>
      </w:r>
    </w:p>
    <w:p w14:paraId="538A63BA">
      <w:pPr>
        <w:suppressAutoHyphens/>
        <w:kinsoku/>
        <w:overflowPunct/>
        <w:topLinePunct w:val="0"/>
        <w:autoSpaceDE/>
        <w:autoSpaceDN/>
        <w:bidi w:val="0"/>
        <w:adjustRightInd/>
        <w:snapToGrid w:val="0"/>
        <w:spacing w:line="480" w:lineRule="exact"/>
        <w:ind w:firstLine="480" w:firstLineChars="200"/>
        <w:rPr>
          <w:rFonts w:hint="default" w:ascii="黑体" w:hAnsi="黑体" w:eastAsia="黑体" w:cs="黑体"/>
          <w:color w:val="000000" w:themeColor="text1"/>
          <w:sz w:val="24"/>
          <w:szCs w:val="24"/>
          <w:lang w:val="en-US" w:eastAsia="zh-CN"/>
          <w14:textFill>
            <w14:solidFill>
              <w14:schemeClr w14:val="tx1"/>
            </w14:solidFill>
          </w14:textFill>
        </w:rPr>
      </w:pPr>
      <w:r>
        <w:rPr>
          <w:rFonts w:hint="eastAsia" w:ascii="黑体" w:hAnsi="黑体" w:eastAsia="黑体" w:cs="黑体"/>
          <w:color w:val="000000" w:themeColor="text1"/>
          <w:sz w:val="24"/>
          <w:szCs w:val="24"/>
          <w:lang w:eastAsia="zh-CN"/>
          <w14:textFill>
            <w14:solidFill>
              <w14:schemeClr w14:val="tx1"/>
            </w14:solidFill>
          </w14:textFill>
        </w:rPr>
        <w:t>（</w:t>
      </w:r>
      <w:r>
        <w:rPr>
          <w:rFonts w:hint="eastAsia" w:ascii="黑体" w:hAnsi="黑体" w:eastAsia="黑体" w:cs="黑体"/>
          <w:color w:val="000000" w:themeColor="text1"/>
          <w:sz w:val="24"/>
          <w:szCs w:val="24"/>
          <w:lang w:val="en-US" w:eastAsia="zh-CN"/>
          <w14:textFill>
            <w14:solidFill>
              <w14:schemeClr w14:val="tx1"/>
            </w14:solidFill>
          </w14:textFill>
        </w:rPr>
        <w:t>四）运输要求： 成交供应商须确保货物运输过程符合国家道路运输相关法律法规的要求，运输车辆及驾驶人员须具备相应资质。如成交供应商委托第三方运输，须确保受托方具备有效的《道路运输经营许可证》，并在签订合同前将受托方资质文件报采购人备案。</w:t>
      </w:r>
    </w:p>
    <w:p w14:paraId="273A2FC5">
      <w:pPr>
        <w:suppressAutoHyphen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w:t>
      </w:r>
      <w:r>
        <w:rPr>
          <w:rFonts w:hint="eastAsia" w:ascii="黑体" w:hAnsi="黑体" w:eastAsia="黑体" w:cs="黑体"/>
          <w:color w:val="auto"/>
          <w:sz w:val="24"/>
          <w:szCs w:val="24"/>
          <w:lang w:val="en-US" w:eastAsia="zh-CN"/>
        </w:rPr>
        <w:t>五</w:t>
      </w:r>
      <w:r>
        <w:rPr>
          <w:rFonts w:hint="eastAsia" w:ascii="黑体" w:hAnsi="黑体" w:eastAsia="黑体" w:cs="黑体"/>
          <w:color w:val="auto"/>
          <w:sz w:val="24"/>
          <w:szCs w:val="24"/>
        </w:rPr>
        <w:t>）其他事宜按《中华人民共和国民法典》《中华人民共和国政府采购法》执行。</w:t>
      </w:r>
    </w:p>
    <w:bookmarkEnd w:id="116"/>
    <w:p w14:paraId="3735C7B8">
      <w:pPr>
        <w:pStyle w:val="2"/>
        <w:pageBreakBefore/>
        <w:kinsoku/>
        <w:overflowPunct/>
        <w:topLinePunct w:val="0"/>
        <w:autoSpaceDE/>
        <w:autoSpaceDN/>
        <w:bidi w:val="0"/>
        <w:adjustRightInd/>
        <w:spacing w:line="480" w:lineRule="exact"/>
        <w:jc w:val="center"/>
        <w:rPr>
          <w:rFonts w:hint="eastAsia" w:ascii="黑体" w:hAnsi="黑体" w:eastAsia="黑体" w:cs="黑体"/>
          <w:color w:val="auto"/>
          <w:sz w:val="30"/>
          <w:szCs w:val="30"/>
        </w:rPr>
      </w:pPr>
      <w:bookmarkStart w:id="117" w:name="_Toc17326"/>
      <w:r>
        <w:rPr>
          <w:rFonts w:hint="eastAsia" w:ascii="黑体" w:hAnsi="黑体" w:eastAsia="黑体" w:cs="黑体"/>
          <w:color w:val="auto"/>
          <w:sz w:val="30"/>
          <w:szCs w:val="30"/>
        </w:rPr>
        <w:t>第四篇  比选程序及方法、评审标准、无效响应和采购终止</w:t>
      </w:r>
      <w:bookmarkEnd w:id="117"/>
    </w:p>
    <w:p w14:paraId="69B7FF09">
      <w:pPr>
        <w:pStyle w:val="3"/>
        <w:kinsoku/>
        <w:overflowPunct/>
        <w:topLinePunct w:val="0"/>
        <w:autoSpaceDE/>
        <w:autoSpaceDN/>
        <w:bidi w:val="0"/>
        <w:adjustRightInd/>
        <w:snapToGrid w:val="0"/>
        <w:spacing w:before="0" w:after="0" w:line="480" w:lineRule="exact"/>
        <w:ind w:firstLine="482" w:firstLineChars="200"/>
        <w:rPr>
          <w:rFonts w:hint="eastAsia" w:ascii="黑体" w:hAnsi="黑体" w:eastAsia="黑体" w:cs="黑体"/>
          <w:color w:val="auto"/>
          <w:sz w:val="24"/>
          <w:szCs w:val="24"/>
        </w:rPr>
      </w:pPr>
      <w:bookmarkStart w:id="118" w:name="_Toc25920"/>
      <w:r>
        <w:rPr>
          <w:rFonts w:hint="eastAsia" w:ascii="黑体" w:hAnsi="黑体" w:eastAsia="黑体" w:cs="黑体"/>
          <w:color w:val="auto"/>
          <w:sz w:val="24"/>
          <w:szCs w:val="24"/>
        </w:rPr>
        <w:t>一、比选程序</w:t>
      </w:r>
      <w:bookmarkEnd w:id="118"/>
    </w:p>
    <w:p w14:paraId="1D4F7223">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（一）本项目评标采取“经评审的最低投标价法”进行评审，即：由本项目评审小组在资质符合要求的投标人中，按照“符合采购项目技术、商务需求的前提下，有效投标报价最低者成交”的原则进行评标。</w:t>
      </w:r>
    </w:p>
    <w:p w14:paraId="7EB373A7">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（二）评审小组对各供应商的资格条件、响应文件的有效性、完整性和响应程度进行审查。各供应商只有在完全符合要求的前提下，才能参与正式比选。</w:t>
      </w:r>
    </w:p>
    <w:p w14:paraId="4DE969FE">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kern w:val="0"/>
          <w:sz w:val="24"/>
          <w:szCs w:val="24"/>
        </w:rPr>
      </w:pPr>
      <w:r>
        <w:rPr>
          <w:rFonts w:hint="eastAsia" w:ascii="黑体" w:hAnsi="黑体" w:eastAsia="黑体" w:cs="黑体"/>
          <w:color w:val="auto"/>
          <w:sz w:val="24"/>
          <w:szCs w:val="24"/>
        </w:rPr>
        <w:t>1.</w:t>
      </w:r>
      <w:r>
        <w:rPr>
          <w:rFonts w:hint="eastAsia" w:ascii="黑体" w:hAnsi="黑体" w:eastAsia="黑体" w:cs="黑体"/>
          <w:color w:val="auto"/>
          <w:kern w:val="0"/>
          <w:sz w:val="24"/>
          <w:szCs w:val="24"/>
        </w:rPr>
        <w:t>资格性检查。依据法律法规和竞争性比选文件的规定，对响应文件中的资格证明等进行审查，以确定供应商是否具备比选资格。资格性检查资料表如下：</w:t>
      </w:r>
    </w:p>
    <w:tbl>
      <w:tblPr>
        <w:tblStyle w:val="12"/>
        <w:tblW w:w="97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807"/>
        <w:gridCol w:w="3453"/>
        <w:gridCol w:w="4740"/>
      </w:tblGrid>
      <w:tr w14:paraId="71591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68" w:type="dxa"/>
            <w:vAlign w:val="center"/>
          </w:tcPr>
          <w:p w14:paraId="633229AD">
            <w:pPr>
              <w:kinsoku/>
              <w:overflowPunct/>
              <w:topLinePunct w:val="0"/>
              <w:autoSpaceDE/>
              <w:autoSpaceDN/>
              <w:bidi w:val="0"/>
              <w:adjustRightInd/>
              <w:snapToGrid w:val="0"/>
              <w:spacing w:line="480" w:lineRule="exact"/>
              <w:jc w:val="center"/>
              <w:rPr>
                <w:rFonts w:hint="eastAsia" w:ascii="黑体" w:hAnsi="黑体" w:eastAsia="黑体" w:cs="黑体"/>
                <w:b/>
                <w:color w:val="auto"/>
                <w:kern w:val="0"/>
                <w:sz w:val="24"/>
                <w:szCs w:val="24"/>
              </w:rPr>
            </w:pPr>
            <w:r>
              <w:rPr>
                <w:rFonts w:hint="eastAsia" w:ascii="黑体" w:hAnsi="黑体" w:eastAsia="黑体" w:cs="黑体"/>
                <w:b/>
                <w:color w:val="auto"/>
                <w:kern w:val="0"/>
                <w:sz w:val="24"/>
                <w:szCs w:val="24"/>
              </w:rPr>
              <w:t>序号</w:t>
            </w:r>
          </w:p>
        </w:tc>
        <w:tc>
          <w:tcPr>
            <w:tcW w:w="4260" w:type="dxa"/>
            <w:gridSpan w:val="2"/>
            <w:vAlign w:val="center"/>
          </w:tcPr>
          <w:p w14:paraId="42D3458E">
            <w:pPr>
              <w:kinsoku/>
              <w:overflowPunct/>
              <w:topLinePunct w:val="0"/>
              <w:autoSpaceDE/>
              <w:autoSpaceDN/>
              <w:bidi w:val="0"/>
              <w:adjustRightInd/>
              <w:snapToGrid w:val="0"/>
              <w:spacing w:line="480" w:lineRule="exact"/>
              <w:jc w:val="center"/>
              <w:rPr>
                <w:rFonts w:hint="eastAsia" w:ascii="黑体" w:hAnsi="黑体" w:eastAsia="黑体" w:cs="黑体"/>
                <w:b/>
                <w:color w:val="auto"/>
                <w:kern w:val="0"/>
                <w:sz w:val="24"/>
                <w:szCs w:val="24"/>
              </w:rPr>
            </w:pPr>
            <w:r>
              <w:rPr>
                <w:rFonts w:hint="eastAsia" w:ascii="黑体" w:hAnsi="黑体" w:eastAsia="黑体" w:cs="黑体"/>
                <w:b/>
                <w:color w:val="auto"/>
                <w:kern w:val="0"/>
                <w:sz w:val="24"/>
                <w:szCs w:val="24"/>
              </w:rPr>
              <w:t>检查因素</w:t>
            </w:r>
          </w:p>
        </w:tc>
        <w:tc>
          <w:tcPr>
            <w:tcW w:w="4740" w:type="dxa"/>
            <w:vAlign w:val="center"/>
          </w:tcPr>
          <w:p w14:paraId="6CF601C6">
            <w:pPr>
              <w:kinsoku/>
              <w:overflowPunct/>
              <w:topLinePunct w:val="0"/>
              <w:autoSpaceDE/>
              <w:autoSpaceDN/>
              <w:bidi w:val="0"/>
              <w:adjustRightInd/>
              <w:snapToGrid w:val="0"/>
              <w:spacing w:line="480" w:lineRule="exact"/>
              <w:jc w:val="center"/>
              <w:rPr>
                <w:rFonts w:hint="eastAsia" w:ascii="黑体" w:hAnsi="黑体" w:eastAsia="黑体" w:cs="黑体"/>
                <w:b/>
                <w:color w:val="auto"/>
                <w:kern w:val="0"/>
                <w:sz w:val="24"/>
                <w:szCs w:val="24"/>
              </w:rPr>
            </w:pPr>
            <w:r>
              <w:rPr>
                <w:rFonts w:hint="eastAsia" w:ascii="黑体" w:hAnsi="黑体" w:eastAsia="黑体" w:cs="黑体"/>
                <w:b/>
                <w:color w:val="auto"/>
                <w:kern w:val="0"/>
                <w:sz w:val="24"/>
                <w:szCs w:val="24"/>
              </w:rPr>
              <w:t>检查内容</w:t>
            </w:r>
          </w:p>
        </w:tc>
      </w:tr>
      <w:tr w14:paraId="3098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4" w:hRule="atLeast"/>
        </w:trPr>
        <w:tc>
          <w:tcPr>
            <w:tcW w:w="768" w:type="dxa"/>
            <w:vMerge w:val="restart"/>
            <w:vAlign w:val="center"/>
          </w:tcPr>
          <w:p w14:paraId="0D07D1F5">
            <w:pPr>
              <w:kinsoku/>
              <w:overflowPunct/>
              <w:topLinePunct w:val="0"/>
              <w:autoSpaceDE/>
              <w:autoSpaceDN/>
              <w:bidi w:val="0"/>
              <w:adjustRightInd/>
              <w:snapToGrid w:val="0"/>
              <w:spacing w:line="480" w:lineRule="exact"/>
              <w:jc w:val="center"/>
              <w:rPr>
                <w:rFonts w:hint="eastAsia" w:ascii="黑体" w:hAnsi="黑体" w:eastAsia="黑体" w:cs="黑体"/>
                <w:color w:val="auto"/>
                <w:sz w:val="21"/>
                <w:szCs w:val="21"/>
              </w:rPr>
            </w:pPr>
            <w:r>
              <w:rPr>
                <w:rFonts w:hint="eastAsia" w:ascii="黑体" w:hAnsi="黑体" w:eastAsia="黑体" w:cs="黑体"/>
                <w:color w:val="auto"/>
                <w:sz w:val="21"/>
                <w:szCs w:val="21"/>
              </w:rPr>
              <w:t>（一）</w:t>
            </w:r>
          </w:p>
        </w:tc>
        <w:tc>
          <w:tcPr>
            <w:tcW w:w="807" w:type="dxa"/>
            <w:vMerge w:val="restart"/>
            <w:vAlign w:val="center"/>
          </w:tcPr>
          <w:p w14:paraId="71C29415">
            <w:pPr>
              <w:kinsoku/>
              <w:overflowPunct/>
              <w:topLinePunct w:val="0"/>
              <w:autoSpaceDE/>
              <w:autoSpaceDN/>
              <w:bidi w:val="0"/>
              <w:adjustRightInd/>
              <w:snapToGrid w:val="0"/>
              <w:spacing w:line="480" w:lineRule="exact"/>
              <w:rPr>
                <w:rFonts w:hint="eastAsia" w:ascii="黑体" w:hAnsi="黑体" w:eastAsia="黑体" w:cs="黑体"/>
                <w:color w:val="auto"/>
                <w:sz w:val="21"/>
                <w:szCs w:val="21"/>
                <w:lang w:val="zh-CN"/>
              </w:rPr>
            </w:pPr>
            <w:r>
              <w:rPr>
                <w:rFonts w:hint="eastAsia" w:ascii="黑体" w:hAnsi="黑体" w:eastAsia="黑体" w:cs="黑体"/>
                <w:color w:val="auto"/>
                <w:sz w:val="21"/>
                <w:szCs w:val="21"/>
                <w:lang w:val="zh-CN"/>
              </w:rPr>
              <w:t>《中华人民共和国政府采购法》第二十二条规定</w:t>
            </w:r>
          </w:p>
        </w:tc>
        <w:tc>
          <w:tcPr>
            <w:tcW w:w="3453" w:type="dxa"/>
            <w:vAlign w:val="center"/>
          </w:tcPr>
          <w:p w14:paraId="159520F6">
            <w:pPr>
              <w:kinsoku/>
              <w:overflowPunct/>
              <w:topLinePunct w:val="0"/>
              <w:autoSpaceDE/>
              <w:autoSpaceDN/>
              <w:bidi w:val="0"/>
              <w:adjustRightInd/>
              <w:snapToGrid w:val="0"/>
              <w:spacing w:line="480" w:lineRule="exact"/>
              <w:rPr>
                <w:rFonts w:hint="eastAsia" w:ascii="黑体" w:hAnsi="黑体" w:eastAsia="黑体" w:cs="黑体"/>
                <w:color w:val="auto"/>
                <w:sz w:val="21"/>
                <w:szCs w:val="21"/>
              </w:rPr>
            </w:pPr>
            <w:r>
              <w:rPr>
                <w:rFonts w:hint="eastAsia" w:ascii="黑体" w:hAnsi="黑体" w:eastAsia="黑体" w:cs="黑体"/>
                <w:color w:val="auto"/>
                <w:sz w:val="21"/>
                <w:szCs w:val="21"/>
              </w:rPr>
              <w:t>1.具有独立承担民事责任的能力</w:t>
            </w:r>
          </w:p>
        </w:tc>
        <w:tc>
          <w:tcPr>
            <w:tcW w:w="4740" w:type="dxa"/>
            <w:vAlign w:val="center"/>
          </w:tcPr>
          <w:p w14:paraId="6AEF000E">
            <w:pPr>
              <w:keepNext w:val="0"/>
              <w:keepLines w:val="0"/>
              <w:suppressLineNumbers w:val="0"/>
              <w:spacing w:before="0" w:beforeAutospacing="0" w:after="0" w:afterAutospacing="0" w:line="240" w:lineRule="auto"/>
              <w:ind w:left="0" w:right="0"/>
              <w:rPr>
                <w:rFonts w:hint="eastAsia" w:ascii="黑体" w:hAnsi="黑体" w:eastAsia="黑体" w:cs="黑体"/>
                <w:sz w:val="21"/>
                <w:szCs w:val="21"/>
              </w:rPr>
            </w:pPr>
            <w:r>
              <w:rPr>
                <w:rFonts w:hint="eastAsia" w:ascii="黑体" w:hAnsi="黑体" w:eastAsia="黑体" w:cs="黑体"/>
                <w:sz w:val="21"/>
                <w:szCs w:val="21"/>
              </w:rPr>
              <w:t xml:space="preserve">1.供应商法人营业执照（副本）或事业单位法人证书（副本）或个体工商户营业执照或有效的自然人身份证明或社会团体法人登记证书（提供复印件）。 </w:t>
            </w:r>
          </w:p>
          <w:p w14:paraId="431C74B1">
            <w:pPr>
              <w:kinsoku/>
              <w:overflowPunct/>
              <w:topLinePunct w:val="0"/>
              <w:autoSpaceDE/>
              <w:autoSpaceDN/>
              <w:bidi w:val="0"/>
              <w:adjustRightInd/>
              <w:snapToGrid w:val="0"/>
              <w:spacing w:line="240" w:lineRule="auto"/>
              <w:rPr>
                <w:rFonts w:hint="eastAsia" w:ascii="黑体" w:hAnsi="黑体" w:eastAsia="黑体" w:cs="黑体"/>
                <w:color w:val="auto"/>
                <w:sz w:val="21"/>
                <w:szCs w:val="21"/>
              </w:rPr>
            </w:pPr>
            <w:r>
              <w:rPr>
                <w:rFonts w:hint="eastAsia" w:ascii="黑体" w:hAnsi="黑体" w:eastAsia="黑体" w:cs="黑体"/>
                <w:sz w:val="21"/>
                <w:szCs w:val="21"/>
              </w:rPr>
              <w:t>2.供应商法定代表人身份证明和法定代表人授权代表委托书。</w:t>
            </w:r>
          </w:p>
        </w:tc>
      </w:tr>
      <w:tr w14:paraId="10B0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trPr>
        <w:tc>
          <w:tcPr>
            <w:tcW w:w="768" w:type="dxa"/>
            <w:vMerge w:val="continue"/>
            <w:vAlign w:val="center"/>
          </w:tcPr>
          <w:p w14:paraId="3E90082E">
            <w:pPr>
              <w:kinsoku/>
              <w:overflowPunct/>
              <w:topLinePunct w:val="0"/>
              <w:autoSpaceDE/>
              <w:autoSpaceDN/>
              <w:bidi w:val="0"/>
              <w:adjustRightInd/>
              <w:snapToGrid w:val="0"/>
              <w:spacing w:line="480" w:lineRule="exact"/>
              <w:jc w:val="center"/>
              <w:rPr>
                <w:rFonts w:hint="eastAsia" w:ascii="黑体" w:hAnsi="黑体" w:eastAsia="黑体" w:cs="黑体"/>
                <w:color w:val="auto"/>
                <w:sz w:val="21"/>
                <w:szCs w:val="21"/>
              </w:rPr>
            </w:pPr>
          </w:p>
        </w:tc>
        <w:tc>
          <w:tcPr>
            <w:tcW w:w="807" w:type="dxa"/>
            <w:vMerge w:val="continue"/>
            <w:vAlign w:val="center"/>
          </w:tcPr>
          <w:p w14:paraId="79C7E115">
            <w:pPr>
              <w:kinsoku/>
              <w:overflowPunct/>
              <w:topLinePunct w:val="0"/>
              <w:autoSpaceDE/>
              <w:autoSpaceDN/>
              <w:bidi w:val="0"/>
              <w:adjustRightInd/>
              <w:snapToGrid w:val="0"/>
              <w:spacing w:line="480" w:lineRule="exact"/>
              <w:rPr>
                <w:rFonts w:hint="eastAsia" w:ascii="黑体" w:hAnsi="黑体" w:eastAsia="黑体" w:cs="黑体"/>
                <w:color w:val="auto"/>
                <w:sz w:val="21"/>
                <w:szCs w:val="21"/>
                <w:lang w:val="zh-CN"/>
              </w:rPr>
            </w:pPr>
          </w:p>
        </w:tc>
        <w:tc>
          <w:tcPr>
            <w:tcW w:w="3453" w:type="dxa"/>
            <w:vAlign w:val="center"/>
          </w:tcPr>
          <w:p w14:paraId="46CD7922">
            <w:pPr>
              <w:kinsoku/>
              <w:overflowPunct/>
              <w:topLinePunct w:val="0"/>
              <w:autoSpaceDE/>
              <w:autoSpaceDN/>
              <w:bidi w:val="0"/>
              <w:adjustRightInd/>
              <w:snapToGrid w:val="0"/>
              <w:spacing w:line="240" w:lineRule="auto"/>
              <w:rPr>
                <w:rFonts w:hint="eastAsia" w:ascii="黑体" w:hAnsi="黑体" w:eastAsia="黑体" w:cs="黑体"/>
                <w:color w:val="auto"/>
                <w:sz w:val="21"/>
                <w:szCs w:val="21"/>
              </w:rPr>
            </w:pPr>
            <w:r>
              <w:rPr>
                <w:rFonts w:hint="eastAsia" w:ascii="黑体" w:hAnsi="黑体" w:eastAsia="黑体" w:cs="黑体"/>
                <w:color w:val="auto"/>
                <w:sz w:val="21"/>
                <w:szCs w:val="21"/>
                <w:lang w:val="zh-CN"/>
              </w:rPr>
              <w:t>2.</w:t>
            </w:r>
            <w:r>
              <w:rPr>
                <w:rFonts w:hint="eastAsia" w:ascii="黑体" w:hAnsi="黑体" w:eastAsia="黑体" w:cs="黑体"/>
                <w:color w:val="auto"/>
                <w:sz w:val="21"/>
                <w:szCs w:val="21"/>
              </w:rPr>
              <w:t>具有良好的商业信誉和健全的财务会计制度</w:t>
            </w:r>
          </w:p>
        </w:tc>
        <w:tc>
          <w:tcPr>
            <w:tcW w:w="4740" w:type="dxa"/>
            <w:vMerge w:val="restart"/>
            <w:vAlign w:val="center"/>
          </w:tcPr>
          <w:p w14:paraId="30E1AB4C">
            <w:pPr>
              <w:kinsoku/>
              <w:overflowPunct/>
              <w:topLinePunct w:val="0"/>
              <w:autoSpaceDE/>
              <w:autoSpaceDN/>
              <w:bidi w:val="0"/>
              <w:adjustRightInd/>
              <w:snapToGrid w:val="0"/>
              <w:spacing w:line="480" w:lineRule="exact"/>
              <w:rPr>
                <w:rFonts w:hint="eastAsia" w:ascii="黑体" w:hAnsi="黑体" w:eastAsia="黑体" w:cs="黑体"/>
                <w:color w:val="auto"/>
                <w:sz w:val="21"/>
                <w:szCs w:val="21"/>
              </w:rPr>
            </w:pPr>
            <w:r>
              <w:rPr>
                <w:rFonts w:hint="eastAsia" w:ascii="黑体" w:hAnsi="黑体" w:eastAsia="黑体" w:cs="黑体"/>
                <w:color w:val="auto"/>
                <w:sz w:val="21"/>
                <w:szCs w:val="21"/>
              </w:rPr>
              <w:t>供应商提供《基本资格条件承诺函》（</w:t>
            </w:r>
            <w:r>
              <w:rPr>
                <w:rFonts w:hint="eastAsia" w:ascii="黑体" w:hAnsi="黑体" w:eastAsia="黑体" w:cs="黑体"/>
                <w:sz w:val="21"/>
                <w:szCs w:val="21"/>
              </w:rPr>
              <w:t>格式详见第七篇</w:t>
            </w:r>
            <w:r>
              <w:rPr>
                <w:rFonts w:hint="eastAsia" w:ascii="黑体" w:hAnsi="黑体" w:eastAsia="黑体" w:cs="黑体"/>
                <w:color w:val="auto"/>
                <w:sz w:val="21"/>
                <w:szCs w:val="21"/>
              </w:rPr>
              <w:t>）</w:t>
            </w:r>
          </w:p>
        </w:tc>
      </w:tr>
      <w:tr w14:paraId="27FB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trPr>
        <w:tc>
          <w:tcPr>
            <w:tcW w:w="768" w:type="dxa"/>
            <w:vMerge w:val="continue"/>
            <w:vAlign w:val="center"/>
          </w:tcPr>
          <w:p w14:paraId="6B34F810">
            <w:pPr>
              <w:kinsoku/>
              <w:overflowPunct/>
              <w:topLinePunct w:val="0"/>
              <w:autoSpaceDE/>
              <w:autoSpaceDN/>
              <w:bidi w:val="0"/>
              <w:adjustRightInd/>
              <w:snapToGrid w:val="0"/>
              <w:spacing w:line="480" w:lineRule="exact"/>
              <w:jc w:val="center"/>
              <w:rPr>
                <w:rFonts w:hint="eastAsia" w:ascii="黑体" w:hAnsi="黑体" w:eastAsia="黑体" w:cs="黑体"/>
                <w:color w:val="auto"/>
                <w:sz w:val="21"/>
                <w:szCs w:val="21"/>
              </w:rPr>
            </w:pPr>
          </w:p>
        </w:tc>
        <w:tc>
          <w:tcPr>
            <w:tcW w:w="807" w:type="dxa"/>
            <w:vMerge w:val="continue"/>
            <w:vAlign w:val="center"/>
          </w:tcPr>
          <w:p w14:paraId="2BE42147">
            <w:pPr>
              <w:kinsoku/>
              <w:overflowPunct/>
              <w:topLinePunct w:val="0"/>
              <w:autoSpaceDE/>
              <w:autoSpaceDN/>
              <w:bidi w:val="0"/>
              <w:adjustRightInd/>
              <w:snapToGrid w:val="0"/>
              <w:spacing w:line="480" w:lineRule="exact"/>
              <w:rPr>
                <w:rFonts w:hint="eastAsia" w:ascii="黑体" w:hAnsi="黑体" w:eastAsia="黑体" w:cs="黑体"/>
                <w:color w:val="auto"/>
                <w:sz w:val="21"/>
                <w:szCs w:val="21"/>
                <w:lang w:val="zh-CN"/>
              </w:rPr>
            </w:pPr>
          </w:p>
        </w:tc>
        <w:tc>
          <w:tcPr>
            <w:tcW w:w="3453" w:type="dxa"/>
            <w:vAlign w:val="center"/>
          </w:tcPr>
          <w:p w14:paraId="62373BF0">
            <w:pPr>
              <w:kinsoku/>
              <w:overflowPunct/>
              <w:topLinePunct w:val="0"/>
              <w:autoSpaceDE/>
              <w:autoSpaceDN/>
              <w:bidi w:val="0"/>
              <w:adjustRightInd/>
              <w:snapToGrid w:val="0"/>
              <w:spacing w:line="240" w:lineRule="auto"/>
              <w:rPr>
                <w:rFonts w:hint="eastAsia" w:ascii="黑体" w:hAnsi="黑体" w:eastAsia="黑体" w:cs="黑体"/>
                <w:color w:val="auto"/>
                <w:sz w:val="21"/>
                <w:szCs w:val="21"/>
                <w:lang w:val="zh-CN"/>
              </w:rPr>
            </w:pPr>
            <w:r>
              <w:rPr>
                <w:rFonts w:hint="eastAsia" w:ascii="黑体" w:hAnsi="黑体" w:eastAsia="黑体" w:cs="黑体"/>
                <w:color w:val="auto"/>
                <w:sz w:val="21"/>
                <w:szCs w:val="21"/>
                <w:lang w:val="zh-CN"/>
              </w:rPr>
              <w:t>3.具有履行合同所必需的设备和专业技术能力</w:t>
            </w:r>
          </w:p>
        </w:tc>
        <w:tc>
          <w:tcPr>
            <w:tcW w:w="4740" w:type="dxa"/>
            <w:vMerge w:val="continue"/>
            <w:vAlign w:val="center"/>
          </w:tcPr>
          <w:p w14:paraId="07F31618">
            <w:pPr>
              <w:kinsoku/>
              <w:overflowPunct/>
              <w:topLinePunct w:val="0"/>
              <w:autoSpaceDE/>
              <w:autoSpaceDN/>
              <w:bidi w:val="0"/>
              <w:adjustRightInd/>
              <w:snapToGrid w:val="0"/>
              <w:spacing w:line="480" w:lineRule="exact"/>
              <w:rPr>
                <w:rFonts w:hint="eastAsia" w:ascii="黑体" w:hAnsi="黑体" w:eastAsia="黑体" w:cs="黑体"/>
                <w:color w:val="auto"/>
                <w:sz w:val="21"/>
                <w:szCs w:val="21"/>
              </w:rPr>
            </w:pPr>
          </w:p>
        </w:tc>
      </w:tr>
      <w:tr w14:paraId="45986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atLeast"/>
        </w:trPr>
        <w:tc>
          <w:tcPr>
            <w:tcW w:w="768" w:type="dxa"/>
            <w:vMerge w:val="continue"/>
            <w:vAlign w:val="center"/>
          </w:tcPr>
          <w:p w14:paraId="239156B8">
            <w:pPr>
              <w:kinsoku/>
              <w:overflowPunct/>
              <w:topLinePunct w:val="0"/>
              <w:autoSpaceDE/>
              <w:autoSpaceDN/>
              <w:bidi w:val="0"/>
              <w:adjustRightInd/>
              <w:snapToGrid w:val="0"/>
              <w:spacing w:line="480" w:lineRule="exact"/>
              <w:jc w:val="center"/>
              <w:rPr>
                <w:rFonts w:hint="eastAsia" w:ascii="黑体" w:hAnsi="黑体" w:eastAsia="黑体" w:cs="黑体"/>
                <w:color w:val="auto"/>
                <w:sz w:val="21"/>
                <w:szCs w:val="21"/>
              </w:rPr>
            </w:pPr>
          </w:p>
        </w:tc>
        <w:tc>
          <w:tcPr>
            <w:tcW w:w="807" w:type="dxa"/>
            <w:vMerge w:val="continue"/>
            <w:vAlign w:val="center"/>
          </w:tcPr>
          <w:p w14:paraId="6ABF0290">
            <w:pPr>
              <w:kinsoku/>
              <w:overflowPunct/>
              <w:topLinePunct w:val="0"/>
              <w:autoSpaceDE/>
              <w:autoSpaceDN/>
              <w:bidi w:val="0"/>
              <w:adjustRightInd/>
              <w:snapToGrid w:val="0"/>
              <w:spacing w:line="480" w:lineRule="exact"/>
              <w:rPr>
                <w:rFonts w:hint="eastAsia" w:ascii="黑体" w:hAnsi="黑体" w:eastAsia="黑体" w:cs="黑体"/>
                <w:color w:val="auto"/>
                <w:sz w:val="21"/>
                <w:szCs w:val="21"/>
                <w:lang w:val="zh-CN"/>
              </w:rPr>
            </w:pPr>
          </w:p>
        </w:tc>
        <w:tc>
          <w:tcPr>
            <w:tcW w:w="3453" w:type="dxa"/>
            <w:vAlign w:val="center"/>
          </w:tcPr>
          <w:p w14:paraId="5717B09E">
            <w:pPr>
              <w:kinsoku/>
              <w:overflowPunct/>
              <w:topLinePunct w:val="0"/>
              <w:autoSpaceDE/>
              <w:autoSpaceDN/>
              <w:bidi w:val="0"/>
              <w:adjustRightInd/>
              <w:snapToGrid w:val="0"/>
              <w:spacing w:line="480" w:lineRule="exact"/>
              <w:rPr>
                <w:rFonts w:hint="eastAsia" w:ascii="黑体" w:hAnsi="黑体" w:eastAsia="黑体" w:cs="黑体"/>
                <w:color w:val="auto"/>
                <w:sz w:val="21"/>
                <w:szCs w:val="21"/>
                <w:lang w:val="zh-CN"/>
              </w:rPr>
            </w:pPr>
            <w:r>
              <w:rPr>
                <w:rFonts w:hint="eastAsia" w:ascii="黑体" w:hAnsi="黑体" w:eastAsia="黑体" w:cs="黑体"/>
                <w:color w:val="auto"/>
                <w:sz w:val="21"/>
                <w:szCs w:val="21"/>
                <w:lang w:val="zh-CN"/>
              </w:rPr>
              <w:t>4.有依法缴纳税收的良好记录</w:t>
            </w:r>
          </w:p>
        </w:tc>
        <w:tc>
          <w:tcPr>
            <w:tcW w:w="4740" w:type="dxa"/>
            <w:vMerge w:val="continue"/>
            <w:vAlign w:val="center"/>
          </w:tcPr>
          <w:p w14:paraId="619774A3">
            <w:pPr>
              <w:kinsoku/>
              <w:overflowPunct/>
              <w:topLinePunct w:val="0"/>
              <w:autoSpaceDE/>
              <w:autoSpaceDN/>
              <w:bidi w:val="0"/>
              <w:adjustRightInd/>
              <w:snapToGrid w:val="0"/>
              <w:spacing w:line="480" w:lineRule="exact"/>
              <w:rPr>
                <w:rFonts w:hint="eastAsia" w:ascii="黑体" w:hAnsi="黑体" w:eastAsia="黑体" w:cs="黑体"/>
                <w:color w:val="auto"/>
                <w:sz w:val="21"/>
                <w:szCs w:val="21"/>
              </w:rPr>
            </w:pPr>
          </w:p>
        </w:tc>
      </w:tr>
      <w:tr w14:paraId="750C5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768" w:type="dxa"/>
            <w:vMerge w:val="continue"/>
            <w:vAlign w:val="center"/>
          </w:tcPr>
          <w:p w14:paraId="19531F23">
            <w:pPr>
              <w:kinsoku/>
              <w:overflowPunct/>
              <w:topLinePunct w:val="0"/>
              <w:autoSpaceDE/>
              <w:autoSpaceDN/>
              <w:bidi w:val="0"/>
              <w:adjustRightInd/>
              <w:snapToGrid w:val="0"/>
              <w:spacing w:line="480" w:lineRule="exact"/>
              <w:jc w:val="center"/>
              <w:rPr>
                <w:rFonts w:hint="eastAsia" w:ascii="黑体" w:hAnsi="黑体" w:eastAsia="黑体" w:cs="黑体"/>
                <w:color w:val="auto"/>
                <w:sz w:val="21"/>
                <w:szCs w:val="21"/>
              </w:rPr>
            </w:pPr>
          </w:p>
        </w:tc>
        <w:tc>
          <w:tcPr>
            <w:tcW w:w="807" w:type="dxa"/>
            <w:vMerge w:val="continue"/>
            <w:vAlign w:val="center"/>
          </w:tcPr>
          <w:p w14:paraId="382C090A">
            <w:pPr>
              <w:kinsoku/>
              <w:overflowPunct/>
              <w:topLinePunct w:val="0"/>
              <w:autoSpaceDE/>
              <w:autoSpaceDN/>
              <w:bidi w:val="0"/>
              <w:adjustRightInd/>
              <w:snapToGrid w:val="0"/>
              <w:spacing w:line="480" w:lineRule="exact"/>
              <w:rPr>
                <w:rFonts w:hint="eastAsia" w:ascii="黑体" w:hAnsi="黑体" w:eastAsia="黑体" w:cs="黑体"/>
                <w:color w:val="auto"/>
                <w:sz w:val="21"/>
                <w:szCs w:val="21"/>
                <w:lang w:val="zh-CN"/>
              </w:rPr>
            </w:pPr>
          </w:p>
        </w:tc>
        <w:tc>
          <w:tcPr>
            <w:tcW w:w="3453" w:type="dxa"/>
            <w:vAlign w:val="center"/>
          </w:tcPr>
          <w:p w14:paraId="299BF40C">
            <w:pPr>
              <w:kinsoku/>
              <w:overflowPunct/>
              <w:topLinePunct w:val="0"/>
              <w:autoSpaceDE/>
              <w:autoSpaceDN/>
              <w:bidi w:val="0"/>
              <w:adjustRightInd/>
              <w:snapToGrid w:val="0"/>
              <w:spacing w:line="240" w:lineRule="auto"/>
              <w:rPr>
                <w:rFonts w:hint="eastAsia" w:ascii="黑体" w:hAnsi="黑体" w:eastAsia="黑体" w:cs="黑体"/>
                <w:color w:val="auto"/>
                <w:sz w:val="21"/>
                <w:szCs w:val="21"/>
                <w:lang w:val="zh-CN"/>
              </w:rPr>
            </w:pPr>
            <w:r>
              <w:rPr>
                <w:rFonts w:hint="eastAsia" w:ascii="黑体" w:hAnsi="黑体" w:eastAsia="黑体" w:cs="黑体"/>
                <w:color w:val="auto"/>
                <w:sz w:val="21"/>
                <w:szCs w:val="21"/>
              </w:rPr>
              <w:t>5.参加政府采购活动前三年内，在经营活动中没有重大违法记录</w:t>
            </w:r>
          </w:p>
        </w:tc>
        <w:tc>
          <w:tcPr>
            <w:tcW w:w="4740" w:type="dxa"/>
            <w:vMerge w:val="continue"/>
            <w:vAlign w:val="center"/>
          </w:tcPr>
          <w:p w14:paraId="20ECB8EA">
            <w:pPr>
              <w:kinsoku/>
              <w:overflowPunct/>
              <w:topLinePunct w:val="0"/>
              <w:autoSpaceDE/>
              <w:autoSpaceDN/>
              <w:bidi w:val="0"/>
              <w:adjustRightInd/>
              <w:snapToGrid w:val="0"/>
              <w:spacing w:line="480" w:lineRule="exact"/>
              <w:rPr>
                <w:rFonts w:hint="eastAsia" w:ascii="黑体" w:hAnsi="黑体" w:eastAsia="黑体" w:cs="黑体"/>
                <w:b/>
                <w:color w:val="auto"/>
                <w:sz w:val="21"/>
                <w:szCs w:val="21"/>
              </w:rPr>
            </w:pPr>
          </w:p>
        </w:tc>
      </w:tr>
      <w:tr w14:paraId="092F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trPr>
        <w:tc>
          <w:tcPr>
            <w:tcW w:w="768" w:type="dxa"/>
            <w:vMerge w:val="continue"/>
            <w:vAlign w:val="center"/>
          </w:tcPr>
          <w:p w14:paraId="4FB6E530">
            <w:pPr>
              <w:kinsoku/>
              <w:overflowPunct/>
              <w:topLinePunct w:val="0"/>
              <w:autoSpaceDE/>
              <w:autoSpaceDN/>
              <w:bidi w:val="0"/>
              <w:adjustRightInd/>
              <w:snapToGrid w:val="0"/>
              <w:spacing w:line="480" w:lineRule="exact"/>
              <w:jc w:val="center"/>
              <w:rPr>
                <w:rFonts w:hint="eastAsia" w:ascii="黑体" w:hAnsi="黑体" w:eastAsia="黑体" w:cs="黑体"/>
                <w:color w:val="auto"/>
                <w:sz w:val="21"/>
                <w:szCs w:val="21"/>
              </w:rPr>
            </w:pPr>
          </w:p>
        </w:tc>
        <w:tc>
          <w:tcPr>
            <w:tcW w:w="807" w:type="dxa"/>
            <w:vMerge w:val="continue"/>
            <w:vAlign w:val="center"/>
          </w:tcPr>
          <w:p w14:paraId="1ED4F449">
            <w:pPr>
              <w:kinsoku/>
              <w:overflowPunct/>
              <w:topLinePunct w:val="0"/>
              <w:autoSpaceDE/>
              <w:autoSpaceDN/>
              <w:bidi w:val="0"/>
              <w:adjustRightInd/>
              <w:snapToGrid w:val="0"/>
              <w:spacing w:line="480" w:lineRule="exact"/>
              <w:rPr>
                <w:rFonts w:hint="eastAsia" w:ascii="黑体" w:hAnsi="黑体" w:eastAsia="黑体" w:cs="黑体"/>
                <w:color w:val="auto"/>
                <w:sz w:val="21"/>
                <w:szCs w:val="21"/>
                <w:lang w:val="zh-CN"/>
              </w:rPr>
            </w:pPr>
          </w:p>
        </w:tc>
        <w:tc>
          <w:tcPr>
            <w:tcW w:w="3453" w:type="dxa"/>
            <w:vAlign w:val="center"/>
          </w:tcPr>
          <w:p w14:paraId="15E3D314">
            <w:pPr>
              <w:kinsoku/>
              <w:overflowPunct/>
              <w:topLinePunct w:val="0"/>
              <w:autoSpaceDE/>
              <w:autoSpaceDN/>
              <w:bidi w:val="0"/>
              <w:adjustRightInd/>
              <w:snapToGrid w:val="0"/>
              <w:spacing w:line="480" w:lineRule="exact"/>
              <w:rPr>
                <w:rFonts w:hint="eastAsia" w:ascii="黑体" w:hAnsi="黑体" w:eastAsia="黑体" w:cs="黑体"/>
                <w:color w:val="auto"/>
                <w:sz w:val="21"/>
                <w:szCs w:val="21"/>
              </w:rPr>
            </w:pPr>
            <w:r>
              <w:rPr>
                <w:rFonts w:hint="eastAsia" w:ascii="黑体" w:hAnsi="黑体" w:eastAsia="黑体" w:cs="黑体"/>
                <w:color w:val="auto"/>
                <w:sz w:val="21"/>
                <w:szCs w:val="21"/>
              </w:rPr>
              <w:t>6.法律、行政法规规定的其他条件</w:t>
            </w:r>
          </w:p>
        </w:tc>
        <w:tc>
          <w:tcPr>
            <w:tcW w:w="4740" w:type="dxa"/>
            <w:vAlign w:val="center"/>
          </w:tcPr>
          <w:p w14:paraId="440026DF">
            <w:pPr>
              <w:kinsoku/>
              <w:overflowPunct/>
              <w:topLinePunct w:val="0"/>
              <w:autoSpaceDE/>
              <w:autoSpaceDN/>
              <w:bidi w:val="0"/>
              <w:adjustRightInd/>
              <w:snapToGrid w:val="0"/>
              <w:spacing w:line="480" w:lineRule="exact"/>
              <w:rPr>
                <w:rFonts w:hint="eastAsia" w:ascii="黑体" w:hAnsi="黑体" w:eastAsia="黑体" w:cs="黑体"/>
                <w:color w:val="auto"/>
                <w:sz w:val="21"/>
                <w:szCs w:val="21"/>
              </w:rPr>
            </w:pPr>
          </w:p>
        </w:tc>
      </w:tr>
      <w:tr w14:paraId="3D25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768" w:type="dxa"/>
            <w:vAlign w:val="center"/>
          </w:tcPr>
          <w:p w14:paraId="1097C19C">
            <w:pPr>
              <w:kinsoku/>
              <w:overflowPunct/>
              <w:topLinePunct w:val="0"/>
              <w:autoSpaceDE/>
              <w:autoSpaceDN/>
              <w:bidi w:val="0"/>
              <w:adjustRightInd/>
              <w:snapToGrid w:val="0"/>
              <w:spacing w:line="480" w:lineRule="exact"/>
              <w:jc w:val="center"/>
              <w:rPr>
                <w:rFonts w:hint="eastAsia" w:ascii="黑体" w:hAnsi="黑体" w:eastAsia="黑体" w:cs="黑体"/>
                <w:color w:val="auto"/>
                <w:sz w:val="21"/>
                <w:szCs w:val="21"/>
              </w:rPr>
            </w:pPr>
            <w:r>
              <w:rPr>
                <w:rFonts w:hint="eastAsia" w:ascii="黑体" w:hAnsi="黑体" w:eastAsia="黑体" w:cs="黑体"/>
                <w:color w:val="auto"/>
                <w:sz w:val="21"/>
                <w:szCs w:val="21"/>
              </w:rPr>
              <w:t>（二）</w:t>
            </w:r>
          </w:p>
        </w:tc>
        <w:tc>
          <w:tcPr>
            <w:tcW w:w="4260" w:type="dxa"/>
            <w:gridSpan w:val="2"/>
            <w:vAlign w:val="center"/>
          </w:tcPr>
          <w:p w14:paraId="031FD5D8">
            <w:pPr>
              <w:kinsoku/>
              <w:overflowPunct/>
              <w:topLinePunct w:val="0"/>
              <w:autoSpaceDE/>
              <w:autoSpaceDN/>
              <w:bidi w:val="0"/>
              <w:adjustRightInd/>
              <w:snapToGrid w:val="0"/>
              <w:spacing w:line="480" w:lineRule="exact"/>
              <w:rPr>
                <w:rFonts w:hint="eastAsia" w:ascii="黑体" w:hAnsi="黑体" w:eastAsia="黑体" w:cs="黑体"/>
                <w:color w:val="auto"/>
                <w:sz w:val="21"/>
                <w:szCs w:val="21"/>
              </w:rPr>
            </w:pPr>
            <w:r>
              <w:rPr>
                <w:rFonts w:hint="eastAsia" w:ascii="黑体" w:hAnsi="黑体" w:eastAsia="黑体" w:cs="黑体"/>
                <w:color w:val="auto"/>
                <w:sz w:val="21"/>
                <w:szCs w:val="21"/>
              </w:rPr>
              <w:t>本项目特定资格条件</w:t>
            </w:r>
          </w:p>
        </w:tc>
        <w:tc>
          <w:tcPr>
            <w:tcW w:w="4740" w:type="dxa"/>
            <w:vAlign w:val="center"/>
          </w:tcPr>
          <w:p w14:paraId="2735AF17">
            <w:pPr>
              <w:kinsoku/>
              <w:overflowPunct/>
              <w:topLinePunct w:val="0"/>
              <w:autoSpaceDE/>
              <w:autoSpaceDN/>
              <w:bidi w:val="0"/>
              <w:adjustRightInd/>
              <w:snapToGrid w:val="0"/>
              <w:spacing w:line="240" w:lineRule="auto"/>
              <w:rPr>
                <w:rFonts w:hint="eastAsia" w:ascii="黑体" w:hAnsi="黑体" w:eastAsia="黑体" w:cs="黑体"/>
                <w:color w:val="auto"/>
                <w:sz w:val="21"/>
                <w:szCs w:val="21"/>
              </w:rPr>
            </w:pPr>
            <w:r>
              <w:rPr>
                <w:rFonts w:hint="eastAsia" w:ascii="黑体" w:hAnsi="黑体" w:eastAsia="黑体" w:cs="黑体"/>
                <w:color w:val="auto"/>
                <w:sz w:val="21"/>
                <w:szCs w:val="21"/>
              </w:rPr>
              <w:t>按第一篇“三、供应商资格要求（二）本项目的特定资格要求”的要求提交（如果有）。</w:t>
            </w:r>
          </w:p>
        </w:tc>
      </w:tr>
      <w:tr w14:paraId="6D8FE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9" w:hRule="atLeast"/>
        </w:trPr>
        <w:tc>
          <w:tcPr>
            <w:tcW w:w="768" w:type="dxa"/>
            <w:vAlign w:val="center"/>
          </w:tcPr>
          <w:p w14:paraId="04A0C9F2">
            <w:pPr>
              <w:kinsoku/>
              <w:overflowPunct/>
              <w:topLinePunct w:val="0"/>
              <w:autoSpaceDE/>
              <w:autoSpaceDN/>
              <w:bidi w:val="0"/>
              <w:adjustRightInd/>
              <w:snapToGrid w:val="0"/>
              <w:spacing w:line="480" w:lineRule="exact"/>
              <w:jc w:val="center"/>
              <w:rPr>
                <w:rFonts w:hint="eastAsia" w:ascii="黑体" w:hAnsi="黑体" w:eastAsia="黑体" w:cs="黑体"/>
                <w:color w:val="auto"/>
                <w:sz w:val="21"/>
                <w:szCs w:val="21"/>
              </w:rPr>
            </w:pPr>
            <w:r>
              <w:rPr>
                <w:rFonts w:hint="eastAsia" w:ascii="黑体" w:hAnsi="黑体" w:eastAsia="黑体" w:cs="黑体"/>
                <w:color w:val="auto"/>
                <w:sz w:val="21"/>
                <w:szCs w:val="21"/>
              </w:rPr>
              <w:t>（三）</w:t>
            </w:r>
          </w:p>
        </w:tc>
        <w:tc>
          <w:tcPr>
            <w:tcW w:w="4260" w:type="dxa"/>
            <w:gridSpan w:val="2"/>
            <w:vAlign w:val="center"/>
          </w:tcPr>
          <w:p w14:paraId="530F6699">
            <w:pPr>
              <w:kinsoku/>
              <w:overflowPunct/>
              <w:topLinePunct w:val="0"/>
              <w:autoSpaceDE/>
              <w:autoSpaceDN/>
              <w:bidi w:val="0"/>
              <w:adjustRightInd/>
              <w:snapToGrid w:val="0"/>
              <w:spacing w:line="480" w:lineRule="exact"/>
              <w:rPr>
                <w:rFonts w:hint="eastAsia" w:ascii="黑体" w:hAnsi="黑体" w:eastAsia="黑体" w:cs="黑体"/>
                <w:color w:val="auto"/>
                <w:sz w:val="21"/>
                <w:szCs w:val="21"/>
              </w:rPr>
            </w:pPr>
            <w:r>
              <w:rPr>
                <w:rFonts w:hint="eastAsia" w:ascii="黑体" w:hAnsi="黑体" w:eastAsia="黑体" w:cs="黑体"/>
                <w:color w:val="auto"/>
                <w:sz w:val="21"/>
                <w:szCs w:val="21"/>
              </w:rPr>
              <w:t>落实政府采购政策需满足的资格要求</w:t>
            </w:r>
          </w:p>
        </w:tc>
        <w:tc>
          <w:tcPr>
            <w:tcW w:w="4740" w:type="dxa"/>
            <w:vAlign w:val="center"/>
          </w:tcPr>
          <w:p w14:paraId="212AAC17">
            <w:pPr>
              <w:kinsoku/>
              <w:overflowPunct/>
              <w:topLinePunct w:val="0"/>
              <w:autoSpaceDE/>
              <w:autoSpaceDN/>
              <w:bidi w:val="0"/>
              <w:adjustRightInd/>
              <w:snapToGrid w:val="0"/>
              <w:spacing w:line="240" w:lineRule="auto"/>
              <w:rPr>
                <w:rFonts w:hint="eastAsia" w:ascii="黑体" w:hAnsi="黑体" w:eastAsia="黑体" w:cs="黑体"/>
                <w:color w:val="auto"/>
                <w:sz w:val="21"/>
                <w:szCs w:val="21"/>
              </w:rPr>
            </w:pPr>
            <w:r>
              <w:rPr>
                <w:rFonts w:hint="eastAsia" w:ascii="黑体" w:hAnsi="黑体" w:eastAsia="黑体" w:cs="黑体"/>
                <w:color w:val="auto"/>
                <w:sz w:val="21"/>
                <w:szCs w:val="21"/>
              </w:rPr>
              <w:t>按第一篇“三、供应商资格要求（三）落实政府采购政策需满足的资格要求”的要求提交（如果有）。</w:t>
            </w:r>
          </w:p>
        </w:tc>
      </w:tr>
    </w:tbl>
    <w:p w14:paraId="06182D8B">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kern w:val="0"/>
          <w:sz w:val="24"/>
          <w:szCs w:val="24"/>
        </w:rPr>
      </w:pPr>
      <w:r>
        <w:rPr>
          <w:rFonts w:hint="eastAsia" w:ascii="黑体" w:hAnsi="黑体" w:eastAsia="黑体" w:cs="黑体"/>
          <w:color w:val="auto"/>
          <w:kern w:val="0"/>
          <w:sz w:val="24"/>
          <w:szCs w:val="24"/>
        </w:rPr>
        <w:t>注：</w:t>
      </w:r>
    </w:p>
    <w:p w14:paraId="62113704">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kern w:val="0"/>
          <w:sz w:val="24"/>
          <w:szCs w:val="24"/>
        </w:rPr>
      </w:pPr>
      <w:r>
        <w:rPr>
          <w:rFonts w:hint="eastAsia" w:ascii="黑体" w:hAnsi="黑体" w:eastAsia="黑体" w:cs="黑体"/>
          <w:color w:val="auto"/>
          <w:kern w:val="0"/>
          <w:sz w:val="24"/>
          <w:szCs w:val="24"/>
        </w:rPr>
        <w:t>供应商应对其承诺内容的真实性、合法性、有效性负责。经调查核实为虚假承诺的，视同为“提供虚假材料谋取中标、成交”的违法行为，依照《中华人民共和国政府采购法》等法律法规追究相应责任。</w:t>
      </w:r>
    </w:p>
    <w:p w14:paraId="731F1BAD">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kern w:val="0"/>
          <w:sz w:val="24"/>
          <w:szCs w:val="24"/>
        </w:rPr>
      </w:pPr>
      <w:r>
        <w:rPr>
          <w:rFonts w:hint="eastAsia" w:ascii="黑体" w:hAnsi="黑体" w:eastAsia="黑体" w:cs="黑体"/>
          <w:color w:val="auto"/>
          <w:kern w:val="0"/>
          <w:sz w:val="24"/>
          <w:szCs w:val="24"/>
        </w:rPr>
        <w:t>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以《财政部关于&lt;中华人民共和国政府采购法实施条例&gt;第十九条第一款“较大数额罚款”具体适用问题的意见》（财库〔2022〕3号）规定为准。</w:t>
      </w:r>
    </w:p>
    <w:p w14:paraId="0DE5BD84">
      <w:pPr>
        <w:kinsoku/>
        <w:overflowPunct/>
        <w:topLinePunct w:val="0"/>
        <w:autoSpaceDE/>
        <w:autoSpaceDN/>
        <w:bidi w:val="0"/>
        <w:adjustRightInd/>
        <w:spacing w:line="480" w:lineRule="exact"/>
        <w:ind w:firstLine="480" w:firstLineChars="200"/>
        <w:rPr>
          <w:rFonts w:hint="eastAsia" w:ascii="黑体" w:hAnsi="黑体" w:eastAsia="黑体" w:cs="黑体"/>
          <w:color w:val="auto"/>
          <w:kern w:val="0"/>
          <w:sz w:val="24"/>
          <w:szCs w:val="24"/>
        </w:rPr>
      </w:pPr>
      <w:r>
        <w:rPr>
          <w:rFonts w:hint="eastAsia" w:ascii="黑体" w:hAnsi="黑体" w:eastAsia="黑体" w:cs="黑体"/>
          <w:color w:val="auto"/>
          <w:sz w:val="24"/>
          <w:szCs w:val="24"/>
        </w:rPr>
        <w:t>2.</w:t>
      </w:r>
      <w:r>
        <w:rPr>
          <w:rFonts w:hint="eastAsia" w:ascii="黑体" w:hAnsi="黑体" w:eastAsia="黑体" w:cs="黑体"/>
          <w:color w:val="auto"/>
          <w:kern w:val="0"/>
          <w:sz w:val="24"/>
          <w:szCs w:val="24"/>
        </w:rPr>
        <w:t>符合性检查。依据竞争性比选文件的规定，从响应文件的有效性、完整性和对竞争性比选文件的响应程度进行审查，以确定是否对竞争性比选文件的实质性要求作出响应。符合性检查资料表如下：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73"/>
        <w:gridCol w:w="2252"/>
        <w:gridCol w:w="4964"/>
      </w:tblGrid>
      <w:tr w14:paraId="5626A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675" w:type="dxa"/>
            <w:vAlign w:val="center"/>
          </w:tcPr>
          <w:p w14:paraId="5733053B">
            <w:pPr>
              <w:kinsoku/>
              <w:overflowPunct/>
              <w:topLinePunct w:val="0"/>
              <w:autoSpaceDE/>
              <w:autoSpaceDN/>
              <w:bidi w:val="0"/>
              <w:adjustRightInd/>
              <w:spacing w:line="480" w:lineRule="exact"/>
              <w:jc w:val="center"/>
              <w:rPr>
                <w:rFonts w:hint="eastAsia" w:ascii="黑体" w:hAnsi="黑体" w:eastAsia="黑体" w:cs="黑体"/>
                <w:b/>
                <w:color w:val="auto"/>
                <w:kern w:val="0"/>
                <w:sz w:val="21"/>
                <w:szCs w:val="21"/>
              </w:rPr>
            </w:pPr>
            <w:r>
              <w:rPr>
                <w:rFonts w:hint="eastAsia" w:ascii="黑体" w:hAnsi="黑体" w:eastAsia="黑体" w:cs="黑体"/>
                <w:b/>
                <w:color w:val="auto"/>
                <w:kern w:val="0"/>
                <w:sz w:val="21"/>
                <w:szCs w:val="21"/>
              </w:rPr>
              <w:t>序号</w:t>
            </w:r>
          </w:p>
        </w:tc>
        <w:tc>
          <w:tcPr>
            <w:tcW w:w="3825" w:type="dxa"/>
            <w:gridSpan w:val="2"/>
            <w:vAlign w:val="center"/>
          </w:tcPr>
          <w:p w14:paraId="2E78F8D5">
            <w:pPr>
              <w:kinsoku/>
              <w:overflowPunct/>
              <w:topLinePunct w:val="0"/>
              <w:autoSpaceDE/>
              <w:autoSpaceDN/>
              <w:bidi w:val="0"/>
              <w:adjustRightInd/>
              <w:spacing w:line="480" w:lineRule="exact"/>
              <w:jc w:val="center"/>
              <w:rPr>
                <w:rFonts w:hint="eastAsia" w:ascii="黑体" w:hAnsi="黑体" w:eastAsia="黑体" w:cs="黑体"/>
                <w:b/>
                <w:color w:val="auto"/>
                <w:kern w:val="0"/>
                <w:sz w:val="21"/>
                <w:szCs w:val="21"/>
              </w:rPr>
            </w:pPr>
            <w:r>
              <w:rPr>
                <w:rFonts w:hint="eastAsia" w:ascii="黑体" w:hAnsi="黑体" w:eastAsia="黑体" w:cs="黑体"/>
                <w:b/>
                <w:color w:val="auto"/>
                <w:kern w:val="0"/>
                <w:sz w:val="21"/>
                <w:szCs w:val="21"/>
              </w:rPr>
              <w:t>评审因素</w:t>
            </w:r>
          </w:p>
        </w:tc>
        <w:tc>
          <w:tcPr>
            <w:tcW w:w="4964" w:type="dxa"/>
            <w:vAlign w:val="center"/>
          </w:tcPr>
          <w:p w14:paraId="3F34C528">
            <w:pPr>
              <w:kinsoku/>
              <w:overflowPunct/>
              <w:topLinePunct w:val="0"/>
              <w:autoSpaceDE/>
              <w:autoSpaceDN/>
              <w:bidi w:val="0"/>
              <w:adjustRightInd/>
              <w:spacing w:line="480" w:lineRule="exact"/>
              <w:jc w:val="center"/>
              <w:rPr>
                <w:rFonts w:hint="eastAsia" w:ascii="黑体" w:hAnsi="黑体" w:eastAsia="黑体" w:cs="黑体"/>
                <w:b/>
                <w:color w:val="auto"/>
                <w:kern w:val="0"/>
                <w:sz w:val="21"/>
                <w:szCs w:val="21"/>
              </w:rPr>
            </w:pPr>
            <w:r>
              <w:rPr>
                <w:rFonts w:hint="eastAsia" w:ascii="黑体" w:hAnsi="黑体" w:eastAsia="黑体" w:cs="黑体"/>
                <w:b/>
                <w:color w:val="auto"/>
                <w:kern w:val="0"/>
                <w:sz w:val="21"/>
                <w:szCs w:val="21"/>
              </w:rPr>
              <w:t>评审标准</w:t>
            </w:r>
          </w:p>
        </w:tc>
      </w:tr>
      <w:tr w14:paraId="057A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675" w:type="dxa"/>
            <w:vMerge w:val="restart"/>
            <w:vAlign w:val="center"/>
          </w:tcPr>
          <w:p w14:paraId="606A4AAC">
            <w:pPr>
              <w:kinsoku/>
              <w:overflowPunct/>
              <w:topLinePunct w:val="0"/>
              <w:autoSpaceDE/>
              <w:autoSpaceDN/>
              <w:bidi w:val="0"/>
              <w:adjustRightInd/>
              <w:spacing w:line="480" w:lineRule="exact"/>
              <w:jc w:val="center"/>
              <w:rPr>
                <w:rFonts w:hint="eastAsia" w:ascii="黑体" w:hAnsi="黑体" w:eastAsia="黑体" w:cs="黑体"/>
                <w:color w:val="auto"/>
                <w:kern w:val="0"/>
                <w:sz w:val="21"/>
                <w:szCs w:val="21"/>
              </w:rPr>
            </w:pPr>
            <w:r>
              <w:rPr>
                <w:rFonts w:hint="eastAsia" w:ascii="黑体" w:hAnsi="黑体" w:eastAsia="黑体" w:cs="黑体"/>
                <w:color w:val="auto"/>
                <w:kern w:val="0"/>
                <w:sz w:val="21"/>
                <w:szCs w:val="21"/>
              </w:rPr>
              <w:t>1</w:t>
            </w:r>
          </w:p>
        </w:tc>
        <w:tc>
          <w:tcPr>
            <w:tcW w:w="1573" w:type="dxa"/>
            <w:vMerge w:val="restart"/>
            <w:vAlign w:val="center"/>
          </w:tcPr>
          <w:p w14:paraId="64B06D0F">
            <w:pPr>
              <w:kinsoku/>
              <w:overflowPunct/>
              <w:topLinePunct w:val="0"/>
              <w:autoSpaceDE/>
              <w:autoSpaceDN/>
              <w:bidi w:val="0"/>
              <w:adjustRightInd/>
              <w:spacing w:line="480" w:lineRule="exact"/>
              <w:rPr>
                <w:rFonts w:hint="eastAsia" w:ascii="黑体" w:hAnsi="黑体" w:eastAsia="黑体" w:cs="黑体"/>
                <w:color w:val="auto"/>
                <w:kern w:val="0"/>
                <w:sz w:val="21"/>
                <w:szCs w:val="21"/>
              </w:rPr>
            </w:pPr>
            <w:r>
              <w:rPr>
                <w:rFonts w:hint="eastAsia" w:ascii="黑体" w:hAnsi="黑体" w:eastAsia="黑体" w:cs="黑体"/>
                <w:color w:val="auto"/>
                <w:kern w:val="0"/>
                <w:sz w:val="21"/>
                <w:szCs w:val="21"/>
              </w:rPr>
              <w:t>有效性审查</w:t>
            </w:r>
          </w:p>
        </w:tc>
        <w:tc>
          <w:tcPr>
            <w:tcW w:w="2252" w:type="dxa"/>
            <w:vAlign w:val="center"/>
          </w:tcPr>
          <w:p w14:paraId="6D3D63EB">
            <w:pPr>
              <w:kinsoku/>
              <w:overflowPunct/>
              <w:topLinePunct w:val="0"/>
              <w:autoSpaceDE/>
              <w:autoSpaceDN/>
              <w:bidi w:val="0"/>
              <w:adjustRightInd/>
              <w:spacing w:line="480" w:lineRule="exact"/>
              <w:rPr>
                <w:rFonts w:hint="eastAsia" w:ascii="黑体" w:hAnsi="黑体" w:eastAsia="黑体" w:cs="黑体"/>
                <w:color w:val="auto"/>
                <w:kern w:val="0"/>
                <w:sz w:val="21"/>
                <w:szCs w:val="21"/>
                <w:lang w:eastAsia="zh-CN"/>
              </w:rPr>
            </w:pPr>
            <w:r>
              <w:rPr>
                <w:rFonts w:hint="eastAsia" w:ascii="黑体" w:hAnsi="黑体" w:eastAsia="黑体" w:cs="黑体"/>
                <w:color w:val="auto"/>
                <w:sz w:val="21"/>
                <w:szCs w:val="21"/>
              </w:rPr>
              <w:t>响应文件签署</w:t>
            </w:r>
            <w:r>
              <w:rPr>
                <w:rFonts w:hint="eastAsia" w:ascii="黑体" w:hAnsi="黑体" w:eastAsia="黑体" w:cs="黑体"/>
                <w:color w:val="auto"/>
                <w:sz w:val="21"/>
                <w:szCs w:val="21"/>
                <w:lang w:eastAsia="zh-CN"/>
              </w:rPr>
              <w:t>或盖章</w:t>
            </w:r>
          </w:p>
        </w:tc>
        <w:tc>
          <w:tcPr>
            <w:tcW w:w="4964" w:type="dxa"/>
            <w:vAlign w:val="center"/>
          </w:tcPr>
          <w:p w14:paraId="021F7E2D">
            <w:pPr>
              <w:kinsoku/>
              <w:overflowPunct/>
              <w:topLinePunct w:val="0"/>
              <w:autoSpaceDE/>
              <w:autoSpaceDN/>
              <w:bidi w:val="0"/>
              <w:adjustRightInd/>
              <w:spacing w:line="480" w:lineRule="exact"/>
              <w:rPr>
                <w:rFonts w:hint="eastAsia" w:ascii="黑体" w:hAnsi="黑体" w:eastAsia="黑体" w:cs="黑体"/>
                <w:color w:val="auto"/>
                <w:kern w:val="0"/>
                <w:sz w:val="21"/>
                <w:szCs w:val="21"/>
              </w:rPr>
            </w:pPr>
            <w:r>
              <w:rPr>
                <w:rFonts w:hint="eastAsia" w:ascii="黑体" w:hAnsi="黑体" w:eastAsia="黑体" w:cs="黑体"/>
                <w:color w:val="auto"/>
                <w:sz w:val="21"/>
                <w:szCs w:val="21"/>
              </w:rPr>
              <w:t>响应文件按照竞争性比选文件要求签字或盖章。</w:t>
            </w:r>
          </w:p>
        </w:tc>
      </w:tr>
      <w:tr w14:paraId="770E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675" w:type="dxa"/>
            <w:vMerge w:val="continue"/>
            <w:vAlign w:val="center"/>
          </w:tcPr>
          <w:p w14:paraId="5B48E2D5">
            <w:pPr>
              <w:kinsoku/>
              <w:overflowPunct/>
              <w:topLinePunct w:val="0"/>
              <w:autoSpaceDE/>
              <w:autoSpaceDN/>
              <w:bidi w:val="0"/>
              <w:adjustRightInd/>
              <w:spacing w:line="480" w:lineRule="exact"/>
              <w:jc w:val="center"/>
              <w:rPr>
                <w:rFonts w:hint="eastAsia" w:ascii="黑体" w:hAnsi="黑体" w:eastAsia="黑体" w:cs="黑体"/>
                <w:color w:val="auto"/>
                <w:kern w:val="0"/>
                <w:sz w:val="21"/>
                <w:szCs w:val="21"/>
              </w:rPr>
            </w:pPr>
          </w:p>
        </w:tc>
        <w:tc>
          <w:tcPr>
            <w:tcW w:w="1573" w:type="dxa"/>
            <w:vMerge w:val="continue"/>
            <w:vAlign w:val="center"/>
          </w:tcPr>
          <w:p w14:paraId="3DF45279">
            <w:pPr>
              <w:kinsoku/>
              <w:overflowPunct/>
              <w:topLinePunct w:val="0"/>
              <w:autoSpaceDE/>
              <w:autoSpaceDN/>
              <w:bidi w:val="0"/>
              <w:adjustRightInd/>
              <w:spacing w:line="480" w:lineRule="exact"/>
              <w:rPr>
                <w:rFonts w:hint="eastAsia" w:ascii="黑体" w:hAnsi="黑体" w:eastAsia="黑体" w:cs="黑体"/>
                <w:color w:val="auto"/>
                <w:kern w:val="0"/>
                <w:sz w:val="21"/>
                <w:szCs w:val="21"/>
              </w:rPr>
            </w:pPr>
          </w:p>
        </w:tc>
        <w:tc>
          <w:tcPr>
            <w:tcW w:w="2252" w:type="dxa"/>
            <w:vAlign w:val="center"/>
          </w:tcPr>
          <w:p w14:paraId="7187ED33">
            <w:pPr>
              <w:keepNext w:val="0"/>
              <w:keepLines w:val="0"/>
              <w:suppressLineNumbers w:val="0"/>
              <w:kinsoku/>
              <w:overflowPunct/>
              <w:topLinePunct w:val="0"/>
              <w:autoSpaceDE/>
              <w:autoSpaceDN/>
              <w:bidi w:val="0"/>
              <w:adjustRightInd/>
              <w:spacing w:before="0" w:beforeAutospacing="0" w:after="0" w:afterAutospacing="0" w:line="240" w:lineRule="auto"/>
              <w:ind w:left="0" w:leftChars="0" w:right="0" w:rightChars="0"/>
              <w:rPr>
                <w:rFonts w:hint="eastAsia" w:ascii="黑体" w:hAnsi="黑体" w:eastAsia="黑体" w:cs="黑体"/>
                <w:color w:val="auto"/>
                <w:sz w:val="21"/>
                <w:szCs w:val="21"/>
              </w:rPr>
            </w:pPr>
            <w:r>
              <w:rPr>
                <w:rFonts w:hint="eastAsia" w:ascii="黑体" w:hAnsi="黑体" w:eastAsia="黑体" w:cs="黑体"/>
                <w:sz w:val="21"/>
                <w:szCs w:val="21"/>
              </w:rPr>
              <w:t>法定代表人身份证明及授权委托书</w:t>
            </w:r>
          </w:p>
        </w:tc>
        <w:tc>
          <w:tcPr>
            <w:tcW w:w="4964" w:type="dxa"/>
            <w:vAlign w:val="center"/>
          </w:tcPr>
          <w:p w14:paraId="0FED924A">
            <w:pPr>
              <w:keepNext w:val="0"/>
              <w:keepLines w:val="0"/>
              <w:suppressLineNumbers w:val="0"/>
              <w:kinsoku/>
              <w:overflowPunct/>
              <w:topLinePunct w:val="0"/>
              <w:autoSpaceDE/>
              <w:autoSpaceDN/>
              <w:bidi w:val="0"/>
              <w:adjustRightInd/>
              <w:spacing w:before="0" w:beforeAutospacing="0" w:after="0" w:afterAutospacing="0" w:line="240" w:lineRule="auto"/>
              <w:ind w:left="0" w:leftChars="0" w:right="0" w:rightChars="0"/>
              <w:rPr>
                <w:rFonts w:hint="eastAsia" w:ascii="黑体" w:hAnsi="黑体" w:eastAsia="黑体" w:cs="黑体"/>
                <w:color w:val="auto"/>
                <w:sz w:val="21"/>
                <w:szCs w:val="21"/>
              </w:rPr>
            </w:pPr>
            <w:r>
              <w:rPr>
                <w:rFonts w:hint="eastAsia" w:ascii="黑体" w:hAnsi="黑体" w:eastAsia="黑体" w:cs="黑体"/>
                <w:sz w:val="21"/>
                <w:szCs w:val="21"/>
              </w:rPr>
              <w:t>法定代表人身份证明及授权委托书有效，符合</w:t>
            </w:r>
            <w:r>
              <w:rPr>
                <w:rFonts w:hint="eastAsia" w:ascii="黑体" w:hAnsi="黑体" w:eastAsia="黑体" w:cs="黑体"/>
                <w:sz w:val="21"/>
                <w:szCs w:val="21"/>
                <w:lang w:eastAsia="zh-CN"/>
              </w:rPr>
              <w:t>询比文件</w:t>
            </w:r>
            <w:r>
              <w:rPr>
                <w:rFonts w:hint="eastAsia" w:ascii="黑体" w:hAnsi="黑体" w:eastAsia="黑体" w:cs="黑体"/>
                <w:sz w:val="21"/>
                <w:szCs w:val="21"/>
              </w:rPr>
              <w:t>规定的格式，签署或盖章齐全。</w:t>
            </w:r>
          </w:p>
        </w:tc>
      </w:tr>
      <w:tr w14:paraId="424E3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675" w:type="dxa"/>
            <w:vMerge w:val="continue"/>
            <w:vAlign w:val="center"/>
          </w:tcPr>
          <w:p w14:paraId="6215574E">
            <w:pPr>
              <w:kinsoku/>
              <w:overflowPunct/>
              <w:topLinePunct w:val="0"/>
              <w:autoSpaceDE/>
              <w:autoSpaceDN/>
              <w:bidi w:val="0"/>
              <w:adjustRightInd/>
              <w:spacing w:line="480" w:lineRule="exact"/>
              <w:jc w:val="center"/>
              <w:rPr>
                <w:rFonts w:hint="eastAsia" w:ascii="黑体" w:hAnsi="黑体" w:eastAsia="黑体" w:cs="黑体"/>
                <w:color w:val="auto"/>
                <w:kern w:val="0"/>
                <w:sz w:val="21"/>
                <w:szCs w:val="21"/>
              </w:rPr>
            </w:pPr>
          </w:p>
        </w:tc>
        <w:tc>
          <w:tcPr>
            <w:tcW w:w="1573" w:type="dxa"/>
            <w:vMerge w:val="continue"/>
            <w:vAlign w:val="center"/>
          </w:tcPr>
          <w:p w14:paraId="1574A8DC">
            <w:pPr>
              <w:kinsoku/>
              <w:overflowPunct/>
              <w:topLinePunct w:val="0"/>
              <w:autoSpaceDE/>
              <w:autoSpaceDN/>
              <w:bidi w:val="0"/>
              <w:adjustRightInd/>
              <w:spacing w:line="480" w:lineRule="exact"/>
              <w:rPr>
                <w:rFonts w:hint="eastAsia" w:ascii="黑体" w:hAnsi="黑体" w:eastAsia="黑体" w:cs="黑体"/>
                <w:color w:val="auto"/>
                <w:kern w:val="0"/>
                <w:sz w:val="21"/>
                <w:szCs w:val="21"/>
              </w:rPr>
            </w:pPr>
          </w:p>
        </w:tc>
        <w:tc>
          <w:tcPr>
            <w:tcW w:w="2252" w:type="dxa"/>
            <w:vAlign w:val="center"/>
          </w:tcPr>
          <w:p w14:paraId="0BF8BDD1">
            <w:pPr>
              <w:kinsoku/>
              <w:overflowPunct/>
              <w:topLinePunct w:val="0"/>
              <w:autoSpaceDE/>
              <w:autoSpaceDN/>
              <w:bidi w:val="0"/>
              <w:adjustRightInd/>
              <w:spacing w:line="480" w:lineRule="exact"/>
              <w:rPr>
                <w:rFonts w:hint="eastAsia" w:ascii="黑体" w:hAnsi="黑体" w:eastAsia="黑体" w:cs="黑体"/>
                <w:color w:val="auto"/>
                <w:sz w:val="21"/>
                <w:szCs w:val="21"/>
                <w:lang w:val="zh-CN"/>
              </w:rPr>
            </w:pPr>
            <w:r>
              <w:rPr>
                <w:rFonts w:hint="eastAsia" w:ascii="黑体" w:hAnsi="黑体" w:eastAsia="黑体" w:cs="黑体"/>
                <w:color w:val="auto"/>
                <w:sz w:val="21"/>
                <w:szCs w:val="21"/>
              </w:rPr>
              <w:t>响应</w:t>
            </w:r>
            <w:r>
              <w:rPr>
                <w:rFonts w:hint="eastAsia" w:ascii="黑体" w:hAnsi="黑体" w:eastAsia="黑体" w:cs="黑体"/>
                <w:color w:val="auto"/>
                <w:sz w:val="21"/>
                <w:szCs w:val="21"/>
                <w:lang w:val="zh-CN"/>
              </w:rPr>
              <w:t>方案</w:t>
            </w:r>
          </w:p>
        </w:tc>
        <w:tc>
          <w:tcPr>
            <w:tcW w:w="4964" w:type="dxa"/>
            <w:vAlign w:val="center"/>
          </w:tcPr>
          <w:p w14:paraId="5B10B073">
            <w:pPr>
              <w:kinsoku/>
              <w:overflowPunct/>
              <w:topLinePunct w:val="0"/>
              <w:autoSpaceDE/>
              <w:autoSpaceDN/>
              <w:bidi w:val="0"/>
              <w:adjustRightInd/>
              <w:spacing w:line="480" w:lineRule="exact"/>
              <w:rPr>
                <w:rFonts w:hint="eastAsia" w:ascii="黑体" w:hAnsi="黑体" w:eastAsia="黑体" w:cs="黑体"/>
                <w:color w:val="auto"/>
                <w:kern w:val="0"/>
                <w:sz w:val="21"/>
                <w:szCs w:val="21"/>
              </w:rPr>
            </w:pPr>
            <w:r>
              <w:rPr>
                <w:rFonts w:hint="eastAsia" w:ascii="黑体" w:hAnsi="黑体" w:eastAsia="黑体" w:cs="黑体"/>
                <w:color w:val="auto"/>
                <w:sz w:val="21"/>
                <w:szCs w:val="21"/>
                <w:lang w:val="zh-CN"/>
              </w:rPr>
              <w:t>只能有一个方案参与比选。</w:t>
            </w:r>
          </w:p>
        </w:tc>
      </w:tr>
      <w:tr w14:paraId="323D9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675" w:type="dxa"/>
            <w:vMerge w:val="continue"/>
            <w:vAlign w:val="center"/>
          </w:tcPr>
          <w:p w14:paraId="16537382">
            <w:pPr>
              <w:kinsoku/>
              <w:overflowPunct/>
              <w:topLinePunct w:val="0"/>
              <w:autoSpaceDE/>
              <w:autoSpaceDN/>
              <w:bidi w:val="0"/>
              <w:adjustRightInd/>
              <w:spacing w:line="480" w:lineRule="exact"/>
              <w:jc w:val="center"/>
              <w:rPr>
                <w:rFonts w:hint="eastAsia" w:ascii="黑体" w:hAnsi="黑体" w:eastAsia="黑体" w:cs="黑体"/>
                <w:color w:val="auto"/>
                <w:kern w:val="0"/>
                <w:sz w:val="21"/>
                <w:szCs w:val="21"/>
              </w:rPr>
            </w:pPr>
          </w:p>
        </w:tc>
        <w:tc>
          <w:tcPr>
            <w:tcW w:w="1573" w:type="dxa"/>
            <w:vMerge w:val="continue"/>
            <w:vAlign w:val="center"/>
          </w:tcPr>
          <w:p w14:paraId="12BC9787">
            <w:pPr>
              <w:kinsoku/>
              <w:overflowPunct/>
              <w:topLinePunct w:val="0"/>
              <w:autoSpaceDE/>
              <w:autoSpaceDN/>
              <w:bidi w:val="0"/>
              <w:adjustRightInd/>
              <w:spacing w:line="480" w:lineRule="exact"/>
              <w:rPr>
                <w:rFonts w:hint="eastAsia" w:ascii="黑体" w:hAnsi="黑体" w:eastAsia="黑体" w:cs="黑体"/>
                <w:color w:val="auto"/>
                <w:kern w:val="0"/>
                <w:sz w:val="21"/>
                <w:szCs w:val="21"/>
              </w:rPr>
            </w:pPr>
          </w:p>
        </w:tc>
        <w:tc>
          <w:tcPr>
            <w:tcW w:w="2252" w:type="dxa"/>
            <w:vAlign w:val="center"/>
          </w:tcPr>
          <w:p w14:paraId="00C42B7F">
            <w:pPr>
              <w:kinsoku/>
              <w:overflowPunct/>
              <w:topLinePunct w:val="0"/>
              <w:autoSpaceDE/>
              <w:autoSpaceDN/>
              <w:bidi w:val="0"/>
              <w:adjustRightInd/>
              <w:spacing w:line="480" w:lineRule="exact"/>
              <w:rPr>
                <w:rFonts w:hint="eastAsia" w:ascii="黑体" w:hAnsi="黑体" w:eastAsia="黑体" w:cs="黑体"/>
                <w:color w:val="auto"/>
                <w:sz w:val="21"/>
                <w:szCs w:val="21"/>
                <w:lang w:val="zh-CN"/>
              </w:rPr>
            </w:pPr>
            <w:r>
              <w:rPr>
                <w:rFonts w:hint="eastAsia" w:ascii="黑体" w:hAnsi="黑体" w:eastAsia="黑体" w:cs="黑体"/>
                <w:color w:val="auto"/>
                <w:sz w:val="21"/>
                <w:szCs w:val="21"/>
              </w:rPr>
              <w:t>报价唯一</w:t>
            </w:r>
          </w:p>
        </w:tc>
        <w:tc>
          <w:tcPr>
            <w:tcW w:w="4964" w:type="dxa"/>
            <w:vAlign w:val="center"/>
          </w:tcPr>
          <w:p w14:paraId="453C54B2">
            <w:pPr>
              <w:kinsoku/>
              <w:overflowPunct/>
              <w:topLinePunct w:val="0"/>
              <w:autoSpaceDE/>
              <w:autoSpaceDN/>
              <w:bidi w:val="0"/>
              <w:adjustRightInd/>
              <w:spacing w:line="480" w:lineRule="exact"/>
              <w:rPr>
                <w:rFonts w:hint="eastAsia" w:ascii="黑体" w:hAnsi="黑体" w:eastAsia="黑体" w:cs="黑体"/>
                <w:color w:val="auto"/>
                <w:kern w:val="0"/>
                <w:sz w:val="21"/>
                <w:szCs w:val="21"/>
              </w:rPr>
            </w:pPr>
            <w:r>
              <w:rPr>
                <w:rFonts w:hint="eastAsia" w:ascii="黑体" w:hAnsi="黑体" w:eastAsia="黑体" w:cs="黑体"/>
                <w:color w:val="auto"/>
                <w:sz w:val="21"/>
                <w:szCs w:val="21"/>
              </w:rPr>
              <w:t>只能有一个有效报价，不得提交选择性报价。</w:t>
            </w:r>
          </w:p>
        </w:tc>
      </w:tr>
      <w:tr w14:paraId="49F5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675" w:type="dxa"/>
            <w:vAlign w:val="center"/>
          </w:tcPr>
          <w:p w14:paraId="44253F5F">
            <w:pPr>
              <w:kinsoku/>
              <w:overflowPunct/>
              <w:topLinePunct w:val="0"/>
              <w:autoSpaceDE/>
              <w:autoSpaceDN/>
              <w:bidi w:val="0"/>
              <w:adjustRightInd/>
              <w:spacing w:line="480" w:lineRule="exact"/>
              <w:jc w:val="center"/>
              <w:rPr>
                <w:rFonts w:hint="eastAsia" w:ascii="黑体" w:hAnsi="黑体" w:eastAsia="黑体" w:cs="黑体"/>
                <w:color w:val="auto"/>
                <w:kern w:val="0"/>
                <w:sz w:val="21"/>
                <w:szCs w:val="21"/>
              </w:rPr>
            </w:pPr>
            <w:r>
              <w:rPr>
                <w:rFonts w:hint="eastAsia" w:ascii="黑体" w:hAnsi="黑体" w:eastAsia="黑体" w:cs="黑体"/>
                <w:color w:val="auto"/>
                <w:kern w:val="0"/>
                <w:sz w:val="21"/>
                <w:szCs w:val="21"/>
              </w:rPr>
              <w:t>2</w:t>
            </w:r>
          </w:p>
        </w:tc>
        <w:tc>
          <w:tcPr>
            <w:tcW w:w="1573" w:type="dxa"/>
            <w:vAlign w:val="center"/>
          </w:tcPr>
          <w:p w14:paraId="09B8D6A6">
            <w:pPr>
              <w:kinsoku/>
              <w:overflowPunct/>
              <w:topLinePunct w:val="0"/>
              <w:autoSpaceDE/>
              <w:autoSpaceDN/>
              <w:bidi w:val="0"/>
              <w:adjustRightInd/>
              <w:spacing w:line="480" w:lineRule="exact"/>
              <w:rPr>
                <w:rFonts w:hint="eastAsia" w:ascii="黑体" w:hAnsi="黑体" w:eastAsia="黑体" w:cs="黑体"/>
                <w:color w:val="auto"/>
                <w:kern w:val="0"/>
                <w:sz w:val="21"/>
                <w:szCs w:val="21"/>
              </w:rPr>
            </w:pPr>
            <w:r>
              <w:rPr>
                <w:rFonts w:hint="eastAsia" w:ascii="黑体" w:hAnsi="黑体" w:eastAsia="黑体" w:cs="黑体"/>
                <w:color w:val="auto"/>
                <w:kern w:val="0"/>
                <w:sz w:val="21"/>
                <w:szCs w:val="21"/>
              </w:rPr>
              <w:t>完整性审查</w:t>
            </w:r>
          </w:p>
        </w:tc>
        <w:tc>
          <w:tcPr>
            <w:tcW w:w="2252" w:type="dxa"/>
            <w:vAlign w:val="center"/>
          </w:tcPr>
          <w:p w14:paraId="44D9F823">
            <w:pPr>
              <w:kinsoku/>
              <w:overflowPunct/>
              <w:topLinePunct w:val="0"/>
              <w:autoSpaceDE/>
              <w:autoSpaceDN/>
              <w:bidi w:val="0"/>
              <w:adjustRightInd/>
              <w:spacing w:line="480" w:lineRule="exact"/>
              <w:rPr>
                <w:rFonts w:hint="eastAsia" w:ascii="黑体" w:hAnsi="黑体" w:eastAsia="黑体" w:cs="黑体"/>
                <w:color w:val="auto"/>
                <w:kern w:val="0"/>
                <w:sz w:val="21"/>
                <w:szCs w:val="21"/>
              </w:rPr>
            </w:pPr>
            <w:r>
              <w:rPr>
                <w:rFonts w:hint="eastAsia" w:ascii="黑体" w:hAnsi="黑体" w:eastAsia="黑体" w:cs="黑体"/>
                <w:color w:val="auto"/>
                <w:sz w:val="21"/>
                <w:szCs w:val="21"/>
                <w:lang w:val="zh-CN"/>
              </w:rPr>
              <w:t>响应文件份数</w:t>
            </w:r>
          </w:p>
        </w:tc>
        <w:tc>
          <w:tcPr>
            <w:tcW w:w="4964" w:type="dxa"/>
            <w:vAlign w:val="center"/>
          </w:tcPr>
          <w:p w14:paraId="0AAFB3D8">
            <w:pPr>
              <w:kinsoku/>
              <w:overflowPunct/>
              <w:topLinePunct w:val="0"/>
              <w:autoSpaceDE/>
              <w:autoSpaceDN/>
              <w:bidi w:val="0"/>
              <w:adjustRightInd/>
              <w:spacing w:line="240" w:lineRule="auto"/>
              <w:rPr>
                <w:rFonts w:hint="eastAsia" w:ascii="黑体" w:hAnsi="黑体" w:eastAsia="黑体" w:cs="黑体"/>
                <w:color w:val="auto"/>
                <w:kern w:val="0"/>
                <w:sz w:val="21"/>
                <w:szCs w:val="21"/>
              </w:rPr>
            </w:pPr>
            <w:r>
              <w:rPr>
                <w:rFonts w:hint="eastAsia" w:ascii="黑体" w:hAnsi="黑体" w:eastAsia="黑体" w:cs="黑体"/>
                <w:color w:val="auto"/>
                <w:sz w:val="21"/>
                <w:szCs w:val="21"/>
                <w:lang w:val="zh-CN"/>
              </w:rPr>
              <w:t>响应文件正、副本（含电子文档）数量符合竞争性比选文件要求。</w:t>
            </w:r>
          </w:p>
        </w:tc>
      </w:tr>
      <w:tr w14:paraId="563D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675" w:type="dxa"/>
            <w:vMerge w:val="restart"/>
            <w:vAlign w:val="center"/>
          </w:tcPr>
          <w:p w14:paraId="4B277961">
            <w:pPr>
              <w:kinsoku/>
              <w:overflowPunct/>
              <w:topLinePunct w:val="0"/>
              <w:autoSpaceDE/>
              <w:autoSpaceDN/>
              <w:bidi w:val="0"/>
              <w:adjustRightInd/>
              <w:spacing w:line="480" w:lineRule="exact"/>
              <w:jc w:val="center"/>
              <w:rPr>
                <w:rFonts w:hint="eastAsia" w:ascii="黑体" w:hAnsi="黑体" w:eastAsia="黑体" w:cs="黑体"/>
                <w:color w:val="auto"/>
                <w:kern w:val="0"/>
                <w:sz w:val="21"/>
                <w:szCs w:val="21"/>
                <w:lang w:eastAsia="zh-CN"/>
              </w:rPr>
            </w:pPr>
            <w:r>
              <w:rPr>
                <w:rFonts w:hint="eastAsia" w:ascii="黑体" w:hAnsi="黑体" w:eastAsia="黑体" w:cs="黑体"/>
                <w:color w:val="auto"/>
                <w:kern w:val="0"/>
                <w:sz w:val="21"/>
                <w:szCs w:val="21"/>
                <w:lang w:val="en-US" w:eastAsia="zh-CN"/>
              </w:rPr>
              <w:t>3</w:t>
            </w:r>
          </w:p>
        </w:tc>
        <w:tc>
          <w:tcPr>
            <w:tcW w:w="1573" w:type="dxa"/>
            <w:vMerge w:val="restart"/>
            <w:vAlign w:val="center"/>
          </w:tcPr>
          <w:p w14:paraId="18349436">
            <w:pPr>
              <w:kinsoku/>
              <w:overflowPunct/>
              <w:topLinePunct w:val="0"/>
              <w:autoSpaceDE/>
              <w:autoSpaceDN/>
              <w:bidi w:val="0"/>
              <w:adjustRightInd/>
              <w:spacing w:line="240" w:lineRule="auto"/>
              <w:rPr>
                <w:rFonts w:hint="eastAsia" w:ascii="黑体" w:hAnsi="黑体" w:eastAsia="黑体" w:cs="黑体"/>
                <w:color w:val="auto"/>
                <w:sz w:val="21"/>
                <w:szCs w:val="21"/>
                <w:lang w:val="zh-CN"/>
              </w:rPr>
            </w:pPr>
            <w:r>
              <w:rPr>
                <w:rFonts w:hint="eastAsia" w:ascii="黑体" w:hAnsi="黑体" w:eastAsia="黑体" w:cs="黑体"/>
                <w:color w:val="auto"/>
                <w:kern w:val="0"/>
                <w:sz w:val="21"/>
                <w:szCs w:val="21"/>
              </w:rPr>
              <w:t>竞争性比选文件的响应程度审查</w:t>
            </w:r>
          </w:p>
        </w:tc>
        <w:tc>
          <w:tcPr>
            <w:tcW w:w="2252" w:type="dxa"/>
            <w:vAlign w:val="center"/>
          </w:tcPr>
          <w:p w14:paraId="5CE664EC">
            <w:pPr>
              <w:kinsoku/>
              <w:overflowPunct/>
              <w:topLinePunct w:val="0"/>
              <w:autoSpaceDE/>
              <w:autoSpaceDN/>
              <w:bidi w:val="0"/>
              <w:adjustRightInd/>
              <w:spacing w:line="480" w:lineRule="exact"/>
              <w:rPr>
                <w:rFonts w:hint="eastAsia" w:ascii="黑体" w:hAnsi="黑体" w:eastAsia="黑体" w:cs="黑体"/>
                <w:color w:val="auto"/>
                <w:kern w:val="0"/>
                <w:sz w:val="21"/>
                <w:szCs w:val="21"/>
              </w:rPr>
            </w:pPr>
            <w:r>
              <w:rPr>
                <w:rFonts w:hint="eastAsia" w:ascii="黑体" w:hAnsi="黑体" w:eastAsia="黑体" w:cs="黑体"/>
                <w:color w:val="auto"/>
                <w:kern w:val="0"/>
                <w:sz w:val="21"/>
                <w:szCs w:val="21"/>
              </w:rPr>
              <w:t>响应文件内容</w:t>
            </w:r>
          </w:p>
        </w:tc>
        <w:tc>
          <w:tcPr>
            <w:tcW w:w="4964" w:type="dxa"/>
            <w:vAlign w:val="center"/>
          </w:tcPr>
          <w:p w14:paraId="7062F587">
            <w:pPr>
              <w:pStyle w:val="8"/>
              <w:kinsoku/>
              <w:overflowPunct/>
              <w:topLinePunct w:val="0"/>
              <w:autoSpaceDE/>
              <w:autoSpaceDN/>
              <w:bidi w:val="0"/>
              <w:adjustRightInd/>
              <w:spacing w:line="480" w:lineRule="exact"/>
              <w:rPr>
                <w:rFonts w:hint="eastAsia" w:ascii="黑体" w:hAnsi="黑体" w:eastAsia="黑体" w:cs="黑体"/>
                <w:color w:val="auto"/>
                <w:kern w:val="0"/>
                <w:sz w:val="21"/>
                <w:szCs w:val="21"/>
              </w:rPr>
            </w:pPr>
            <w:r>
              <w:rPr>
                <w:rFonts w:hint="eastAsia" w:ascii="黑体" w:hAnsi="黑体" w:eastAsia="黑体" w:cs="黑体"/>
                <w:color w:val="auto"/>
                <w:sz w:val="21"/>
                <w:szCs w:val="21"/>
              </w:rPr>
              <w:t>对</w:t>
            </w:r>
            <w:r>
              <w:rPr>
                <w:rFonts w:hint="eastAsia" w:ascii="黑体" w:hAnsi="黑体" w:eastAsia="黑体" w:cs="黑体"/>
                <w:color w:val="auto"/>
                <w:sz w:val="21"/>
                <w:szCs w:val="21"/>
                <w:lang w:val="zh-CN"/>
              </w:rPr>
              <w:t>竞争性比选文件第二篇、第三篇的内容作出响应</w:t>
            </w:r>
          </w:p>
        </w:tc>
      </w:tr>
      <w:tr w14:paraId="6C0C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675" w:type="dxa"/>
            <w:vMerge w:val="continue"/>
            <w:vAlign w:val="center"/>
          </w:tcPr>
          <w:p w14:paraId="375C627F">
            <w:pPr>
              <w:kinsoku/>
              <w:overflowPunct/>
              <w:topLinePunct w:val="0"/>
              <w:autoSpaceDE/>
              <w:autoSpaceDN/>
              <w:bidi w:val="0"/>
              <w:adjustRightInd/>
              <w:spacing w:line="480" w:lineRule="exact"/>
              <w:jc w:val="center"/>
              <w:rPr>
                <w:rFonts w:hint="eastAsia" w:ascii="黑体" w:hAnsi="黑体" w:eastAsia="黑体" w:cs="黑体"/>
                <w:color w:val="auto"/>
                <w:kern w:val="0"/>
                <w:sz w:val="21"/>
                <w:szCs w:val="21"/>
              </w:rPr>
            </w:pPr>
          </w:p>
        </w:tc>
        <w:tc>
          <w:tcPr>
            <w:tcW w:w="1573" w:type="dxa"/>
            <w:vMerge w:val="continue"/>
            <w:vAlign w:val="center"/>
          </w:tcPr>
          <w:p w14:paraId="0D1BCB34">
            <w:pPr>
              <w:kinsoku/>
              <w:overflowPunct/>
              <w:topLinePunct w:val="0"/>
              <w:autoSpaceDE/>
              <w:autoSpaceDN/>
              <w:bidi w:val="0"/>
              <w:adjustRightInd/>
              <w:spacing w:line="480" w:lineRule="exact"/>
              <w:rPr>
                <w:rFonts w:hint="eastAsia" w:ascii="黑体" w:hAnsi="黑体" w:eastAsia="黑体" w:cs="黑体"/>
                <w:color w:val="auto"/>
                <w:sz w:val="21"/>
                <w:szCs w:val="21"/>
                <w:lang w:val="zh-CN"/>
              </w:rPr>
            </w:pPr>
          </w:p>
        </w:tc>
        <w:tc>
          <w:tcPr>
            <w:tcW w:w="2252" w:type="dxa"/>
            <w:vAlign w:val="center"/>
          </w:tcPr>
          <w:p w14:paraId="56560767">
            <w:pPr>
              <w:kinsoku/>
              <w:overflowPunct/>
              <w:topLinePunct w:val="0"/>
              <w:autoSpaceDE/>
              <w:autoSpaceDN/>
              <w:bidi w:val="0"/>
              <w:adjustRightInd/>
              <w:spacing w:line="480" w:lineRule="exact"/>
              <w:rPr>
                <w:rFonts w:hint="eastAsia" w:ascii="黑体" w:hAnsi="黑体" w:eastAsia="黑体" w:cs="黑体"/>
                <w:color w:val="auto"/>
                <w:kern w:val="0"/>
                <w:sz w:val="21"/>
                <w:szCs w:val="21"/>
              </w:rPr>
            </w:pPr>
            <w:r>
              <w:rPr>
                <w:rFonts w:hint="eastAsia" w:ascii="黑体" w:hAnsi="黑体" w:eastAsia="黑体" w:cs="黑体"/>
                <w:color w:val="auto"/>
                <w:kern w:val="0"/>
                <w:sz w:val="21"/>
                <w:szCs w:val="21"/>
              </w:rPr>
              <w:t>比选有效期</w:t>
            </w:r>
          </w:p>
        </w:tc>
        <w:tc>
          <w:tcPr>
            <w:tcW w:w="4964" w:type="dxa"/>
            <w:vAlign w:val="center"/>
          </w:tcPr>
          <w:p w14:paraId="1404937D">
            <w:pPr>
              <w:kinsoku/>
              <w:overflowPunct/>
              <w:topLinePunct w:val="0"/>
              <w:autoSpaceDE/>
              <w:autoSpaceDN/>
              <w:bidi w:val="0"/>
              <w:adjustRightInd/>
              <w:spacing w:line="480" w:lineRule="exact"/>
              <w:rPr>
                <w:rFonts w:hint="eastAsia" w:ascii="黑体" w:hAnsi="黑体" w:eastAsia="黑体" w:cs="黑体"/>
                <w:color w:val="auto"/>
                <w:kern w:val="0"/>
                <w:sz w:val="21"/>
                <w:szCs w:val="21"/>
              </w:rPr>
            </w:pPr>
            <w:r>
              <w:rPr>
                <w:rFonts w:hint="eastAsia" w:ascii="黑体" w:hAnsi="黑体" w:eastAsia="黑体" w:cs="黑体"/>
                <w:color w:val="auto"/>
                <w:kern w:val="0"/>
                <w:sz w:val="21"/>
                <w:szCs w:val="21"/>
              </w:rPr>
              <w:t>满足竞争性比选文件</w:t>
            </w:r>
            <w:r>
              <w:rPr>
                <w:rFonts w:hint="eastAsia" w:ascii="黑体" w:hAnsi="黑体" w:eastAsia="黑体" w:cs="黑体"/>
                <w:color w:val="auto"/>
                <w:sz w:val="21"/>
                <w:szCs w:val="21"/>
                <w:lang w:val="zh-CN"/>
              </w:rPr>
              <w:t>规定。</w:t>
            </w:r>
          </w:p>
        </w:tc>
      </w:tr>
    </w:tbl>
    <w:p w14:paraId="1256D9CB">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3.澄清有关问题。评审委员会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FB8234D">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4.评审委员会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3F983F96">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5.在比选过程中比选的任何一方不得向他人透露与比选有关的技术资料、价格或其他信息。</w:t>
      </w:r>
    </w:p>
    <w:p w14:paraId="0B21BB17">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6.评审的依据为比选文件和响应文件（含有效的补充文件）。评审小组判断响应文件对比选文件的响应，仅基于响应文件本身而不靠外部证据。</w:t>
      </w:r>
      <w:bookmarkStart w:id="119" w:name="_Toc26310"/>
    </w:p>
    <w:p w14:paraId="517F63BF">
      <w:pPr>
        <w:kinsoku/>
        <w:overflowPunct/>
        <w:topLinePunct w:val="0"/>
        <w:autoSpaceDE/>
        <w:autoSpaceDN/>
        <w:bidi w:val="0"/>
        <w:adjustRightInd/>
        <w:spacing w:line="480" w:lineRule="exact"/>
        <w:ind w:firstLine="482" w:firstLineChars="200"/>
        <w:rPr>
          <w:rFonts w:hint="eastAsia" w:ascii="黑体" w:hAnsi="黑体" w:eastAsia="黑体" w:cs="黑体"/>
          <w:b/>
          <w:bCs/>
          <w:color w:val="auto"/>
          <w:sz w:val="24"/>
          <w:szCs w:val="24"/>
        </w:rPr>
      </w:pPr>
      <w:r>
        <w:rPr>
          <w:rFonts w:hint="eastAsia" w:ascii="黑体" w:hAnsi="黑体" w:eastAsia="黑体" w:cs="黑体"/>
          <w:b/>
          <w:bCs/>
          <w:color w:val="auto"/>
          <w:sz w:val="24"/>
          <w:szCs w:val="24"/>
        </w:rPr>
        <w:t>二、成交原则</w:t>
      </w:r>
      <w:bookmarkEnd w:id="119"/>
    </w:p>
    <w:p w14:paraId="1C970D24">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1、评审小组将依照本比选文件相关规定对技术（质量）和商务均能满足实质性响应要求的供应商所提交的报价折扣比例按照由低到高的顺序提出3名以上成交候选人，并编写评审报告。</w:t>
      </w:r>
    </w:p>
    <w:p w14:paraId="7F0DB881">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2、若供应商的报价相同，按技术（质量）的优劣顺序排列；以上都相同的，按商务条款的优劣顺序排列；以上都相同的，由采购人以现场随机抽取方式排列。</w:t>
      </w:r>
    </w:p>
    <w:p w14:paraId="70DCF90F">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3、成交价格=成交供应商的报价折扣比例。</w:t>
      </w:r>
    </w:p>
    <w:p w14:paraId="32206DE9">
      <w:pPr>
        <w:pStyle w:val="3"/>
        <w:kinsoku/>
        <w:overflowPunct/>
        <w:topLinePunct w:val="0"/>
        <w:autoSpaceDE/>
        <w:autoSpaceDN/>
        <w:bidi w:val="0"/>
        <w:adjustRightInd/>
        <w:snapToGrid w:val="0"/>
        <w:spacing w:before="0" w:after="0" w:line="480" w:lineRule="exact"/>
        <w:ind w:firstLine="482" w:firstLineChars="200"/>
        <w:rPr>
          <w:rFonts w:hint="eastAsia" w:ascii="黑体" w:hAnsi="黑体" w:eastAsia="黑体" w:cs="黑体"/>
          <w:color w:val="auto"/>
          <w:sz w:val="24"/>
          <w:szCs w:val="24"/>
        </w:rPr>
      </w:pPr>
      <w:bookmarkStart w:id="120" w:name="_Toc30773"/>
      <w:bookmarkStart w:id="121" w:name="_Toc342913394"/>
      <w:bookmarkStart w:id="122" w:name="_Toc102227320"/>
      <w:r>
        <w:rPr>
          <w:rFonts w:hint="eastAsia" w:ascii="黑体" w:hAnsi="黑体" w:eastAsia="黑体" w:cs="黑体"/>
          <w:color w:val="auto"/>
          <w:sz w:val="24"/>
          <w:szCs w:val="24"/>
        </w:rPr>
        <w:t>三、无效响应</w:t>
      </w:r>
      <w:bookmarkEnd w:id="120"/>
    </w:p>
    <w:p w14:paraId="1077250D">
      <w:pPr>
        <w:kinsoku/>
        <w:overflowPunct/>
        <w:topLinePunct w:val="0"/>
        <w:autoSpaceDE/>
        <w:autoSpaceDN/>
        <w:bidi w:val="0"/>
        <w:adjustRightInd/>
        <w:snapToGrid w:val="0"/>
        <w:spacing w:line="480" w:lineRule="exact"/>
        <w:ind w:firstLine="465"/>
        <w:rPr>
          <w:rFonts w:hint="eastAsia" w:ascii="黑体" w:hAnsi="黑体" w:eastAsia="黑体" w:cs="黑体"/>
          <w:color w:val="auto"/>
          <w:sz w:val="24"/>
          <w:szCs w:val="24"/>
        </w:rPr>
      </w:pPr>
      <w:r>
        <w:rPr>
          <w:rFonts w:hint="eastAsia" w:ascii="黑体" w:hAnsi="黑体" w:eastAsia="黑体" w:cs="黑体"/>
          <w:color w:val="auto"/>
          <w:sz w:val="24"/>
          <w:szCs w:val="24"/>
        </w:rPr>
        <w:t>供应商发生以下条款情况之一者，视为无效响应：</w:t>
      </w:r>
    </w:p>
    <w:p w14:paraId="14F36FA8">
      <w:pPr>
        <w:kinsoku/>
        <w:overflowPunct/>
        <w:topLinePunct w:val="0"/>
        <w:autoSpaceDE/>
        <w:autoSpaceDN/>
        <w:bidi w:val="0"/>
        <w:adjustRightInd/>
        <w:snapToGrid w:val="0"/>
        <w:spacing w:line="480" w:lineRule="exact"/>
        <w:ind w:firstLine="465"/>
        <w:rPr>
          <w:rFonts w:hint="eastAsia" w:ascii="黑体" w:hAnsi="黑体" w:eastAsia="黑体" w:cs="黑体"/>
          <w:color w:val="auto"/>
          <w:sz w:val="24"/>
          <w:szCs w:val="24"/>
        </w:rPr>
      </w:pPr>
      <w:r>
        <w:rPr>
          <w:rFonts w:hint="eastAsia" w:ascii="黑体" w:hAnsi="黑体" w:eastAsia="黑体" w:cs="黑体"/>
          <w:color w:val="auto"/>
          <w:sz w:val="24"/>
          <w:szCs w:val="24"/>
        </w:rPr>
        <w:t>（一）供应商不符合规定的基本资格条件或特定资格条件的；</w:t>
      </w:r>
    </w:p>
    <w:p w14:paraId="60074F8D">
      <w:pPr>
        <w:kinsoku/>
        <w:overflowPunct/>
        <w:topLinePunct w:val="0"/>
        <w:autoSpaceDE/>
        <w:autoSpaceDN/>
        <w:bidi w:val="0"/>
        <w:adjustRightInd/>
        <w:snapToGrid w:val="0"/>
        <w:spacing w:line="480" w:lineRule="exact"/>
        <w:ind w:firstLine="465"/>
        <w:rPr>
          <w:rFonts w:hint="eastAsia" w:ascii="黑体" w:hAnsi="黑体" w:eastAsia="黑体" w:cs="黑体"/>
          <w:color w:val="auto"/>
          <w:sz w:val="24"/>
          <w:szCs w:val="24"/>
        </w:rPr>
      </w:pPr>
      <w:r>
        <w:rPr>
          <w:rFonts w:hint="eastAsia" w:ascii="黑体" w:hAnsi="黑体" w:eastAsia="黑体" w:cs="黑体"/>
          <w:color w:val="auto"/>
          <w:sz w:val="24"/>
          <w:szCs w:val="24"/>
        </w:rPr>
        <w:t>（二）供应商的法定代表人或其授权代表未参加比选；</w:t>
      </w:r>
    </w:p>
    <w:p w14:paraId="3A96045B">
      <w:pPr>
        <w:kinsoku/>
        <w:overflowPunct/>
        <w:topLinePunct w:val="0"/>
        <w:autoSpaceDE/>
        <w:autoSpaceDN/>
        <w:bidi w:val="0"/>
        <w:adjustRightInd/>
        <w:snapToGrid w:val="0"/>
        <w:spacing w:line="480" w:lineRule="exact"/>
        <w:ind w:firstLine="465"/>
        <w:rPr>
          <w:rFonts w:hint="eastAsia" w:ascii="黑体" w:hAnsi="黑体" w:eastAsia="黑体" w:cs="黑体"/>
          <w:color w:val="auto"/>
          <w:sz w:val="24"/>
          <w:szCs w:val="24"/>
        </w:rPr>
      </w:pPr>
      <w:r>
        <w:rPr>
          <w:rFonts w:hint="eastAsia" w:ascii="黑体" w:hAnsi="黑体" w:eastAsia="黑体" w:cs="黑体"/>
          <w:color w:val="auto"/>
          <w:sz w:val="24"/>
          <w:szCs w:val="24"/>
        </w:rPr>
        <w:t>（三）供应商未按照竞争性比选文件的要求缴纳投标保证金；</w:t>
      </w:r>
    </w:p>
    <w:p w14:paraId="519A3294">
      <w:pPr>
        <w:kinsoku/>
        <w:overflowPunct/>
        <w:topLinePunct w:val="0"/>
        <w:autoSpaceDE/>
        <w:autoSpaceDN/>
        <w:bidi w:val="0"/>
        <w:adjustRightInd/>
        <w:snapToGrid w:val="0"/>
        <w:spacing w:line="480" w:lineRule="exact"/>
        <w:ind w:firstLine="465"/>
        <w:rPr>
          <w:rFonts w:hint="eastAsia" w:ascii="黑体" w:hAnsi="黑体" w:eastAsia="黑体" w:cs="黑体"/>
          <w:color w:val="auto"/>
          <w:sz w:val="24"/>
          <w:szCs w:val="24"/>
        </w:rPr>
      </w:pPr>
      <w:r>
        <w:rPr>
          <w:rFonts w:hint="eastAsia" w:ascii="黑体" w:hAnsi="黑体" w:eastAsia="黑体" w:cs="黑体"/>
          <w:color w:val="auto"/>
          <w:sz w:val="24"/>
          <w:szCs w:val="24"/>
        </w:rPr>
        <w:t>（四）供应商所提交的响应文件不按第七篇“响应文件编制要求”规定签字、盖章；</w:t>
      </w:r>
    </w:p>
    <w:p w14:paraId="0769E63D">
      <w:pPr>
        <w:kinsoku/>
        <w:overflowPunct/>
        <w:topLinePunct w:val="0"/>
        <w:autoSpaceDE/>
        <w:autoSpaceDN/>
        <w:bidi w:val="0"/>
        <w:adjustRightInd/>
        <w:snapToGrid w:val="0"/>
        <w:spacing w:line="480" w:lineRule="exact"/>
        <w:ind w:firstLine="465"/>
        <w:rPr>
          <w:rFonts w:hint="eastAsia" w:ascii="黑体" w:hAnsi="黑体" w:eastAsia="黑体" w:cs="黑体"/>
          <w:color w:val="auto"/>
          <w:sz w:val="24"/>
          <w:szCs w:val="24"/>
        </w:rPr>
      </w:pPr>
      <w:r>
        <w:rPr>
          <w:rFonts w:hint="eastAsia" w:ascii="黑体" w:hAnsi="黑体" w:eastAsia="黑体" w:cs="黑体"/>
          <w:color w:val="auto"/>
          <w:sz w:val="24"/>
          <w:szCs w:val="24"/>
        </w:rPr>
        <w:t>（五）供应商的报价超过采购预算金额或最高限价的；</w:t>
      </w:r>
    </w:p>
    <w:p w14:paraId="080A9C75">
      <w:pPr>
        <w:kinsoku/>
        <w:overflowPunct/>
        <w:topLinePunct w:val="0"/>
        <w:autoSpaceDE/>
        <w:autoSpaceDN/>
        <w:bidi w:val="0"/>
        <w:adjustRightInd/>
        <w:snapToGrid w:val="0"/>
        <w:spacing w:line="480" w:lineRule="exact"/>
        <w:ind w:firstLine="465"/>
        <w:rPr>
          <w:rFonts w:hint="eastAsia" w:ascii="黑体" w:hAnsi="黑体" w:eastAsia="黑体" w:cs="黑体"/>
          <w:color w:val="auto"/>
          <w:sz w:val="24"/>
          <w:szCs w:val="24"/>
        </w:rPr>
      </w:pPr>
      <w:r>
        <w:rPr>
          <w:rFonts w:hint="eastAsia" w:ascii="黑体" w:hAnsi="黑体" w:eastAsia="黑体" w:cs="黑体"/>
          <w:color w:val="auto"/>
          <w:sz w:val="24"/>
          <w:szCs w:val="24"/>
        </w:rPr>
        <w:t>（六）单位负责人为同一人或者存在直接控股、管理关系的不同供应商，参加同一合同项下的政府采购活动的；</w:t>
      </w:r>
    </w:p>
    <w:p w14:paraId="3B33EB42">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（七）为采购项目提供整体设计、规范编制或者项目管理、监理、检测等服务的供应商，再参加该采购项目的其他采购活动；</w:t>
      </w:r>
    </w:p>
    <w:p w14:paraId="1EB71721">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（八）所提供的产品不符合必须强制执行的国家标准的；</w:t>
      </w:r>
    </w:p>
    <w:p w14:paraId="2D1A3C8D">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（九）供应商的服务时间、服务质保期及比选有效期不满足竞争性比选文件要求的；</w:t>
      </w:r>
    </w:p>
    <w:p w14:paraId="02570153">
      <w:pPr>
        <w:kinsoku/>
        <w:overflowPunct/>
        <w:topLinePunct w:val="0"/>
        <w:autoSpaceDE/>
        <w:autoSpaceDN/>
        <w:bidi w:val="0"/>
        <w:adjustRightInd/>
        <w:snapToGrid w:val="0"/>
        <w:spacing w:line="480" w:lineRule="exact"/>
        <w:ind w:firstLine="465"/>
        <w:rPr>
          <w:rFonts w:hint="eastAsia" w:ascii="黑体" w:hAnsi="黑体" w:eastAsia="黑体" w:cs="黑体"/>
          <w:color w:val="auto"/>
          <w:sz w:val="24"/>
          <w:szCs w:val="24"/>
        </w:rPr>
      </w:pPr>
      <w:r>
        <w:rPr>
          <w:rFonts w:hint="eastAsia" w:ascii="黑体" w:hAnsi="黑体" w:eastAsia="黑体" w:cs="黑体"/>
          <w:color w:val="auto"/>
          <w:sz w:val="24"/>
          <w:szCs w:val="24"/>
        </w:rPr>
        <w:t>（十）供应商响应文件内容有与国家现行法律法规相违背的内容，或附有采购人无法接受的条件。</w:t>
      </w:r>
    </w:p>
    <w:p w14:paraId="4FB3769E">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color w:val="auto"/>
          <w:sz w:val="24"/>
          <w:szCs w:val="24"/>
        </w:rPr>
      </w:pPr>
      <w:bookmarkStart w:id="123" w:name="_Toc26580"/>
      <w:r>
        <w:rPr>
          <w:rFonts w:hint="eastAsia" w:ascii="黑体" w:hAnsi="黑体" w:eastAsia="黑体" w:cs="黑体"/>
          <w:color w:val="auto"/>
          <w:sz w:val="24"/>
          <w:szCs w:val="24"/>
        </w:rPr>
        <w:t>四、</w:t>
      </w:r>
      <w:bookmarkEnd w:id="121"/>
      <w:bookmarkEnd w:id="122"/>
      <w:r>
        <w:rPr>
          <w:rFonts w:hint="eastAsia" w:ascii="黑体" w:hAnsi="黑体" w:eastAsia="黑体" w:cs="黑体"/>
          <w:color w:val="auto"/>
          <w:sz w:val="24"/>
          <w:szCs w:val="24"/>
        </w:rPr>
        <w:t>采购终止</w:t>
      </w:r>
      <w:bookmarkEnd w:id="123"/>
    </w:p>
    <w:p w14:paraId="37646456">
      <w:pPr>
        <w:kinsoku/>
        <w:overflowPunct/>
        <w:topLinePunct w:val="0"/>
        <w:autoSpaceDE/>
        <w:autoSpaceDN/>
        <w:bidi w:val="0"/>
        <w:adjustRightInd/>
        <w:snapToGrid w:val="0"/>
        <w:spacing w:line="480" w:lineRule="exact"/>
        <w:ind w:firstLine="465"/>
        <w:rPr>
          <w:rFonts w:hint="eastAsia" w:ascii="黑体" w:hAnsi="黑体" w:eastAsia="黑体" w:cs="黑体"/>
          <w:color w:val="auto"/>
          <w:sz w:val="24"/>
          <w:szCs w:val="24"/>
        </w:rPr>
      </w:pPr>
      <w:r>
        <w:rPr>
          <w:rFonts w:hint="eastAsia" w:ascii="黑体" w:hAnsi="黑体" w:eastAsia="黑体" w:cs="黑体"/>
          <w:color w:val="auto"/>
          <w:sz w:val="24"/>
          <w:szCs w:val="24"/>
        </w:rPr>
        <w:t>出现下列情形之一的，采购人或者采购代理机构应当终止竞争性比选采购活动，发布项目终止公告并说明原因，重新开展采购活动：</w:t>
      </w:r>
    </w:p>
    <w:p w14:paraId="04077BC7">
      <w:pPr>
        <w:kinsoku/>
        <w:overflowPunct/>
        <w:topLinePunct w:val="0"/>
        <w:autoSpaceDE/>
        <w:autoSpaceDN/>
        <w:bidi w:val="0"/>
        <w:adjustRightInd/>
        <w:snapToGrid w:val="0"/>
        <w:spacing w:line="480" w:lineRule="exact"/>
        <w:ind w:firstLine="465"/>
        <w:rPr>
          <w:rFonts w:hint="eastAsia" w:ascii="黑体" w:hAnsi="黑体" w:eastAsia="黑体" w:cs="黑体"/>
          <w:color w:val="auto"/>
          <w:sz w:val="24"/>
          <w:szCs w:val="24"/>
        </w:rPr>
      </w:pPr>
      <w:r>
        <w:rPr>
          <w:rFonts w:hint="eastAsia" w:ascii="黑体" w:hAnsi="黑体" w:eastAsia="黑体" w:cs="黑体"/>
          <w:color w:val="auto"/>
          <w:sz w:val="24"/>
          <w:szCs w:val="24"/>
        </w:rPr>
        <w:t>（一）因情况变化，不再符合规定的竞争性比选采购方式适用情形的；</w:t>
      </w:r>
    </w:p>
    <w:p w14:paraId="5603DB83">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（二）出现影响采购公正的违法、违规行为的。</w:t>
      </w:r>
    </w:p>
    <w:p w14:paraId="003F154B">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（三）在采购过程中符合要求的供应商或者报价未超过采购预算的供应商不足3家的。</w:t>
      </w:r>
    </w:p>
    <w:p w14:paraId="507E671D">
      <w:pPr>
        <w:kinsoku/>
        <w:overflowPunct/>
        <w:topLinePunct w:val="0"/>
        <w:autoSpaceDE/>
        <w:autoSpaceDN/>
        <w:bidi w:val="0"/>
        <w:adjustRightInd/>
        <w:snapToGrid w:val="0"/>
        <w:spacing w:line="480" w:lineRule="exact"/>
        <w:ind w:firstLine="465"/>
        <w:rPr>
          <w:rFonts w:hint="eastAsia" w:ascii="黑体" w:hAnsi="黑体" w:eastAsia="黑体" w:cs="黑体"/>
          <w:color w:val="auto"/>
          <w:sz w:val="24"/>
          <w:szCs w:val="24"/>
        </w:rPr>
        <w:sectPr>
          <w:footerReference r:id="rId6" w:type="default"/>
          <w:footerReference r:id="rId7" w:type="even"/>
          <w:pgSz w:w="11907" w:h="16840"/>
          <w:pgMar w:top="1134" w:right="1134" w:bottom="1134" w:left="1134" w:header="567" w:footer="992" w:gutter="0"/>
          <w:pgNumType w:fmt="decimal"/>
          <w:cols w:space="720" w:num="1"/>
          <w:docGrid w:linePitch="312" w:charSpace="0"/>
        </w:sectPr>
      </w:pPr>
    </w:p>
    <w:p w14:paraId="34EA21A1">
      <w:pPr>
        <w:pStyle w:val="2"/>
        <w:kinsoku/>
        <w:overflowPunct/>
        <w:topLinePunct w:val="0"/>
        <w:autoSpaceDE/>
        <w:autoSpaceDN/>
        <w:bidi w:val="0"/>
        <w:adjustRightInd/>
        <w:spacing w:line="480" w:lineRule="exact"/>
        <w:jc w:val="center"/>
        <w:rPr>
          <w:rFonts w:hint="eastAsia" w:ascii="黑体" w:hAnsi="黑体" w:eastAsia="黑体" w:cs="黑体"/>
          <w:color w:val="auto"/>
          <w:sz w:val="30"/>
          <w:szCs w:val="30"/>
        </w:rPr>
      </w:pPr>
      <w:bookmarkStart w:id="124" w:name="_Toc15198"/>
      <w:bookmarkStart w:id="125" w:name="_Toc102227313"/>
      <w:r>
        <w:rPr>
          <w:rFonts w:hint="eastAsia" w:ascii="黑体" w:hAnsi="黑体" w:eastAsia="黑体" w:cs="黑体"/>
          <w:color w:val="auto"/>
          <w:sz w:val="30"/>
          <w:szCs w:val="30"/>
        </w:rPr>
        <w:t>第五篇  供应商须知</w:t>
      </w:r>
      <w:bookmarkEnd w:id="124"/>
      <w:bookmarkEnd w:id="125"/>
    </w:p>
    <w:p w14:paraId="1CC5C8E5">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color w:val="auto"/>
          <w:sz w:val="24"/>
          <w:szCs w:val="24"/>
        </w:rPr>
      </w:pPr>
      <w:bookmarkStart w:id="126" w:name="_Toc28412"/>
      <w:bookmarkStart w:id="127" w:name="_Toc342913389"/>
      <w:r>
        <w:rPr>
          <w:rFonts w:hint="eastAsia" w:ascii="黑体" w:hAnsi="黑体" w:eastAsia="黑体" w:cs="黑体"/>
          <w:color w:val="auto"/>
          <w:sz w:val="24"/>
          <w:szCs w:val="24"/>
        </w:rPr>
        <w:t>一、比选费用</w:t>
      </w:r>
      <w:bookmarkEnd w:id="126"/>
      <w:bookmarkEnd w:id="127"/>
    </w:p>
    <w:p w14:paraId="5AFD9E98">
      <w:pPr>
        <w:pStyle w:val="18"/>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参与比选的供应商应承担其编制响应文件与递交响应文件所涉及的一切费用，不论比选结果如何，采购人和采购代理机构在任何情况下无义务也无责任承担这些费用。</w:t>
      </w:r>
    </w:p>
    <w:p w14:paraId="4E3C34CA">
      <w:pPr>
        <w:pStyle w:val="3"/>
        <w:tabs>
          <w:tab w:val="left" w:pos="2640"/>
        </w:tabs>
        <w:kinsoku/>
        <w:overflowPunct/>
        <w:topLinePunct w:val="0"/>
        <w:autoSpaceDE/>
        <w:autoSpaceDN/>
        <w:bidi w:val="0"/>
        <w:adjustRightInd/>
        <w:spacing w:before="0" w:after="0" w:line="480" w:lineRule="exact"/>
        <w:ind w:firstLine="482" w:firstLineChars="200"/>
        <w:rPr>
          <w:rFonts w:hint="eastAsia" w:ascii="黑体" w:hAnsi="黑体" w:eastAsia="黑体" w:cs="黑体"/>
          <w:color w:val="auto"/>
          <w:sz w:val="24"/>
          <w:szCs w:val="24"/>
        </w:rPr>
      </w:pPr>
      <w:bookmarkStart w:id="128" w:name="_Toc18718"/>
      <w:bookmarkStart w:id="129" w:name="_Toc342913391"/>
      <w:r>
        <w:rPr>
          <w:rFonts w:hint="eastAsia" w:ascii="黑体" w:hAnsi="黑体" w:eastAsia="黑体" w:cs="黑体"/>
          <w:color w:val="auto"/>
          <w:sz w:val="24"/>
          <w:szCs w:val="24"/>
        </w:rPr>
        <w:t>二、竞争性比选文件</w:t>
      </w:r>
      <w:bookmarkEnd w:id="128"/>
      <w:bookmarkEnd w:id="129"/>
    </w:p>
    <w:p w14:paraId="1264D758">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（一）竞争性比选文件由采购邀请书；采购技术需求；采购商务需求；比选程序及方法、评审标准、无效响应和采购终止；供应商须知；合同草案条款；响应文件编制要求共七部分组成。</w:t>
      </w:r>
    </w:p>
    <w:p w14:paraId="263070AC">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（二）采购人（或采购代理机构）所作的一切有效的书面通知、修改及补充，都是竞争性比选文件不可分割的部分。</w:t>
      </w:r>
    </w:p>
    <w:p w14:paraId="613698DF">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（三）竞争性比选文件的解释</w:t>
      </w:r>
    </w:p>
    <w:p w14:paraId="31391C2A">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供应商如对竞争性比选文件有疑问，必须以书面形式在提交响应文件截止时间1日前向采购人（或采购代理机构）要求澄清，采购人（或采购代理机构）可视具体情况做出处理或答复。如供应商未提出疑问，视为完全理解并同意本竞争性比选文件。一经进入比选程序，即视为供应商已详细阅读全部文件资料，完全理解竞争性比选文件所有条款内容并同意放弃对这方面有不明白及误解的权利。</w:t>
      </w:r>
      <w:bookmarkStart w:id="130" w:name="_Toc318159349"/>
      <w:bookmarkStart w:id="131" w:name="_Toc318159160"/>
      <w:bookmarkStart w:id="132" w:name="_Toc318166429"/>
      <w:bookmarkStart w:id="133" w:name="_Toc318159780"/>
    </w:p>
    <w:p w14:paraId="7F719336">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（四）评审的依据为竞争性比选文件和响应文件（含有效的书面承诺）。评审委员会判断响应文件对竞争性比选文件的响应，仅基于响应文件本身而不靠外部证据。</w:t>
      </w:r>
    </w:p>
    <w:bookmarkEnd w:id="130"/>
    <w:bookmarkEnd w:id="131"/>
    <w:bookmarkEnd w:id="132"/>
    <w:bookmarkEnd w:id="133"/>
    <w:p w14:paraId="23590CEF">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color w:val="auto"/>
          <w:sz w:val="24"/>
          <w:szCs w:val="24"/>
        </w:rPr>
      </w:pPr>
      <w:bookmarkStart w:id="134" w:name="_Toc179714297"/>
      <w:bookmarkStart w:id="135" w:name="_Toc7349"/>
      <w:bookmarkStart w:id="136" w:name="_Toc102227318"/>
      <w:bookmarkStart w:id="137" w:name="_Toc342913392"/>
      <w:r>
        <w:rPr>
          <w:rFonts w:hint="eastAsia" w:ascii="黑体" w:hAnsi="黑体" w:eastAsia="黑体" w:cs="黑体"/>
          <w:color w:val="auto"/>
          <w:sz w:val="24"/>
          <w:szCs w:val="24"/>
        </w:rPr>
        <w:t>三、比选要求</w:t>
      </w:r>
      <w:bookmarkEnd w:id="134"/>
      <w:bookmarkEnd w:id="135"/>
      <w:bookmarkEnd w:id="136"/>
      <w:bookmarkEnd w:id="137"/>
    </w:p>
    <w:p w14:paraId="5AF72BFC">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（一）响应文件</w:t>
      </w:r>
    </w:p>
    <w:p w14:paraId="3435C221">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1.供应商应当按照竞争性比选文件的要求编制响应文件，并对竞争性比选文件提出的要求和条件作出实质性响应，同时应编制完整的页码、目录。</w:t>
      </w:r>
    </w:p>
    <w:p w14:paraId="25594AB1">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2.响应文件组成</w:t>
      </w:r>
    </w:p>
    <w:p w14:paraId="2D89CBFD">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lang w:eastAsia="zh-CN"/>
        </w:rPr>
      </w:pPr>
      <w:r>
        <w:rPr>
          <w:rFonts w:hint="eastAsia" w:ascii="黑体" w:hAnsi="黑体" w:eastAsia="黑体" w:cs="黑体"/>
          <w:color w:val="auto"/>
          <w:sz w:val="24"/>
          <w:szCs w:val="24"/>
        </w:rPr>
        <w:t>响应文件由第七篇“响应文件编制要求”规定的部分和供应商所作的一切有效补充、修改和承诺等文件组成，供应商应按照第七篇“响应文件编制要求”规定的目录顺序组织编写和装订，也可在基本格式基础上对表格进行扩展，未规定格式的由供应商自定格式</w:t>
      </w:r>
      <w:r>
        <w:rPr>
          <w:rFonts w:hint="eastAsia" w:ascii="黑体" w:hAnsi="黑体" w:eastAsia="黑体" w:cs="黑体"/>
          <w:color w:val="auto"/>
          <w:sz w:val="24"/>
          <w:szCs w:val="24"/>
          <w:lang w:eastAsia="zh-CN"/>
        </w:rPr>
        <w:t>。</w:t>
      </w:r>
    </w:p>
    <w:p w14:paraId="25DBC1C3">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（二）联合体</w:t>
      </w:r>
    </w:p>
    <w:p w14:paraId="7CB19354">
      <w:pPr>
        <w:kinsoku/>
        <w:overflowPunct/>
        <w:topLinePunct w:val="0"/>
        <w:autoSpaceDE/>
        <w:autoSpaceDN/>
        <w:bidi w:val="0"/>
        <w:adjustRightInd/>
        <w:spacing w:line="480" w:lineRule="exact"/>
        <w:ind w:firstLine="482" w:firstLineChars="200"/>
        <w:rPr>
          <w:rFonts w:hint="eastAsia" w:ascii="黑体" w:hAnsi="黑体" w:eastAsia="黑体" w:cs="黑体"/>
          <w:b/>
          <w:bCs/>
          <w:color w:val="auto"/>
          <w:sz w:val="24"/>
          <w:szCs w:val="24"/>
        </w:rPr>
      </w:pPr>
      <w:r>
        <w:rPr>
          <w:rFonts w:hint="eastAsia" w:ascii="黑体" w:hAnsi="黑体" w:eastAsia="黑体" w:cs="黑体"/>
          <w:b/>
          <w:bCs/>
          <w:color w:val="auto"/>
          <w:sz w:val="24"/>
          <w:szCs w:val="24"/>
        </w:rPr>
        <w:t>本项目不接受联合体比选。</w:t>
      </w:r>
    </w:p>
    <w:p w14:paraId="3FBEC36D">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（三）比选有效期：响应文件及有关承诺文件有效期为提交响应文件截止时间起90天。</w:t>
      </w:r>
    </w:p>
    <w:p w14:paraId="3541E6FC">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w:t>
      </w:r>
      <w:r>
        <w:rPr>
          <w:rFonts w:hint="eastAsia" w:ascii="黑体" w:hAnsi="黑体" w:eastAsia="黑体" w:cs="黑体"/>
          <w:color w:val="auto"/>
          <w:sz w:val="24"/>
          <w:szCs w:val="24"/>
          <w:lang w:eastAsia="zh-CN"/>
        </w:rPr>
        <w:t>四</w:t>
      </w:r>
      <w:r>
        <w:rPr>
          <w:rFonts w:hint="eastAsia" w:ascii="黑体" w:hAnsi="黑体" w:eastAsia="黑体" w:cs="黑体"/>
          <w:color w:val="auto"/>
          <w:sz w:val="24"/>
          <w:szCs w:val="24"/>
        </w:rPr>
        <w:t>）修正错误</w:t>
      </w:r>
    </w:p>
    <w:p w14:paraId="623FA927">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1.若供应商所递交的响应文件或报价中的价格出现大写金额和小写金额不一致的错误，以大写金额修正为准。</w:t>
      </w:r>
    </w:p>
    <w:p w14:paraId="2D42E8E6">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2.评审委员会按上述修正错误的原则及方法修正供应商的报价，供应商同意并签字确认后，修正后的报价对供应商具有约束作用。如果供应商不接受修正后的价格，将失去成为成交供应商的资格。</w:t>
      </w:r>
    </w:p>
    <w:p w14:paraId="683C7648">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w:t>
      </w:r>
      <w:r>
        <w:rPr>
          <w:rFonts w:hint="eastAsia" w:ascii="黑体" w:hAnsi="黑体" w:eastAsia="黑体" w:cs="黑体"/>
          <w:color w:val="auto"/>
          <w:sz w:val="24"/>
          <w:szCs w:val="24"/>
          <w:lang w:eastAsia="zh-CN"/>
        </w:rPr>
        <w:t>五</w:t>
      </w:r>
      <w:r>
        <w:rPr>
          <w:rFonts w:hint="eastAsia" w:ascii="黑体" w:hAnsi="黑体" w:eastAsia="黑体" w:cs="黑体"/>
          <w:color w:val="auto"/>
          <w:sz w:val="24"/>
          <w:szCs w:val="24"/>
        </w:rPr>
        <w:t>）提交响应文件的份数和签署</w:t>
      </w:r>
    </w:p>
    <w:p w14:paraId="65B44AA0">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bCs/>
          <w:color w:val="auto"/>
          <w:sz w:val="24"/>
          <w:szCs w:val="24"/>
        </w:rPr>
        <w:t>1、投标文件一式四份，其中正本一份，副本二份</w:t>
      </w:r>
      <w:r>
        <w:rPr>
          <w:rFonts w:hint="eastAsia" w:ascii="黑体" w:hAnsi="黑体" w:eastAsia="黑体" w:cs="黑体"/>
          <w:color w:val="auto"/>
          <w:sz w:val="24"/>
          <w:szCs w:val="24"/>
        </w:rPr>
        <w:t>，</w:t>
      </w:r>
      <w:r>
        <w:rPr>
          <w:rFonts w:hint="eastAsia" w:ascii="黑体" w:hAnsi="黑体" w:eastAsia="黑体" w:cs="黑体"/>
          <w:bCs/>
          <w:color w:val="auto"/>
          <w:sz w:val="24"/>
          <w:szCs w:val="24"/>
        </w:rPr>
        <w:t>电子文档</w:t>
      </w:r>
      <w:r>
        <w:rPr>
          <w:rFonts w:hint="eastAsia" w:ascii="黑体" w:hAnsi="黑体" w:eastAsia="黑体" w:cs="黑体"/>
          <w:bCs/>
          <w:color w:val="auto"/>
          <w:sz w:val="24"/>
          <w:szCs w:val="24"/>
          <w:lang w:eastAsia="zh-CN"/>
        </w:rPr>
        <w:t>（</w:t>
      </w:r>
      <w:r>
        <w:rPr>
          <w:rFonts w:hint="eastAsia" w:ascii="黑体" w:hAnsi="黑体" w:eastAsia="黑体" w:cs="黑体"/>
          <w:bCs/>
          <w:color w:val="auto"/>
          <w:sz w:val="24"/>
          <w:szCs w:val="24"/>
          <w:lang w:val="en-US" w:eastAsia="zh-CN"/>
        </w:rPr>
        <w:t>U盘</w:t>
      </w:r>
      <w:r>
        <w:rPr>
          <w:rFonts w:hint="eastAsia" w:ascii="黑体" w:hAnsi="黑体" w:eastAsia="黑体" w:cs="黑体"/>
          <w:bCs/>
          <w:color w:val="auto"/>
          <w:sz w:val="24"/>
          <w:szCs w:val="24"/>
          <w:lang w:eastAsia="zh-CN"/>
        </w:rPr>
        <w:t>）</w:t>
      </w:r>
      <w:r>
        <w:rPr>
          <w:rFonts w:hint="eastAsia" w:ascii="黑体" w:hAnsi="黑体" w:eastAsia="黑体" w:cs="黑体"/>
          <w:bCs/>
          <w:color w:val="auto"/>
          <w:sz w:val="24"/>
          <w:szCs w:val="24"/>
        </w:rPr>
        <w:t>一份</w:t>
      </w:r>
      <w:r>
        <w:rPr>
          <w:rFonts w:hint="eastAsia" w:ascii="黑体" w:hAnsi="黑体" w:eastAsia="黑体" w:cs="黑体"/>
          <w:bCs/>
          <w:color w:val="auto"/>
          <w:sz w:val="24"/>
          <w:szCs w:val="24"/>
          <w:lang w:eastAsia="zh-CN"/>
        </w:rPr>
        <w:t>（</w:t>
      </w:r>
      <w:r>
        <w:rPr>
          <w:rFonts w:hint="eastAsia" w:ascii="黑体" w:hAnsi="黑体" w:eastAsia="黑体" w:cs="黑体"/>
          <w:bCs/>
          <w:color w:val="auto"/>
          <w:sz w:val="24"/>
          <w:szCs w:val="24"/>
          <w:lang w:val="en-US" w:eastAsia="zh-CN"/>
        </w:rPr>
        <w:t>【</w:t>
      </w:r>
      <w:r>
        <w:rPr>
          <w:rFonts w:hint="eastAsia" w:ascii="黑体" w:hAnsi="黑体" w:eastAsia="黑体" w:cs="黑体"/>
          <w:bCs/>
          <w:color w:val="auto"/>
          <w:sz w:val="24"/>
          <w:szCs w:val="24"/>
        </w:rPr>
        <w:t>电子文档</w:t>
      </w:r>
      <w:r>
        <w:rPr>
          <w:rFonts w:hint="eastAsia" w:ascii="黑体" w:hAnsi="黑体" w:eastAsia="黑体" w:cs="黑体"/>
          <w:bCs/>
          <w:color w:val="auto"/>
          <w:sz w:val="24"/>
          <w:szCs w:val="24"/>
          <w:lang w:eastAsia="zh-CN"/>
        </w:rPr>
        <w:t>（</w:t>
      </w:r>
      <w:r>
        <w:rPr>
          <w:rFonts w:hint="eastAsia" w:ascii="黑体" w:hAnsi="黑体" w:eastAsia="黑体" w:cs="黑体"/>
          <w:bCs/>
          <w:color w:val="auto"/>
          <w:sz w:val="24"/>
          <w:szCs w:val="24"/>
          <w:lang w:val="en-US" w:eastAsia="zh-CN"/>
        </w:rPr>
        <w:t>PDF版</w:t>
      </w:r>
      <w:r>
        <w:rPr>
          <w:rFonts w:hint="eastAsia" w:ascii="黑体" w:hAnsi="黑体" w:eastAsia="黑体" w:cs="黑体"/>
          <w:bCs/>
          <w:color w:val="auto"/>
          <w:sz w:val="24"/>
          <w:szCs w:val="24"/>
          <w:lang w:eastAsia="zh-CN"/>
        </w:rPr>
        <w:t>）</w:t>
      </w:r>
      <w:r>
        <w:rPr>
          <w:rFonts w:hint="eastAsia" w:ascii="黑体" w:hAnsi="黑体" w:eastAsia="黑体" w:cs="黑体"/>
          <w:bCs/>
          <w:color w:val="auto"/>
          <w:sz w:val="24"/>
          <w:szCs w:val="24"/>
          <w:lang w:val="en-US" w:eastAsia="zh-CN"/>
        </w:rPr>
        <w:t>】</w:t>
      </w:r>
      <w:r>
        <w:rPr>
          <w:rFonts w:hint="eastAsia" w:ascii="黑体" w:hAnsi="黑体" w:eastAsia="黑体" w:cs="黑体"/>
          <w:bCs/>
          <w:color w:val="auto"/>
          <w:sz w:val="24"/>
          <w:szCs w:val="24"/>
        </w:rPr>
        <w:t>内容应与纸质文件正本一致，如不一致以纸质文件正本为准）；副本可为正本的复印件，应与正本一致，如出现不一致情况以正本为准。</w:t>
      </w:r>
    </w:p>
    <w:p w14:paraId="299F7D7F">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2、在响应文件正本中，竞争性</w:t>
      </w:r>
      <w:r>
        <w:rPr>
          <w:rFonts w:hint="eastAsia" w:ascii="黑体" w:hAnsi="黑体" w:eastAsia="黑体" w:cs="黑体"/>
          <w:color w:val="auto"/>
          <w:sz w:val="24"/>
          <w:szCs w:val="24"/>
          <w:highlight w:val="none"/>
          <w:lang w:eastAsia="zh-CN"/>
        </w:rPr>
        <w:t>比选</w:t>
      </w:r>
      <w:r>
        <w:rPr>
          <w:rFonts w:hint="eastAsia" w:ascii="黑体" w:hAnsi="黑体" w:eastAsia="黑体" w:cs="黑体"/>
          <w:color w:val="auto"/>
          <w:sz w:val="24"/>
          <w:szCs w:val="24"/>
          <w:highlight w:val="none"/>
        </w:rPr>
        <w:t>文件</w:t>
      </w:r>
      <w:r>
        <w:rPr>
          <w:rFonts w:hint="eastAsia" w:ascii="黑体" w:hAnsi="黑体" w:eastAsia="黑体" w:cs="黑体"/>
          <w:color w:val="auto"/>
          <w:sz w:val="24"/>
          <w:szCs w:val="24"/>
          <w:highlight w:val="none"/>
          <w:lang w:eastAsia="zh-CN"/>
        </w:rPr>
        <w:t>“</w:t>
      </w:r>
      <w:r>
        <w:rPr>
          <w:rFonts w:hint="eastAsia" w:ascii="黑体" w:hAnsi="黑体" w:eastAsia="黑体" w:cs="黑体"/>
          <w:color w:val="auto"/>
          <w:sz w:val="24"/>
          <w:szCs w:val="24"/>
          <w:highlight w:val="none"/>
        </w:rPr>
        <w:t>第</w:t>
      </w:r>
      <w:r>
        <w:rPr>
          <w:rFonts w:hint="eastAsia" w:ascii="黑体" w:hAnsi="黑体" w:eastAsia="黑体" w:cs="黑体"/>
          <w:color w:val="auto"/>
          <w:sz w:val="24"/>
          <w:szCs w:val="24"/>
          <w:highlight w:val="none"/>
          <w:lang w:eastAsia="zh-CN"/>
        </w:rPr>
        <w:t>七</w:t>
      </w:r>
      <w:r>
        <w:rPr>
          <w:rFonts w:hint="eastAsia" w:ascii="黑体" w:hAnsi="黑体" w:eastAsia="黑体" w:cs="黑体"/>
          <w:color w:val="auto"/>
          <w:sz w:val="24"/>
          <w:szCs w:val="24"/>
          <w:highlight w:val="none"/>
        </w:rPr>
        <w:t>篇</w:t>
      </w:r>
      <w:r>
        <w:rPr>
          <w:rFonts w:hint="eastAsia" w:ascii="黑体" w:hAnsi="黑体" w:eastAsia="黑体" w:cs="黑体"/>
          <w:color w:val="auto"/>
          <w:sz w:val="24"/>
          <w:szCs w:val="24"/>
          <w:highlight w:val="none"/>
          <w:lang w:val="en-US" w:eastAsia="zh-CN"/>
        </w:rPr>
        <w:t xml:space="preserve"> </w:t>
      </w:r>
      <w:r>
        <w:rPr>
          <w:rFonts w:hint="eastAsia" w:ascii="黑体" w:hAnsi="黑体" w:eastAsia="黑体" w:cs="黑体"/>
          <w:color w:val="auto"/>
          <w:sz w:val="24"/>
          <w:szCs w:val="24"/>
          <w:highlight w:val="none"/>
        </w:rPr>
        <w:t>响应文件编制要求</w:t>
      </w:r>
      <w:r>
        <w:rPr>
          <w:rFonts w:hint="eastAsia" w:ascii="黑体" w:hAnsi="黑体" w:eastAsia="黑体" w:cs="黑体"/>
          <w:color w:val="auto"/>
          <w:sz w:val="24"/>
          <w:szCs w:val="24"/>
          <w:highlight w:val="none"/>
          <w:lang w:eastAsia="zh-CN"/>
        </w:rPr>
        <w:t>”</w:t>
      </w:r>
      <w:r>
        <w:rPr>
          <w:rFonts w:hint="eastAsia" w:ascii="黑体" w:hAnsi="黑体" w:eastAsia="黑体" w:cs="黑体"/>
          <w:color w:val="auto"/>
          <w:sz w:val="24"/>
          <w:szCs w:val="24"/>
          <w:highlight w:val="none"/>
        </w:rPr>
        <w:t>中规定签字、盖章的地方必须按其规定签字、盖章。</w:t>
      </w:r>
    </w:p>
    <w:p w14:paraId="7C365B9F">
      <w:pPr>
        <w:pageBreakBefore w:val="0"/>
        <w:widowControl w:val="0"/>
        <w:kinsoku/>
        <w:wordWrap/>
        <w:overflowPunct/>
        <w:topLinePunct w:val="0"/>
        <w:autoSpaceDE/>
        <w:autoSpaceDN/>
        <w:bidi w:val="0"/>
        <w:snapToGrid w:val="0"/>
        <w:spacing w:line="440" w:lineRule="exact"/>
        <w:ind w:firstLine="480" w:firstLineChars="200"/>
        <w:jc w:val="left"/>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rPr>
        <w:t>3.若供应商对</w:t>
      </w:r>
      <w:r>
        <w:rPr>
          <w:rFonts w:hint="eastAsia" w:ascii="黑体" w:hAnsi="黑体" w:eastAsia="黑体" w:cs="黑体"/>
          <w:color w:val="auto"/>
          <w:sz w:val="24"/>
          <w:szCs w:val="24"/>
          <w:lang w:eastAsia="zh-CN"/>
        </w:rPr>
        <w:t>竞争性比选</w:t>
      </w:r>
      <w:r>
        <w:rPr>
          <w:rFonts w:hint="eastAsia" w:ascii="黑体" w:hAnsi="黑体" w:eastAsia="黑体" w:cs="黑体"/>
          <w:color w:val="auto"/>
          <w:sz w:val="24"/>
          <w:szCs w:val="24"/>
        </w:rPr>
        <w:t>文件的错处作必要修改，则应在修改处加盖供应商公章或由法定代表人（或其授权代表）或自然人（供应商为自然人）签署确认。</w:t>
      </w:r>
    </w:p>
    <w:p w14:paraId="33BA4BF5">
      <w:pPr>
        <w:pageBreakBefore w:val="0"/>
        <w:widowControl w:val="0"/>
        <w:kinsoku/>
        <w:wordWrap/>
        <w:overflowPunct/>
        <w:topLinePunct w:val="0"/>
        <w:autoSpaceDE/>
        <w:autoSpaceDN/>
        <w:bidi w:val="0"/>
        <w:snapToGrid w:val="0"/>
        <w:spacing w:line="440" w:lineRule="exact"/>
        <w:ind w:firstLine="480" w:firstLineChars="200"/>
        <w:jc w:val="left"/>
        <w:textAlignment w:val="auto"/>
        <w:rPr>
          <w:rFonts w:hint="eastAsia" w:ascii="黑体" w:hAnsi="黑体" w:eastAsia="黑体" w:cs="黑体"/>
          <w:b w:val="0"/>
          <w:bCs w:val="0"/>
          <w:color w:val="auto"/>
          <w:sz w:val="24"/>
          <w:szCs w:val="24"/>
        </w:rPr>
      </w:pPr>
      <w:bookmarkStart w:id="138" w:name="_Toc474603939"/>
      <w:r>
        <w:rPr>
          <w:rFonts w:hint="eastAsia" w:ascii="黑体" w:hAnsi="黑体" w:eastAsia="黑体" w:cs="黑体"/>
          <w:b w:val="0"/>
          <w:bCs w:val="0"/>
          <w:color w:val="auto"/>
          <w:sz w:val="24"/>
          <w:szCs w:val="24"/>
        </w:rPr>
        <w:t>（</w:t>
      </w:r>
      <w:r>
        <w:rPr>
          <w:rFonts w:hint="eastAsia" w:ascii="黑体" w:hAnsi="黑体" w:eastAsia="黑体" w:cs="黑体"/>
          <w:b w:val="0"/>
          <w:bCs w:val="0"/>
          <w:color w:val="auto"/>
          <w:sz w:val="24"/>
          <w:szCs w:val="24"/>
          <w:lang w:eastAsia="zh-CN"/>
        </w:rPr>
        <w:t>六</w:t>
      </w:r>
      <w:r>
        <w:rPr>
          <w:rFonts w:hint="eastAsia" w:ascii="黑体" w:hAnsi="黑体" w:eastAsia="黑体" w:cs="黑体"/>
          <w:b w:val="0"/>
          <w:bCs w:val="0"/>
          <w:color w:val="auto"/>
          <w:sz w:val="24"/>
          <w:szCs w:val="24"/>
        </w:rPr>
        <w:t>）响应文件的递交</w:t>
      </w:r>
      <w:bookmarkEnd w:id="138"/>
    </w:p>
    <w:p w14:paraId="60A5BBBE">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1.响应文件的正本、副本以及电子文档均应密封送达</w:t>
      </w:r>
      <w:r>
        <w:rPr>
          <w:rFonts w:hint="eastAsia" w:ascii="黑体" w:hAnsi="黑体" w:eastAsia="黑体" w:cs="黑体"/>
          <w:color w:val="auto"/>
          <w:sz w:val="24"/>
          <w:szCs w:val="24"/>
          <w:lang w:eastAsia="zh-CN"/>
        </w:rPr>
        <w:t>开标</w:t>
      </w:r>
      <w:r>
        <w:rPr>
          <w:rFonts w:hint="eastAsia" w:ascii="黑体" w:hAnsi="黑体" w:eastAsia="黑体" w:cs="黑体"/>
          <w:color w:val="auto"/>
          <w:sz w:val="24"/>
          <w:szCs w:val="24"/>
        </w:rPr>
        <w:t>地点，应在封套上注明</w:t>
      </w:r>
      <w:r>
        <w:rPr>
          <w:rFonts w:hint="eastAsia" w:ascii="黑体" w:hAnsi="黑体" w:eastAsia="黑体" w:cs="黑体"/>
          <w:color w:val="auto"/>
          <w:sz w:val="24"/>
          <w:szCs w:val="24"/>
          <w:lang w:eastAsia="zh-CN"/>
        </w:rPr>
        <w:t>投标</w:t>
      </w:r>
      <w:r>
        <w:rPr>
          <w:rFonts w:hint="eastAsia" w:ascii="黑体" w:hAnsi="黑体" w:eastAsia="黑体" w:cs="黑体"/>
          <w:color w:val="auto"/>
          <w:sz w:val="24"/>
          <w:szCs w:val="24"/>
        </w:rPr>
        <w:t>项目名称、供应商名称。若正本、副本以及电子文档分别进行密封的，还应在封套上注明“正本”、“副本”、“电子文档”字样。</w:t>
      </w:r>
    </w:p>
    <w:p w14:paraId="328495AC">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2.所有投标文件的包装或装袋的封面上应注明项目名称、项目号、所投分包号（在项目有两个及以上分包时应注明所投分包号）、投标人名称及地址、“正本”（并标明份数）、“副本”（并标明份数）、“不准提前启封”、“投标文件”字样。封口处进行密封。</w:t>
      </w:r>
    </w:p>
    <w:p w14:paraId="24039106">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3.本项目不接受邮递投标。</w:t>
      </w:r>
    </w:p>
    <w:p w14:paraId="1B13786E">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4.如果未按上述规定进行密封和标记，采购机构对投标文件误投、丢失或提前拆封不负责任。</w:t>
      </w:r>
    </w:p>
    <w:p w14:paraId="089A4AC7">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5.如果采购文件要求必须提交的相关原件，原件应单独装袋（可以不进行密封），但应在装袋上标明“相关原件”及公司的名称。</w:t>
      </w:r>
    </w:p>
    <w:p w14:paraId="1F21ED06">
      <w:pPr>
        <w:kinsoku/>
        <w:overflowPunct/>
        <w:topLinePunct w:val="0"/>
        <w:autoSpaceDE/>
        <w:autoSpaceDN/>
        <w:bidi w:val="0"/>
        <w:adjustRightInd/>
        <w:snapToGrid w:val="0"/>
        <w:spacing w:line="480" w:lineRule="exact"/>
        <w:ind w:firstLine="480" w:firstLineChars="200"/>
        <w:rPr>
          <w:rFonts w:hint="eastAsia" w:ascii="黑体" w:hAnsi="黑体" w:eastAsia="黑体" w:cs="黑体"/>
          <w:b w:val="0"/>
          <w:bCs w:val="0"/>
          <w:color w:val="auto"/>
          <w:sz w:val="24"/>
          <w:szCs w:val="24"/>
        </w:rPr>
      </w:pPr>
      <w:bookmarkStart w:id="139" w:name="_Toc474603940"/>
      <w:r>
        <w:rPr>
          <w:rFonts w:hint="eastAsia" w:ascii="黑体" w:hAnsi="黑体" w:eastAsia="黑体" w:cs="黑体"/>
          <w:b w:val="0"/>
          <w:bCs w:val="0"/>
          <w:color w:val="auto"/>
          <w:sz w:val="24"/>
          <w:szCs w:val="24"/>
        </w:rPr>
        <w:t>（</w:t>
      </w:r>
      <w:r>
        <w:rPr>
          <w:rFonts w:hint="eastAsia" w:ascii="黑体" w:hAnsi="黑体" w:eastAsia="黑体" w:cs="黑体"/>
          <w:b w:val="0"/>
          <w:bCs w:val="0"/>
          <w:color w:val="auto"/>
          <w:sz w:val="24"/>
          <w:szCs w:val="24"/>
          <w:lang w:eastAsia="zh-CN"/>
        </w:rPr>
        <w:t>七</w:t>
      </w:r>
      <w:r>
        <w:rPr>
          <w:rFonts w:hint="eastAsia" w:ascii="黑体" w:hAnsi="黑体" w:eastAsia="黑体" w:cs="黑体"/>
          <w:b w:val="0"/>
          <w:bCs w:val="0"/>
          <w:color w:val="auto"/>
          <w:sz w:val="24"/>
          <w:szCs w:val="24"/>
        </w:rPr>
        <w:t>）供应商参与人员</w:t>
      </w:r>
      <w:bookmarkEnd w:id="139"/>
    </w:p>
    <w:p w14:paraId="3FF564B2">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各个供应商应当派1-2名代表参与</w:t>
      </w:r>
      <w:r>
        <w:rPr>
          <w:rFonts w:hint="eastAsia" w:ascii="黑体" w:hAnsi="黑体" w:eastAsia="黑体" w:cs="黑体"/>
          <w:color w:val="auto"/>
          <w:sz w:val="24"/>
          <w:szCs w:val="24"/>
          <w:lang w:eastAsia="zh-CN"/>
        </w:rPr>
        <w:t>开标</w:t>
      </w:r>
      <w:r>
        <w:rPr>
          <w:rFonts w:hint="eastAsia" w:ascii="黑体" w:hAnsi="黑体" w:eastAsia="黑体" w:cs="黑体"/>
          <w:color w:val="auto"/>
          <w:sz w:val="24"/>
          <w:szCs w:val="24"/>
        </w:rPr>
        <w:t>，至少1人应为法定代表人或具有法定代表人授权委托书的授权代表。</w:t>
      </w:r>
    </w:p>
    <w:p w14:paraId="5EB71032">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color w:val="auto"/>
          <w:sz w:val="24"/>
          <w:szCs w:val="24"/>
        </w:rPr>
      </w:pPr>
      <w:bookmarkStart w:id="140" w:name="_Toc31017"/>
      <w:r>
        <w:rPr>
          <w:rFonts w:hint="eastAsia" w:ascii="黑体" w:hAnsi="黑体" w:eastAsia="黑体" w:cs="黑体"/>
          <w:color w:val="auto"/>
          <w:sz w:val="24"/>
          <w:szCs w:val="24"/>
        </w:rPr>
        <w:t>四、成交供应商的确认和变更</w:t>
      </w:r>
      <w:bookmarkEnd w:id="140"/>
    </w:p>
    <w:p w14:paraId="292D21B5">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（一）成交供应商的确认</w:t>
      </w:r>
    </w:p>
    <w:p w14:paraId="44AC0324">
      <w:pPr>
        <w:pageBreakBefore w:val="0"/>
        <w:widowControl w:val="0"/>
        <w:kinsoku/>
        <w:wordWrap/>
        <w:overflowPunct/>
        <w:topLinePunct w:val="0"/>
        <w:autoSpaceDE/>
        <w:autoSpaceDN/>
        <w:bidi w:val="0"/>
        <w:snapToGrid w:val="0"/>
        <w:spacing w:line="440" w:lineRule="exact"/>
        <w:ind w:firstLine="480" w:firstLineChars="200"/>
        <w:jc w:val="lef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采购代理机构应当在评审结束后2个工作日内将评审报告送采购人确认。采购人应当在收到评审报告后5个工作日内，从评审报告提出的成交候选</w:t>
      </w:r>
      <w:r>
        <w:rPr>
          <w:rFonts w:hint="eastAsia" w:ascii="黑体" w:hAnsi="黑体" w:eastAsia="黑体" w:cs="黑体"/>
          <w:color w:val="auto"/>
          <w:sz w:val="24"/>
          <w:szCs w:val="24"/>
          <w:lang w:eastAsia="zh-CN"/>
        </w:rPr>
        <w:t>人</w:t>
      </w:r>
      <w:r>
        <w:rPr>
          <w:rFonts w:hint="eastAsia" w:ascii="黑体" w:hAnsi="黑体" w:eastAsia="黑体" w:cs="黑体"/>
          <w:color w:val="auto"/>
          <w:sz w:val="24"/>
          <w:szCs w:val="24"/>
        </w:rPr>
        <w:t>中，根据质量和服务均能满足采购文件实质性响应要求且报价最低的原则确定成交供应商，，也可以书面授权评审</w:t>
      </w:r>
      <w:r>
        <w:rPr>
          <w:rFonts w:hint="eastAsia" w:ascii="黑体" w:hAnsi="黑体" w:eastAsia="黑体" w:cs="黑体"/>
          <w:color w:val="auto"/>
          <w:sz w:val="24"/>
          <w:szCs w:val="24"/>
          <w:lang w:eastAsia="zh-CN"/>
        </w:rPr>
        <w:t>小组</w:t>
      </w:r>
      <w:r>
        <w:rPr>
          <w:rFonts w:hint="eastAsia" w:ascii="黑体" w:hAnsi="黑体" w:eastAsia="黑体" w:cs="黑体"/>
          <w:color w:val="auto"/>
          <w:sz w:val="24"/>
          <w:szCs w:val="24"/>
        </w:rPr>
        <w:t>直接确定成交供应商。采购人逾期未确定成交供应商且不提出异议的，视为确定评审报告提出的报价最低的供应商为成交供应商。</w:t>
      </w:r>
    </w:p>
    <w:p w14:paraId="20B76007">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（二）成交供应商的变更</w:t>
      </w:r>
    </w:p>
    <w:p w14:paraId="340995D6">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1.成交供应商拒绝签订政府采购合同的，采购人可以按照评审报告推荐的成交候选人顺序，确定排名下一位的候选人为成交供应商，也可以重新开展采购活动。拒绝签订采购合同的成交供应商不得参加对该项目重新开展的采购活动。</w:t>
      </w:r>
    </w:p>
    <w:p w14:paraId="65434A64">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2.成交供应商无充分理由放弃成交的，采购人将会同采购代理机构把相关情况报财政部门，财政部门将根据相关法律法规的规定对违规供应商进行处罚。</w:t>
      </w:r>
    </w:p>
    <w:p w14:paraId="708479EE">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color w:val="auto"/>
          <w:sz w:val="24"/>
          <w:szCs w:val="24"/>
        </w:rPr>
      </w:pPr>
      <w:bookmarkStart w:id="141" w:name="_Toc102227321"/>
      <w:bookmarkStart w:id="142" w:name="_Toc342913395"/>
      <w:bookmarkStart w:id="143" w:name="_Toc9878"/>
      <w:r>
        <w:rPr>
          <w:rFonts w:hint="eastAsia" w:ascii="黑体" w:hAnsi="黑体" w:eastAsia="黑体" w:cs="黑体"/>
          <w:color w:val="auto"/>
          <w:sz w:val="24"/>
          <w:szCs w:val="24"/>
        </w:rPr>
        <w:t>五、成交通知</w:t>
      </w:r>
      <w:bookmarkEnd w:id="141"/>
      <w:bookmarkEnd w:id="142"/>
      <w:bookmarkEnd w:id="143"/>
    </w:p>
    <w:p w14:paraId="2C3F2318">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（一）成交供应商确定后，采购人在《文旅集团》(http://www.dzxfjt.cn/)上发布成交结果公告。结果公告期限为1个工作日。</w:t>
      </w:r>
    </w:p>
    <w:p w14:paraId="2F708BE8">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（二）结果公告期结束后，采购代理机构将以书面形式发出《成交通知书》。《成交通知书》一经发出即发生法律效力。</w:t>
      </w:r>
    </w:p>
    <w:p w14:paraId="3D84EF39">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（三）《成交通知书》将作为签订合同的依据。</w:t>
      </w:r>
    </w:p>
    <w:p w14:paraId="21E921FA">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（四）如有供应商对成交结果提出质疑的，在质疑处理完毕后发出成交通知书。</w:t>
      </w:r>
    </w:p>
    <w:p w14:paraId="6FFA16E5">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color w:val="auto"/>
          <w:sz w:val="24"/>
          <w:szCs w:val="24"/>
        </w:rPr>
      </w:pPr>
      <w:bookmarkStart w:id="144" w:name="_Toc15522"/>
      <w:r>
        <w:rPr>
          <w:rFonts w:hint="eastAsia" w:ascii="黑体" w:hAnsi="黑体" w:eastAsia="黑体" w:cs="黑体"/>
          <w:color w:val="auto"/>
          <w:sz w:val="24"/>
          <w:szCs w:val="24"/>
        </w:rPr>
        <w:t>六、关于质疑和投诉</w:t>
      </w:r>
      <w:bookmarkEnd w:id="144"/>
    </w:p>
    <w:p w14:paraId="0DCA9B1D">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（一）质疑</w:t>
      </w:r>
    </w:p>
    <w:p w14:paraId="56DD020D">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供应商认为比选文件、采购过程和成交结果使自己的权益收到伤害的，可向采购人或采购代理机构以书面形式提出质疑。</w:t>
      </w:r>
    </w:p>
    <w:p w14:paraId="19FE39DE">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提出质疑的应当是参与所质疑项目采购活动的供应商。</w:t>
      </w:r>
    </w:p>
    <w:p w14:paraId="0D06BDE7">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1.质疑内容、时限</w:t>
      </w:r>
    </w:p>
    <w:p w14:paraId="348F7059">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1.1供应商认为比选文件、采购过程、成交结果使自己的权益受到损害的，可以在知道或者应知其权益受到损害之日起7个工作日内，以书面形式向采购人、采购代理机构提出质疑。</w:t>
      </w:r>
    </w:p>
    <w:p w14:paraId="30A632BB">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1.2 供应商提出质疑应当提交质疑函和必要的证明材料，质疑函应当包括下列内容：</w:t>
      </w:r>
    </w:p>
    <w:p w14:paraId="3B130DCD">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（1）供应商的姓名或者名称、地址、邮编、联系人及联系电话；</w:t>
      </w:r>
    </w:p>
    <w:p w14:paraId="46101676">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（2）质疑项目的名称、项目号以及招标项目编号；</w:t>
      </w:r>
    </w:p>
    <w:p w14:paraId="7F9BFFA8">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（3）具体、明确的质疑事项和与质疑事项相关的请求；</w:t>
      </w:r>
    </w:p>
    <w:p w14:paraId="5EC2BF6B">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（4）事实依据；</w:t>
      </w:r>
    </w:p>
    <w:p w14:paraId="6B7298F5">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（5）必要的法律依据；</w:t>
      </w:r>
    </w:p>
    <w:p w14:paraId="4CE4E715">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（6）提出质疑的日期；</w:t>
      </w:r>
    </w:p>
    <w:p w14:paraId="7E1ECFC3">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（7）营业执照（或事业单位法人证书，或个体工商户营业执照或有效的自然人身份证明、组织机构代码证）复印件；</w:t>
      </w:r>
    </w:p>
    <w:p w14:paraId="136E434E">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（8）法定代表人授权委托书原件、法定代表人身份证复印件和其授权代表的身份证复印件（供应商为自然人的提供自然人身份证复印件）；</w:t>
      </w:r>
    </w:p>
    <w:p w14:paraId="2EDAD1A0">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1.3 供应商为自然人的，质疑函应当由本人签字；供应商为法人或者其他组织的，质疑函应当由法定代表人、主要负责人，或者其授权代表签字和盖章，并加盖公章。</w:t>
      </w:r>
    </w:p>
    <w:p w14:paraId="0C379442">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2.质疑答复</w:t>
      </w:r>
    </w:p>
    <w:p w14:paraId="12108A74">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采购人、采购代理机构应当在收到供应商的书面质疑后七个工作日内作出答复，并以书面形式通知质疑供应商和其他有关供应商。</w:t>
      </w:r>
    </w:p>
    <w:p w14:paraId="21F5DB1E">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3.其他</w:t>
      </w:r>
    </w:p>
    <w:p w14:paraId="0249F4AA">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3.1 供应商应按照《政府采购质疑和投诉办法》（财政部令第94号）及相关法律法规要求，在法定质疑期内一次性提出针对同一采购程序环节的质疑。</w:t>
      </w:r>
    </w:p>
    <w:p w14:paraId="23440DD4">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3.2 质疑函范本可在财政部门户网站和中国政府采购网下载。</w:t>
      </w:r>
    </w:p>
    <w:p w14:paraId="506C06CF">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（二）投诉</w:t>
      </w:r>
    </w:p>
    <w:p w14:paraId="6666BA81">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1.供应商对采购人、采购代理机构的答复不满意，或者采购人、采购代理机构未在规定时间内作出答复的，可以在答复期满后15个工作日内按照相关法律法规向财政部门提起投诉。</w:t>
      </w:r>
    </w:p>
    <w:p w14:paraId="20F34122">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2.供应商应按照《政府采购质疑和投诉办法》（财政部令第94号）及相关法律法规要求递交投诉书和必要的证明材料。投诉书范本可在财政部门户网站和中国政府采购网下载。</w:t>
      </w:r>
    </w:p>
    <w:p w14:paraId="43C0D223">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3.投诉书应当使用中文，相关当事人提供外文书证或者外国语视听资料的，应当附有中文译本，由翻译机构盖章或者翻译人员签名；相关当事人向财政部门提供的在中华人民共和国领域外形成的证据，应当说明来源，经所在国公证机关证明，并经中华人民共和国驻该国使领馆认证，或者履行中华人民共和国与证据所在国订立的有关条约中规定的证明手续；相关当事人提供的在香港特别行政区、澳门特别行政区和台湾地区内形成的证据，应当履行相关的证明手续。</w:t>
      </w:r>
    </w:p>
    <w:p w14:paraId="755C5BD6">
      <w:pPr>
        <w:kinsoku/>
        <w:overflowPunct/>
        <w:topLinePunct w:val="0"/>
        <w:autoSpaceDE/>
        <w:autoSpaceDN/>
        <w:bidi w:val="0"/>
        <w:adjustRightInd/>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4.在确定受理投诉后，财政部门自受理投诉之日起30个工作日内（需要检验、检测、鉴定、专家评审以及需要投诉人补正材料的，所需时间不计算在投诉处理期限内）对投诉事项做出处理决定。</w:t>
      </w:r>
    </w:p>
    <w:p w14:paraId="3576D0C0">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color w:val="auto"/>
          <w:sz w:val="24"/>
          <w:szCs w:val="24"/>
        </w:rPr>
      </w:pPr>
      <w:bookmarkStart w:id="145" w:name="_Toc11126"/>
      <w:r>
        <w:rPr>
          <w:rFonts w:hint="eastAsia" w:ascii="黑体" w:hAnsi="黑体" w:eastAsia="黑体" w:cs="黑体"/>
          <w:color w:val="auto"/>
          <w:sz w:val="24"/>
          <w:szCs w:val="24"/>
        </w:rPr>
        <w:t>七、采购代理服务费</w:t>
      </w:r>
      <w:bookmarkEnd w:id="145"/>
    </w:p>
    <w:p w14:paraId="39BBC8D5">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（一）采购代理服务费标准</w:t>
      </w:r>
    </w:p>
    <w:p w14:paraId="490D7E08">
      <w:pPr>
        <w:spacing w:line="440" w:lineRule="exact"/>
        <w:ind w:firstLine="480" w:firstLineChars="200"/>
        <w:rPr>
          <w:rFonts w:hint="eastAsia" w:ascii="黑体" w:hAnsi="黑体" w:eastAsia="黑体" w:cs="黑体"/>
          <w:color w:val="000000" w:themeColor="text1"/>
          <w:sz w:val="24"/>
          <w:szCs w:val="24"/>
          <w:highlight w:val="none"/>
          <w:lang w:eastAsia="zh-CN"/>
          <w14:textFill>
            <w14:solidFill>
              <w14:schemeClr w14:val="tx1"/>
            </w14:solidFill>
          </w14:textFill>
        </w:rPr>
      </w:pPr>
      <w:bookmarkStart w:id="146" w:name="_Toc102227322"/>
      <w:bookmarkStart w:id="147" w:name="_Toc142570705"/>
      <w:bookmarkStart w:id="148" w:name="_Toc342913396"/>
      <w:bookmarkStart w:id="149" w:name="_Toc11641055"/>
      <w:bookmarkStart w:id="150" w:name="_Toc12789059"/>
      <w:r>
        <w:rPr>
          <w:rFonts w:hint="eastAsia" w:ascii="黑体" w:hAnsi="黑体" w:eastAsia="黑体" w:cs="黑体"/>
          <w:sz w:val="24"/>
        </w:rPr>
        <w:t>1、代理服务计算方式：</w:t>
      </w:r>
      <w:r>
        <w:rPr>
          <w:rFonts w:hint="eastAsia" w:ascii="黑体" w:hAnsi="黑体" w:eastAsia="黑体" w:cs="黑体"/>
          <w:color w:val="000000" w:themeColor="text1"/>
          <w:sz w:val="24"/>
          <w:highlight w:val="none"/>
          <w:lang w:val="en-US" w:eastAsia="zh-CN"/>
          <w14:textFill>
            <w14:solidFill>
              <w14:schemeClr w14:val="tx1"/>
            </w14:solidFill>
          </w14:textFill>
        </w:rPr>
        <w:t>以限价为基数，按</w:t>
      </w:r>
      <w:r>
        <w:rPr>
          <w:rStyle w:val="14"/>
          <w:rFonts w:hint="eastAsia" w:ascii="黑体" w:hAnsi="黑体" w:eastAsia="黑体" w:cs="黑体"/>
          <w:b w:val="0"/>
          <w:bCs w:val="0"/>
          <w:color w:val="000000" w:themeColor="text1"/>
          <w:sz w:val="24"/>
          <w:szCs w:val="24"/>
          <w:highlight w:val="none"/>
          <w14:textFill>
            <w14:solidFill>
              <w14:schemeClr w14:val="tx1"/>
            </w14:solidFill>
          </w14:textFill>
        </w:rPr>
        <w:t>〔20</w:t>
      </w:r>
      <w:r>
        <w:rPr>
          <w:rStyle w:val="14"/>
          <w:rFonts w:hint="eastAsia" w:ascii="黑体" w:hAnsi="黑体" w:eastAsia="黑体" w:cs="黑体"/>
          <w:b w:val="0"/>
          <w:bCs w:val="0"/>
          <w:color w:val="000000" w:themeColor="text1"/>
          <w:sz w:val="24"/>
          <w:szCs w:val="24"/>
          <w:highlight w:val="none"/>
          <w:lang w:val="en-US" w:eastAsia="zh-CN"/>
          <w14:textFill>
            <w14:solidFill>
              <w14:schemeClr w14:val="tx1"/>
            </w14:solidFill>
          </w14:textFill>
        </w:rPr>
        <w:t>02</w:t>
      </w:r>
      <w:r>
        <w:rPr>
          <w:rStyle w:val="14"/>
          <w:rFonts w:hint="eastAsia" w:ascii="黑体" w:hAnsi="黑体" w:eastAsia="黑体" w:cs="黑体"/>
          <w:b w:val="0"/>
          <w:bCs w:val="0"/>
          <w:color w:val="000000" w:themeColor="text1"/>
          <w:sz w:val="24"/>
          <w:szCs w:val="24"/>
          <w:highlight w:val="none"/>
          <w14:textFill>
            <w14:solidFill>
              <w14:schemeClr w14:val="tx1"/>
            </w14:solidFill>
          </w14:textFill>
        </w:rPr>
        <w:t>〕</w:t>
      </w:r>
      <w:r>
        <w:rPr>
          <w:rStyle w:val="14"/>
          <w:rFonts w:hint="eastAsia" w:ascii="黑体" w:hAnsi="黑体" w:eastAsia="黑体" w:cs="黑体"/>
          <w:b w:val="0"/>
          <w:bCs w:val="0"/>
          <w:color w:val="000000" w:themeColor="text1"/>
          <w:sz w:val="24"/>
          <w:szCs w:val="24"/>
          <w:highlight w:val="none"/>
          <w:lang w:val="en-US" w:eastAsia="zh-CN"/>
          <w14:textFill>
            <w14:solidFill>
              <w14:schemeClr w14:val="tx1"/>
            </w14:solidFill>
          </w14:textFill>
        </w:rPr>
        <w:t>1980</w:t>
      </w:r>
      <w:r>
        <w:rPr>
          <w:rStyle w:val="14"/>
          <w:rFonts w:hint="eastAsia" w:ascii="黑体" w:hAnsi="黑体" w:eastAsia="黑体" w:cs="黑体"/>
          <w:b w:val="0"/>
          <w:bCs w:val="0"/>
          <w:color w:val="000000" w:themeColor="text1"/>
          <w:sz w:val="24"/>
          <w:szCs w:val="24"/>
          <w:highlight w:val="none"/>
          <w14:textFill>
            <w14:solidFill>
              <w14:schemeClr w14:val="tx1"/>
            </w14:solidFill>
          </w14:textFill>
        </w:rPr>
        <w:t>号</w:t>
      </w:r>
      <w:r>
        <w:rPr>
          <w:rFonts w:hint="eastAsia" w:ascii="黑体" w:hAnsi="黑体" w:eastAsia="黑体" w:cs="黑体"/>
          <w:b w:val="0"/>
          <w:bCs w:val="0"/>
          <w:color w:val="000000" w:themeColor="text1"/>
          <w:sz w:val="24"/>
          <w:szCs w:val="24"/>
          <w:highlight w:val="none"/>
          <w14:textFill>
            <w14:solidFill>
              <w14:schemeClr w14:val="tx1"/>
            </w14:solidFill>
          </w14:textFill>
        </w:rPr>
        <w:t>）</w:t>
      </w:r>
      <w:r>
        <w:rPr>
          <w:rFonts w:hint="eastAsia" w:ascii="黑体" w:hAnsi="黑体" w:eastAsia="黑体" w:cs="黑体"/>
          <w:color w:val="000000" w:themeColor="text1"/>
          <w:sz w:val="24"/>
          <w:szCs w:val="24"/>
          <w:highlight w:val="none"/>
          <w14:textFill>
            <w14:solidFill>
              <w14:schemeClr w14:val="tx1"/>
            </w14:solidFill>
          </w14:textFill>
        </w:rPr>
        <w:t>计取</w:t>
      </w:r>
      <w:r>
        <w:rPr>
          <w:rFonts w:hint="eastAsia" w:ascii="黑体" w:hAnsi="黑体" w:eastAsia="黑体" w:cs="黑体"/>
          <w:color w:val="000000" w:themeColor="text1"/>
          <w:sz w:val="24"/>
          <w:highlight w:val="none"/>
          <w14:textFill>
            <w14:solidFill>
              <w14:schemeClr w14:val="tx1"/>
            </w14:solidFill>
          </w14:textFill>
        </w:rPr>
        <w:t>。</w:t>
      </w:r>
      <w:r>
        <w:rPr>
          <w:rFonts w:hint="eastAsia" w:ascii="黑体" w:hAnsi="黑体" w:eastAsia="黑体" w:cs="黑体"/>
          <w:color w:val="000000" w:themeColor="text1"/>
          <w:sz w:val="24"/>
          <w:szCs w:val="24"/>
          <w:highlight w:val="none"/>
          <w:lang w:eastAsia="zh-CN"/>
          <w14:textFill>
            <w14:solidFill>
              <w14:schemeClr w14:val="tx1"/>
            </w14:solidFill>
          </w14:textFill>
        </w:rPr>
        <w:t>成交供应商</w:t>
      </w:r>
      <w:r>
        <w:rPr>
          <w:rFonts w:hint="eastAsia" w:ascii="黑体" w:hAnsi="黑体" w:eastAsia="黑体" w:cs="黑体"/>
          <w:color w:val="000000" w:themeColor="text1"/>
          <w:sz w:val="24"/>
          <w:szCs w:val="24"/>
          <w:highlight w:val="none"/>
          <w14:textFill>
            <w14:solidFill>
              <w14:schemeClr w14:val="tx1"/>
            </w14:solidFill>
          </w14:textFill>
        </w:rPr>
        <w:t>在领取</w:t>
      </w:r>
      <w:r>
        <w:rPr>
          <w:rFonts w:hint="eastAsia" w:ascii="黑体" w:hAnsi="黑体" w:eastAsia="黑体" w:cs="黑体"/>
          <w:color w:val="000000" w:themeColor="text1"/>
          <w:sz w:val="24"/>
          <w:szCs w:val="24"/>
          <w:highlight w:val="none"/>
          <w:lang w:eastAsia="zh-CN"/>
          <w14:textFill>
            <w14:solidFill>
              <w14:schemeClr w14:val="tx1"/>
            </w14:solidFill>
          </w14:textFill>
        </w:rPr>
        <w:t>成交</w:t>
      </w:r>
      <w:r>
        <w:rPr>
          <w:rFonts w:hint="eastAsia" w:ascii="黑体" w:hAnsi="黑体" w:eastAsia="黑体" w:cs="黑体"/>
          <w:color w:val="000000" w:themeColor="text1"/>
          <w:sz w:val="24"/>
          <w:szCs w:val="24"/>
          <w:highlight w:val="none"/>
          <w14:textFill>
            <w14:solidFill>
              <w14:schemeClr w14:val="tx1"/>
            </w14:solidFill>
          </w14:textFill>
        </w:rPr>
        <w:t>通知书前向采购代理机构一次性支付采购代理服务费</w:t>
      </w:r>
      <w:r>
        <w:rPr>
          <w:rFonts w:hint="eastAsia" w:ascii="黑体" w:hAnsi="黑体" w:eastAsia="黑体" w:cs="黑体"/>
          <w:color w:val="000000" w:themeColor="text1"/>
          <w:sz w:val="24"/>
          <w:szCs w:val="24"/>
          <w:highlight w:val="none"/>
          <w:lang w:eastAsia="zh-CN"/>
          <w14:textFill>
            <w14:solidFill>
              <w14:schemeClr w14:val="tx1"/>
            </w14:solidFill>
          </w14:textFill>
        </w:rPr>
        <w:t>。</w:t>
      </w:r>
    </w:p>
    <w:tbl>
      <w:tblPr>
        <w:tblStyle w:val="12"/>
        <w:tblpPr w:leftFromText="180" w:rightFromText="180" w:vertAnchor="text" w:horzAnchor="page" w:tblpX="1159" w:tblpY="291"/>
        <w:tblOverlap w:val="never"/>
        <w:tblW w:w="9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20"/>
        <w:gridCol w:w="1550"/>
        <w:gridCol w:w="1517"/>
        <w:gridCol w:w="1491"/>
        <w:gridCol w:w="1767"/>
      </w:tblGrid>
      <w:tr w14:paraId="114D6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3420" w:type="dxa"/>
            <w:tcBorders>
              <w:tl2br w:val="single" w:color="auto" w:sz="4" w:space="0"/>
            </w:tcBorders>
          </w:tcPr>
          <w:p w14:paraId="3E9B1047">
            <w:pPr>
              <w:keepNext w:val="0"/>
              <w:keepLines w:val="0"/>
              <w:suppressLineNumbers w:val="0"/>
              <w:spacing w:before="0" w:beforeAutospacing="0" w:after="0" w:afterAutospacing="0" w:line="240" w:lineRule="atLeast"/>
              <w:ind w:left="0" w:right="0"/>
              <w:jc w:val="right"/>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-6350</wp:posOffset>
                      </wp:positionV>
                      <wp:extent cx="635" cy="635"/>
                      <wp:effectExtent l="0" t="0" r="0" b="0"/>
                      <wp:wrapNone/>
                      <wp:docPr id="419654496" name="直接连接符 1"/>
                      <wp:cNvGraphicFramePr/>
                      <a:graphic xmlns:a="http://schemas.openxmlformats.org/drawingml/2006/main">
                        <a:graphicData uri="http://schemas.microsoft.com/office/word/2010/wordprocessingShape">
                          <wps:wsp>
                            <wps:cNvCnPr/>
                            <wps:spPr>
                              <a:xfrm>
                                <a:off x="0" y="0"/>
                                <a:ext cx="63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接连接符 1" o:spid="_x0000_s1026" o:spt="20" style="position:absolute;left:0pt;margin-left:-9pt;margin-top:-0.5pt;height:0.05pt;width:0.05pt;z-index:251659264;mso-width-relative:page;mso-height-relative:page;" filled="f" stroked="t" coordsize="21600,21600" o:allowincell="f" o:gfxdata="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8++YPWAAAACAEAAA8AAAAAAAAAAQAgAAAAIgAAAGRycy9kb3ducmV2LnhtbFBLAQIUABQAAAAI&#10;AIdO4kAQ2ESc7wEAAN4DAAAOAAAAAAAAAAEAIAAAACUBAABkcnMvZTJvRG9jLnhtbFBLBQYAAAAA&#10;BgAGAFkBAACGBQAAAAA=&#10;">
                      <v:fill on="f" focussize="0,0"/>
                      <v:stroke color="#000000" joinstyle="round"/>
                      <v:imagedata o:title=""/>
                      <o:lock v:ext="edit" aspectratio="f"/>
                    </v:line>
                  </w:pict>
                </mc:Fallback>
              </mc:AlternateContent>
            </w:r>
            <w:r>
              <w:rPr>
                <w:rFonts w:hint="eastAsia" w:ascii="黑体" w:hAnsi="黑体" w:eastAsia="黑体" w:cs="黑体"/>
                <w:color w:val="000000" w:themeColor="text1"/>
                <w:sz w:val="24"/>
                <w:szCs w:val="24"/>
                <w:highlight w:val="none"/>
                <w:lang w:eastAsia="zh-CN"/>
                <w14:textFill>
                  <w14:solidFill>
                    <w14:schemeClr w14:val="tx1"/>
                  </w14:solidFill>
                </w14:textFill>
              </w:rPr>
              <w:t>采购</w:t>
            </w:r>
            <w:r>
              <w:rPr>
                <w:rFonts w:hint="eastAsia" w:ascii="黑体" w:hAnsi="黑体" w:eastAsia="黑体" w:cs="黑体"/>
                <w:color w:val="000000" w:themeColor="text1"/>
                <w:sz w:val="24"/>
                <w:szCs w:val="24"/>
                <w:highlight w:val="none"/>
                <w14:textFill>
                  <w14:solidFill>
                    <w14:schemeClr w14:val="tx1"/>
                  </w14:solidFill>
                </w14:textFill>
              </w:rPr>
              <w:t>类型</w:t>
            </w:r>
          </w:p>
          <w:p w14:paraId="671AD7BF">
            <w:pPr>
              <w:keepNext w:val="0"/>
              <w:keepLines w:val="0"/>
              <w:suppressLineNumbers w:val="0"/>
              <w:spacing w:before="0" w:beforeAutospacing="0" w:after="0" w:afterAutospacing="0" w:line="240" w:lineRule="atLeast"/>
              <w:ind w:left="0" w:right="0"/>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中标金额（万元）</w:t>
            </w:r>
          </w:p>
        </w:tc>
        <w:tc>
          <w:tcPr>
            <w:tcW w:w="1550" w:type="dxa"/>
            <w:vAlign w:val="center"/>
          </w:tcPr>
          <w:p w14:paraId="54F59EB8">
            <w:pPr>
              <w:keepNext w:val="0"/>
              <w:keepLines w:val="0"/>
              <w:suppressLineNumbers w:val="0"/>
              <w:spacing w:before="0" w:beforeAutospacing="0" w:after="0" w:afterAutospacing="0" w:line="240" w:lineRule="atLeast"/>
              <w:ind w:left="0" w:right="0"/>
              <w:jc w:val="center"/>
              <w:rPr>
                <w:rFonts w:hint="eastAsia" w:ascii="黑体" w:hAnsi="黑体" w:eastAsia="黑体" w:cs="黑体"/>
                <w:color w:val="000000" w:themeColor="text1"/>
                <w:sz w:val="24"/>
                <w:szCs w:val="24"/>
                <w:highlight w:val="none"/>
                <w:lang w:eastAsia="zh-CN"/>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货物</w:t>
            </w:r>
            <w:r>
              <w:rPr>
                <w:rFonts w:hint="eastAsia" w:ascii="黑体" w:hAnsi="黑体" w:eastAsia="黑体" w:cs="黑体"/>
                <w:color w:val="000000" w:themeColor="text1"/>
                <w:sz w:val="24"/>
                <w:szCs w:val="24"/>
                <w:highlight w:val="none"/>
                <w:lang w:eastAsia="zh-CN"/>
                <w14:textFill>
                  <w14:solidFill>
                    <w14:schemeClr w14:val="tx1"/>
                  </w14:solidFill>
                </w14:textFill>
              </w:rPr>
              <w:t>采购</w:t>
            </w:r>
          </w:p>
        </w:tc>
        <w:tc>
          <w:tcPr>
            <w:tcW w:w="1517" w:type="dxa"/>
            <w:vAlign w:val="center"/>
          </w:tcPr>
          <w:p w14:paraId="3F1C8F04">
            <w:pPr>
              <w:keepNext w:val="0"/>
              <w:keepLines w:val="0"/>
              <w:suppressLineNumbers w:val="0"/>
              <w:spacing w:before="0" w:beforeAutospacing="0" w:after="0" w:afterAutospacing="0" w:line="240" w:lineRule="atLeast"/>
              <w:ind w:left="0" w:right="0"/>
              <w:jc w:val="center"/>
              <w:rPr>
                <w:rFonts w:hint="eastAsia" w:ascii="黑体" w:hAnsi="黑体" w:eastAsia="黑体" w:cs="黑体"/>
                <w:color w:val="000000" w:themeColor="text1"/>
                <w:sz w:val="24"/>
                <w:szCs w:val="24"/>
                <w:highlight w:val="none"/>
                <w:lang w:eastAsia="zh-CN"/>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服务</w:t>
            </w:r>
            <w:r>
              <w:rPr>
                <w:rFonts w:hint="eastAsia" w:ascii="黑体" w:hAnsi="黑体" w:eastAsia="黑体" w:cs="黑体"/>
                <w:color w:val="000000" w:themeColor="text1"/>
                <w:sz w:val="24"/>
                <w:szCs w:val="24"/>
                <w:highlight w:val="none"/>
                <w:lang w:eastAsia="zh-CN"/>
                <w14:textFill>
                  <w14:solidFill>
                    <w14:schemeClr w14:val="tx1"/>
                  </w14:solidFill>
                </w14:textFill>
              </w:rPr>
              <w:t>采购</w:t>
            </w:r>
          </w:p>
        </w:tc>
        <w:tc>
          <w:tcPr>
            <w:tcW w:w="1491" w:type="dxa"/>
            <w:vAlign w:val="center"/>
          </w:tcPr>
          <w:p w14:paraId="67F860FD">
            <w:pPr>
              <w:pStyle w:val="19"/>
              <w:keepNext w:val="0"/>
              <w:keepLines w:val="0"/>
              <w:widowControl w:val="0"/>
              <w:suppressLineNumbers w:val="0"/>
              <w:pBdr>
                <w:left w:val="none" w:color="auto" w:sz="0" w:space="0"/>
                <w:right w:val="none" w:color="auto" w:sz="0" w:space="0"/>
              </w:pBdr>
              <w:spacing w:before="0" w:beforeAutospacing="0" w:after="0" w:afterAutospacing="0" w:line="240" w:lineRule="atLeast"/>
              <w:ind w:left="0" w:right="0"/>
              <w:rPr>
                <w:rFonts w:hint="eastAsia" w:ascii="黑体" w:hAnsi="黑体" w:eastAsia="黑体" w:cs="黑体"/>
                <w:color w:val="000000" w:themeColor="text1"/>
                <w:kern w:val="2"/>
                <w:sz w:val="24"/>
                <w:szCs w:val="24"/>
                <w:highlight w:val="none"/>
                <w:lang w:eastAsia="zh-CN"/>
                <w14:textFill>
                  <w14:solidFill>
                    <w14:schemeClr w14:val="tx1"/>
                  </w14:solidFill>
                </w14:textFill>
              </w:rPr>
            </w:pPr>
            <w:r>
              <w:rPr>
                <w:rFonts w:hint="eastAsia" w:ascii="黑体" w:hAnsi="黑体" w:eastAsia="黑体" w:cs="黑体"/>
                <w:color w:val="000000" w:themeColor="text1"/>
                <w:kern w:val="2"/>
                <w:sz w:val="24"/>
                <w:szCs w:val="24"/>
                <w:highlight w:val="none"/>
                <w14:textFill>
                  <w14:solidFill>
                    <w14:schemeClr w14:val="tx1"/>
                  </w14:solidFill>
                </w14:textFill>
              </w:rPr>
              <w:t>工程</w:t>
            </w:r>
            <w:r>
              <w:rPr>
                <w:rFonts w:hint="eastAsia" w:ascii="黑体" w:hAnsi="黑体" w:eastAsia="黑体" w:cs="黑体"/>
                <w:color w:val="000000" w:themeColor="text1"/>
                <w:kern w:val="2"/>
                <w:sz w:val="24"/>
                <w:szCs w:val="24"/>
                <w:highlight w:val="none"/>
                <w:lang w:eastAsia="zh-CN"/>
                <w14:textFill>
                  <w14:solidFill>
                    <w14:schemeClr w14:val="tx1"/>
                  </w14:solidFill>
                </w14:textFill>
              </w:rPr>
              <w:t>采购</w:t>
            </w:r>
          </w:p>
        </w:tc>
        <w:tc>
          <w:tcPr>
            <w:tcW w:w="1767" w:type="dxa"/>
            <w:vAlign w:val="center"/>
          </w:tcPr>
          <w:p w14:paraId="27284642">
            <w:pPr>
              <w:pStyle w:val="19"/>
              <w:keepNext w:val="0"/>
              <w:keepLines w:val="0"/>
              <w:widowControl w:val="0"/>
              <w:suppressLineNumbers w:val="0"/>
              <w:pBdr>
                <w:left w:val="none" w:color="auto" w:sz="0" w:space="0"/>
                <w:right w:val="none" w:color="auto" w:sz="0" w:space="0"/>
              </w:pBdr>
              <w:spacing w:before="0" w:beforeAutospacing="0" w:after="0" w:afterAutospacing="0" w:line="240" w:lineRule="atLeast"/>
              <w:ind w:left="0" w:right="0"/>
              <w:rPr>
                <w:rFonts w:hint="eastAsia" w:ascii="黑体" w:hAnsi="黑体" w:eastAsia="黑体" w:cs="黑体"/>
                <w:color w:val="000000" w:themeColor="text1"/>
                <w:kern w:val="2"/>
                <w:sz w:val="24"/>
                <w:szCs w:val="24"/>
                <w:highlight w:val="none"/>
                <w:lang w:eastAsia="zh-CN"/>
                <w14:textFill>
                  <w14:solidFill>
                    <w14:schemeClr w14:val="tx1"/>
                  </w14:solidFill>
                </w14:textFill>
              </w:rPr>
            </w:pPr>
            <w:r>
              <w:rPr>
                <w:rFonts w:hint="eastAsia" w:ascii="黑体" w:hAnsi="黑体" w:eastAsia="黑体" w:cs="黑体"/>
                <w:color w:val="000000" w:themeColor="text1"/>
                <w:kern w:val="2"/>
                <w:sz w:val="24"/>
                <w:szCs w:val="24"/>
                <w:highlight w:val="none"/>
                <w:lang w:eastAsia="zh-CN"/>
                <w14:textFill>
                  <w14:solidFill>
                    <w14:schemeClr w14:val="tx1"/>
                  </w14:solidFill>
                </w14:textFill>
              </w:rPr>
              <w:t>打折调整系数</w:t>
            </w:r>
          </w:p>
        </w:tc>
      </w:tr>
      <w:tr w14:paraId="5A052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20" w:type="dxa"/>
            <w:vAlign w:val="center"/>
          </w:tcPr>
          <w:p w14:paraId="561A64F7">
            <w:pPr>
              <w:keepNext w:val="0"/>
              <w:keepLines w:val="0"/>
              <w:suppressLineNumbers w:val="0"/>
              <w:spacing w:before="0" w:beforeAutospacing="0" w:after="0" w:afterAutospacing="0" w:line="240" w:lineRule="atLeast"/>
              <w:ind w:left="0" w:right="0"/>
              <w:jc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100（含）以下</w:t>
            </w:r>
          </w:p>
        </w:tc>
        <w:tc>
          <w:tcPr>
            <w:tcW w:w="1550" w:type="dxa"/>
            <w:vAlign w:val="center"/>
          </w:tcPr>
          <w:p w14:paraId="586C5BB2">
            <w:pPr>
              <w:keepNext w:val="0"/>
              <w:keepLines w:val="0"/>
              <w:suppressLineNumbers w:val="0"/>
              <w:spacing w:before="0" w:beforeAutospacing="0" w:after="0" w:afterAutospacing="0" w:line="240" w:lineRule="atLeast"/>
              <w:ind w:left="0" w:right="0"/>
              <w:jc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1.5%</w:t>
            </w:r>
          </w:p>
        </w:tc>
        <w:tc>
          <w:tcPr>
            <w:tcW w:w="1517" w:type="dxa"/>
            <w:vAlign w:val="center"/>
          </w:tcPr>
          <w:p w14:paraId="16946099">
            <w:pPr>
              <w:keepNext w:val="0"/>
              <w:keepLines w:val="0"/>
              <w:suppressLineNumbers w:val="0"/>
              <w:spacing w:before="0" w:beforeAutospacing="0" w:after="0" w:afterAutospacing="0" w:line="240" w:lineRule="atLeast"/>
              <w:ind w:left="0" w:right="0"/>
              <w:jc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1.5%</w:t>
            </w:r>
          </w:p>
        </w:tc>
        <w:tc>
          <w:tcPr>
            <w:tcW w:w="1491" w:type="dxa"/>
            <w:vAlign w:val="center"/>
          </w:tcPr>
          <w:p w14:paraId="5ECECB19">
            <w:pPr>
              <w:keepNext w:val="0"/>
              <w:keepLines w:val="0"/>
              <w:suppressLineNumbers w:val="0"/>
              <w:spacing w:before="0" w:beforeAutospacing="0" w:after="0" w:afterAutospacing="0" w:line="240" w:lineRule="atLeast"/>
              <w:ind w:left="0" w:right="0"/>
              <w:jc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1.0%</w:t>
            </w:r>
          </w:p>
        </w:tc>
        <w:tc>
          <w:tcPr>
            <w:tcW w:w="1767" w:type="dxa"/>
            <w:vAlign w:val="center"/>
          </w:tcPr>
          <w:p w14:paraId="281ACEA7">
            <w:pPr>
              <w:keepNext w:val="0"/>
              <w:keepLines w:val="0"/>
              <w:suppressLineNumbers w:val="0"/>
              <w:spacing w:before="0" w:beforeAutospacing="0" w:after="0" w:afterAutospacing="0" w:line="240" w:lineRule="atLeast"/>
              <w:ind w:left="0" w:right="0"/>
              <w:jc w:val="center"/>
              <w:rPr>
                <w:rFonts w:hint="eastAsia" w:ascii="黑体" w:hAnsi="黑体" w:eastAsia="黑体" w:cs="黑体"/>
                <w:color w:val="000000" w:themeColor="text1"/>
                <w:sz w:val="24"/>
                <w:szCs w:val="24"/>
                <w:highlight w:val="none"/>
                <w:lang w:val="en-US" w:eastAsia="zh-CN"/>
                <w14:textFill>
                  <w14:solidFill>
                    <w14:schemeClr w14:val="tx1"/>
                  </w14:solidFill>
                </w14:textFill>
              </w:rPr>
            </w:pPr>
            <w:r>
              <w:rPr>
                <w:rFonts w:hint="eastAsia" w:ascii="黑体" w:hAnsi="黑体" w:eastAsia="黑体" w:cs="黑体"/>
                <w:color w:val="000000" w:themeColor="text1"/>
                <w:sz w:val="24"/>
                <w:szCs w:val="24"/>
                <w:highlight w:val="none"/>
                <w:lang w:val="en-US" w:eastAsia="zh-CN"/>
                <w14:textFill>
                  <w14:solidFill>
                    <w14:schemeClr w14:val="tx1"/>
                  </w14:solidFill>
                </w14:textFill>
              </w:rPr>
              <w:t>70%</w:t>
            </w:r>
          </w:p>
        </w:tc>
      </w:tr>
      <w:tr w14:paraId="55EE9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3420" w:type="dxa"/>
            <w:vAlign w:val="center"/>
          </w:tcPr>
          <w:p w14:paraId="239C7B96">
            <w:pPr>
              <w:keepNext w:val="0"/>
              <w:keepLines w:val="0"/>
              <w:suppressLineNumbers w:val="0"/>
              <w:spacing w:before="0" w:beforeAutospacing="0" w:after="0" w:afterAutospacing="0" w:line="240" w:lineRule="atLeast"/>
              <w:ind w:left="0" w:right="0"/>
              <w:jc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100以上-500</w:t>
            </w:r>
          </w:p>
        </w:tc>
        <w:tc>
          <w:tcPr>
            <w:tcW w:w="1550" w:type="dxa"/>
            <w:vAlign w:val="center"/>
          </w:tcPr>
          <w:p w14:paraId="35180E3B">
            <w:pPr>
              <w:keepNext w:val="0"/>
              <w:keepLines w:val="0"/>
              <w:suppressLineNumbers w:val="0"/>
              <w:spacing w:before="0" w:beforeAutospacing="0" w:after="0" w:afterAutospacing="0" w:line="240" w:lineRule="atLeast"/>
              <w:ind w:left="0" w:right="0"/>
              <w:jc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1.1%</w:t>
            </w:r>
          </w:p>
        </w:tc>
        <w:tc>
          <w:tcPr>
            <w:tcW w:w="1517" w:type="dxa"/>
            <w:vAlign w:val="center"/>
          </w:tcPr>
          <w:p w14:paraId="14B41693">
            <w:pPr>
              <w:keepNext w:val="0"/>
              <w:keepLines w:val="0"/>
              <w:suppressLineNumbers w:val="0"/>
              <w:spacing w:before="0" w:beforeAutospacing="0" w:after="0" w:afterAutospacing="0" w:line="240" w:lineRule="atLeast"/>
              <w:ind w:left="0" w:right="0"/>
              <w:jc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0.8%</w:t>
            </w:r>
          </w:p>
        </w:tc>
        <w:tc>
          <w:tcPr>
            <w:tcW w:w="1491" w:type="dxa"/>
            <w:vAlign w:val="center"/>
          </w:tcPr>
          <w:p w14:paraId="500E8753">
            <w:pPr>
              <w:keepNext w:val="0"/>
              <w:keepLines w:val="0"/>
              <w:suppressLineNumbers w:val="0"/>
              <w:spacing w:before="0" w:beforeAutospacing="0" w:after="0" w:afterAutospacing="0" w:line="240" w:lineRule="atLeast"/>
              <w:ind w:left="0" w:right="0"/>
              <w:jc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0.7%</w:t>
            </w:r>
          </w:p>
        </w:tc>
        <w:tc>
          <w:tcPr>
            <w:tcW w:w="1767" w:type="dxa"/>
            <w:vAlign w:val="center"/>
          </w:tcPr>
          <w:p w14:paraId="1949BE37">
            <w:pPr>
              <w:keepNext w:val="0"/>
              <w:keepLines w:val="0"/>
              <w:suppressLineNumbers w:val="0"/>
              <w:spacing w:before="0" w:beforeAutospacing="0" w:after="0" w:afterAutospacing="0" w:line="240" w:lineRule="atLeast"/>
              <w:ind w:left="0" w:right="0"/>
              <w:jc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lang w:val="en-US" w:eastAsia="zh-CN"/>
                <w14:textFill>
                  <w14:solidFill>
                    <w14:schemeClr w14:val="tx1"/>
                  </w14:solidFill>
                </w14:textFill>
              </w:rPr>
              <w:t>70%</w:t>
            </w:r>
          </w:p>
        </w:tc>
      </w:tr>
      <w:tr w14:paraId="34EA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20" w:type="dxa"/>
            <w:vAlign w:val="center"/>
          </w:tcPr>
          <w:p w14:paraId="43628E0C">
            <w:pPr>
              <w:keepNext w:val="0"/>
              <w:keepLines w:val="0"/>
              <w:suppressLineNumbers w:val="0"/>
              <w:spacing w:before="0" w:beforeAutospacing="0" w:after="0" w:afterAutospacing="0" w:line="240" w:lineRule="atLeast"/>
              <w:ind w:left="0" w:right="0"/>
              <w:jc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500以上-1000</w:t>
            </w:r>
          </w:p>
        </w:tc>
        <w:tc>
          <w:tcPr>
            <w:tcW w:w="1550" w:type="dxa"/>
            <w:vAlign w:val="center"/>
          </w:tcPr>
          <w:p w14:paraId="016622B4">
            <w:pPr>
              <w:keepNext w:val="0"/>
              <w:keepLines w:val="0"/>
              <w:suppressLineNumbers w:val="0"/>
              <w:spacing w:before="0" w:beforeAutospacing="0" w:after="0" w:afterAutospacing="0" w:line="240" w:lineRule="atLeast"/>
              <w:ind w:left="0" w:right="0"/>
              <w:jc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0.8%</w:t>
            </w:r>
          </w:p>
        </w:tc>
        <w:tc>
          <w:tcPr>
            <w:tcW w:w="1517" w:type="dxa"/>
            <w:vAlign w:val="center"/>
          </w:tcPr>
          <w:p w14:paraId="25138794">
            <w:pPr>
              <w:keepNext w:val="0"/>
              <w:keepLines w:val="0"/>
              <w:suppressLineNumbers w:val="0"/>
              <w:spacing w:before="0" w:beforeAutospacing="0" w:after="0" w:afterAutospacing="0" w:line="240" w:lineRule="atLeast"/>
              <w:ind w:left="0" w:right="0"/>
              <w:jc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0.45%</w:t>
            </w:r>
          </w:p>
        </w:tc>
        <w:tc>
          <w:tcPr>
            <w:tcW w:w="1491" w:type="dxa"/>
            <w:vAlign w:val="center"/>
          </w:tcPr>
          <w:p w14:paraId="1908A0BF">
            <w:pPr>
              <w:keepNext w:val="0"/>
              <w:keepLines w:val="0"/>
              <w:suppressLineNumbers w:val="0"/>
              <w:spacing w:before="0" w:beforeAutospacing="0" w:after="0" w:afterAutospacing="0" w:line="240" w:lineRule="atLeast"/>
              <w:ind w:left="0" w:right="0"/>
              <w:jc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14:textFill>
                  <w14:solidFill>
                    <w14:schemeClr w14:val="tx1"/>
                  </w14:solidFill>
                </w14:textFill>
              </w:rPr>
              <w:t>0.55%</w:t>
            </w:r>
          </w:p>
        </w:tc>
        <w:tc>
          <w:tcPr>
            <w:tcW w:w="1767" w:type="dxa"/>
            <w:vAlign w:val="center"/>
          </w:tcPr>
          <w:p w14:paraId="243707C7">
            <w:pPr>
              <w:keepNext w:val="0"/>
              <w:keepLines w:val="0"/>
              <w:suppressLineNumbers w:val="0"/>
              <w:spacing w:before="0" w:beforeAutospacing="0" w:after="0" w:afterAutospacing="0" w:line="240" w:lineRule="atLeast"/>
              <w:ind w:left="0" w:right="0"/>
              <w:jc w:val="center"/>
              <w:rPr>
                <w:rFonts w:hint="eastAsia" w:ascii="黑体" w:hAnsi="黑体" w:eastAsia="黑体" w:cs="黑体"/>
                <w:color w:val="000000" w:themeColor="text1"/>
                <w:sz w:val="24"/>
                <w:szCs w:val="24"/>
                <w:highlight w:val="none"/>
                <w14:textFill>
                  <w14:solidFill>
                    <w14:schemeClr w14:val="tx1"/>
                  </w14:solidFill>
                </w14:textFill>
              </w:rPr>
            </w:pPr>
            <w:r>
              <w:rPr>
                <w:rFonts w:hint="eastAsia" w:ascii="黑体" w:hAnsi="黑体" w:eastAsia="黑体" w:cs="黑体"/>
                <w:color w:val="000000" w:themeColor="text1"/>
                <w:sz w:val="24"/>
                <w:szCs w:val="24"/>
                <w:highlight w:val="none"/>
                <w:lang w:val="en-US" w:eastAsia="zh-CN"/>
                <w14:textFill>
                  <w14:solidFill>
                    <w14:schemeClr w14:val="tx1"/>
                  </w14:solidFill>
                </w14:textFill>
              </w:rPr>
              <w:t>70%</w:t>
            </w:r>
          </w:p>
        </w:tc>
      </w:tr>
    </w:tbl>
    <w:p w14:paraId="0DE4FFC9">
      <w:pPr>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default" w:ascii="黑体" w:hAnsi="黑体" w:eastAsia="黑体" w:cs="黑体"/>
          <w:sz w:val="24"/>
          <w:szCs w:val="24"/>
          <w:lang w:val="en-US" w:eastAsia="zh-CN"/>
        </w:rPr>
      </w:pPr>
      <w:bookmarkStart w:id="184" w:name="_GoBack"/>
      <w:bookmarkEnd w:id="184"/>
      <w:r>
        <w:rPr>
          <w:rFonts w:hint="eastAsia" w:ascii="黑体" w:hAnsi="黑体" w:eastAsia="黑体" w:cs="黑体"/>
          <w:sz w:val="24"/>
          <w:szCs w:val="24"/>
          <w:lang w:val="en-US" w:eastAsia="zh-CN"/>
        </w:rPr>
        <w:t>2.</w:t>
      </w:r>
      <w:r>
        <w:rPr>
          <w:rFonts w:hint="eastAsia" w:ascii="黑体" w:hAnsi="黑体" w:eastAsia="黑体" w:cs="黑体"/>
          <w:sz w:val="24"/>
          <w:szCs w:val="24"/>
        </w:rPr>
        <w:t>采购代理机构服务费缴纳账号：</w:t>
      </w:r>
    </w:p>
    <w:p w14:paraId="4556E2DD">
      <w:pPr>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eastAsia" w:ascii="黑体" w:hAnsi="黑体" w:eastAsia="黑体" w:cs="黑体"/>
          <w:sz w:val="24"/>
          <w:szCs w:val="24"/>
        </w:rPr>
      </w:pPr>
      <w:r>
        <w:rPr>
          <w:rFonts w:hint="eastAsia" w:ascii="黑体" w:hAnsi="黑体" w:eastAsia="黑体" w:cs="黑体"/>
          <w:sz w:val="24"/>
          <w:szCs w:val="24"/>
        </w:rPr>
        <w:t>户  名：重庆大学建筑规划设计研究总院有限公司</w:t>
      </w:r>
    </w:p>
    <w:p w14:paraId="76AB6C7F">
      <w:pPr>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eastAsia" w:ascii="黑体" w:hAnsi="黑体" w:eastAsia="黑体" w:cs="黑体"/>
          <w:sz w:val="24"/>
          <w:szCs w:val="24"/>
        </w:rPr>
      </w:pPr>
      <w:r>
        <w:rPr>
          <w:rFonts w:hint="eastAsia" w:ascii="黑体" w:hAnsi="黑体" w:eastAsia="黑体" w:cs="黑体"/>
          <w:sz w:val="24"/>
          <w:szCs w:val="24"/>
        </w:rPr>
        <w:t>开户行：重庆银行重大</w:t>
      </w:r>
      <w:r>
        <w:rPr>
          <w:rFonts w:hint="eastAsia" w:ascii="黑体" w:hAnsi="黑体" w:eastAsia="黑体" w:cs="黑体"/>
          <w:sz w:val="24"/>
          <w:szCs w:val="24"/>
          <w:lang w:eastAsia="zh-CN"/>
        </w:rPr>
        <w:t>支</w:t>
      </w:r>
      <w:r>
        <w:rPr>
          <w:rFonts w:hint="eastAsia" w:ascii="黑体" w:hAnsi="黑体" w:eastAsia="黑体" w:cs="黑体"/>
          <w:sz w:val="24"/>
          <w:szCs w:val="24"/>
        </w:rPr>
        <w:t>行</w:t>
      </w:r>
    </w:p>
    <w:p w14:paraId="7DA6A34D">
      <w:pPr>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eastAsia" w:ascii="黑体" w:hAnsi="黑体" w:eastAsia="黑体" w:cs="黑体"/>
          <w:color w:val="auto"/>
          <w:sz w:val="24"/>
          <w:szCs w:val="24"/>
        </w:rPr>
      </w:pPr>
      <w:r>
        <w:rPr>
          <w:rFonts w:hint="eastAsia" w:ascii="黑体" w:hAnsi="黑体" w:eastAsia="黑体" w:cs="黑体"/>
          <w:sz w:val="24"/>
          <w:szCs w:val="24"/>
        </w:rPr>
        <w:t xml:space="preserve">账  号：480101040001807 </w:t>
      </w:r>
    </w:p>
    <w:p w14:paraId="77229FD2">
      <w:pPr>
        <w:pStyle w:val="3"/>
        <w:kinsoku/>
        <w:overflowPunct/>
        <w:topLinePunct w:val="0"/>
        <w:autoSpaceDE/>
        <w:autoSpaceDN/>
        <w:bidi w:val="0"/>
        <w:adjustRightInd/>
        <w:spacing w:before="0" w:after="0" w:line="480" w:lineRule="exact"/>
        <w:ind w:firstLine="482" w:firstLineChars="200"/>
        <w:rPr>
          <w:rFonts w:hint="eastAsia" w:ascii="黑体" w:hAnsi="黑体" w:eastAsia="黑体" w:cs="黑体"/>
          <w:color w:val="auto"/>
          <w:sz w:val="24"/>
          <w:szCs w:val="24"/>
        </w:rPr>
      </w:pPr>
      <w:bookmarkStart w:id="151" w:name="_Toc26686"/>
      <w:r>
        <w:rPr>
          <w:rFonts w:hint="eastAsia" w:ascii="黑体" w:hAnsi="黑体" w:eastAsia="黑体" w:cs="黑体"/>
          <w:color w:val="auto"/>
          <w:sz w:val="24"/>
          <w:szCs w:val="24"/>
        </w:rPr>
        <w:t>八、签订</w:t>
      </w:r>
      <w:bookmarkEnd w:id="146"/>
      <w:r>
        <w:rPr>
          <w:rFonts w:hint="eastAsia" w:ascii="黑体" w:hAnsi="黑体" w:eastAsia="黑体" w:cs="黑体"/>
          <w:color w:val="auto"/>
          <w:sz w:val="24"/>
          <w:szCs w:val="24"/>
        </w:rPr>
        <w:t>合同</w:t>
      </w:r>
      <w:bookmarkEnd w:id="147"/>
      <w:bookmarkEnd w:id="148"/>
      <w:bookmarkEnd w:id="151"/>
    </w:p>
    <w:p w14:paraId="08BE4081">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（一）采购人与成交供应商应当在成交通知书发出之日</w:t>
      </w:r>
      <w:r>
        <w:rPr>
          <w:rFonts w:hint="eastAsia" w:ascii="黑体" w:hAnsi="黑体" w:eastAsia="黑体" w:cs="黑体"/>
          <w:color w:val="auto"/>
          <w:sz w:val="24"/>
          <w:szCs w:val="24"/>
          <w:highlight w:val="none"/>
        </w:rPr>
        <w:t>起10</w:t>
      </w:r>
      <w:r>
        <w:rPr>
          <w:rFonts w:hint="eastAsia" w:ascii="黑体" w:hAnsi="黑体" w:eastAsia="黑体" w:cs="黑体"/>
          <w:color w:val="auto"/>
          <w:sz w:val="24"/>
          <w:szCs w:val="24"/>
          <w:highlight w:val="none"/>
          <w:lang w:eastAsia="zh-CN"/>
        </w:rPr>
        <w:t>个工作日</w:t>
      </w:r>
      <w:r>
        <w:rPr>
          <w:rFonts w:hint="eastAsia" w:ascii="黑体" w:hAnsi="黑体" w:eastAsia="黑体" w:cs="黑体"/>
          <w:color w:val="auto"/>
          <w:sz w:val="24"/>
          <w:szCs w:val="24"/>
          <w:highlight w:val="none"/>
        </w:rPr>
        <w:t>内，按</w:t>
      </w:r>
      <w:r>
        <w:rPr>
          <w:rFonts w:hint="eastAsia" w:ascii="黑体" w:hAnsi="黑体" w:eastAsia="黑体" w:cs="黑体"/>
          <w:color w:val="auto"/>
          <w:sz w:val="24"/>
          <w:szCs w:val="24"/>
        </w:rPr>
        <w:t>照比选文件确定的合同文本以及技术和服务要求等事项签订政府采购合同。</w:t>
      </w:r>
    </w:p>
    <w:p w14:paraId="7A7AC81B">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（二）竞争性比选文件、成交供应商的响应文件及有效承诺文件等，均为签订合同的依据。</w:t>
      </w:r>
    </w:p>
    <w:p w14:paraId="09F2C36B">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（三）如成交供应商放弃成交项目或在签订合同时擅自改变成交状态的，采购人将按照相关法律法规处理。</w:t>
      </w:r>
    </w:p>
    <w:p w14:paraId="0E2DF538">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（四）采购人不得向成交供应商提出超出竞争性比选文件以外的任何要求作为签订合同的条件。</w:t>
      </w:r>
    </w:p>
    <w:p w14:paraId="4347E395">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（五）除不可抗力等因素外，成交通知书发出后，采购人改变成交结果，或者成交供应商拒绝签订政府采购合同的，应当承担相应的法律责任。</w:t>
      </w:r>
    </w:p>
    <w:p w14:paraId="68A91F82">
      <w:pPr>
        <w:pStyle w:val="2"/>
        <w:pageBreakBefore/>
        <w:kinsoku/>
        <w:overflowPunct/>
        <w:topLinePunct w:val="0"/>
        <w:autoSpaceDE/>
        <w:autoSpaceDN/>
        <w:bidi w:val="0"/>
        <w:adjustRightInd/>
        <w:spacing w:line="480" w:lineRule="exact"/>
        <w:jc w:val="center"/>
        <w:rPr>
          <w:rFonts w:hint="eastAsia" w:ascii="黑体" w:hAnsi="黑体" w:eastAsia="黑体" w:cs="黑体"/>
          <w:color w:val="auto"/>
          <w:sz w:val="30"/>
          <w:szCs w:val="30"/>
        </w:rPr>
      </w:pPr>
      <w:bookmarkStart w:id="152" w:name="_Toc393"/>
      <w:r>
        <w:rPr>
          <w:rFonts w:hint="eastAsia" w:ascii="黑体" w:hAnsi="黑体" w:eastAsia="黑体" w:cs="黑体"/>
          <w:color w:val="auto"/>
          <w:sz w:val="30"/>
          <w:szCs w:val="30"/>
        </w:rPr>
        <w:t xml:space="preserve">第六篇  </w:t>
      </w:r>
      <w:bookmarkEnd w:id="149"/>
      <w:bookmarkEnd w:id="150"/>
      <w:r>
        <w:rPr>
          <w:rFonts w:hint="eastAsia" w:ascii="黑体" w:hAnsi="黑体" w:eastAsia="黑体" w:cs="黑体"/>
          <w:color w:val="auto"/>
          <w:sz w:val="30"/>
          <w:szCs w:val="30"/>
        </w:rPr>
        <w:t>合同草案条款</w:t>
      </w:r>
      <w:bookmarkEnd w:id="152"/>
    </w:p>
    <w:p w14:paraId="41B338C2">
      <w:pPr>
        <w:kinsoku/>
        <w:overflowPunct/>
        <w:topLinePunct w:val="0"/>
        <w:autoSpaceDE/>
        <w:autoSpaceDN/>
        <w:bidi w:val="0"/>
        <w:adjustRightInd/>
        <w:spacing w:line="480" w:lineRule="exact"/>
        <w:jc w:val="center"/>
        <w:rPr>
          <w:rFonts w:hint="eastAsia" w:ascii="黑体" w:hAnsi="黑体" w:eastAsia="黑体" w:cs="黑体"/>
          <w:b/>
          <w:color w:val="auto"/>
          <w:sz w:val="24"/>
          <w:szCs w:val="24"/>
        </w:rPr>
      </w:pPr>
      <w:bookmarkStart w:id="153" w:name="_Hlt41879464"/>
      <w:bookmarkEnd w:id="153"/>
      <w:bookmarkStart w:id="154" w:name="_Toc23764521"/>
      <w:r>
        <w:rPr>
          <w:rFonts w:hint="eastAsia" w:ascii="黑体" w:hAnsi="黑体" w:eastAsia="黑体" w:cs="黑体"/>
          <w:b/>
          <w:color w:val="auto"/>
          <w:sz w:val="24"/>
          <w:szCs w:val="24"/>
        </w:rPr>
        <w:t>采购合同</w:t>
      </w:r>
    </w:p>
    <w:p w14:paraId="75E3A51E">
      <w:pPr>
        <w:kinsoku/>
        <w:overflowPunct/>
        <w:topLinePunct w:val="0"/>
        <w:autoSpaceDE/>
        <w:autoSpaceDN/>
        <w:bidi w:val="0"/>
        <w:adjustRightInd/>
        <w:spacing w:line="48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w:t>
      </w:r>
      <w:r>
        <w:rPr>
          <w:rFonts w:hint="eastAsia" w:ascii="黑体" w:hAnsi="黑体" w:eastAsia="黑体" w:cs="黑体"/>
          <w:color w:val="auto"/>
          <w:sz w:val="24"/>
          <w:szCs w:val="24"/>
          <w:lang w:val="en-US" w:eastAsia="zh-CN"/>
        </w:rPr>
        <w:t>合同</w:t>
      </w:r>
      <w:r>
        <w:rPr>
          <w:rFonts w:hint="eastAsia" w:ascii="黑体" w:hAnsi="黑体" w:eastAsia="黑体" w:cs="黑体"/>
          <w:color w:val="auto"/>
          <w:sz w:val="24"/>
          <w:szCs w:val="24"/>
        </w:rPr>
        <w:t>编号：     ）</w:t>
      </w:r>
    </w:p>
    <w:p w14:paraId="1A2B76F2">
      <w:pPr>
        <w:kinsoku/>
        <w:overflowPunct/>
        <w:topLinePunct w:val="0"/>
        <w:autoSpaceDE/>
        <w:autoSpaceDN/>
        <w:bidi w:val="0"/>
        <w:adjustRightInd/>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t>甲方（需方）：___________________________      计价单位：____________</w:t>
      </w:r>
    </w:p>
    <w:p w14:paraId="0AB286FD">
      <w:pPr>
        <w:kinsoku/>
        <w:overflowPunct/>
        <w:topLinePunct w:val="0"/>
        <w:autoSpaceDE/>
        <w:autoSpaceDN/>
        <w:bidi w:val="0"/>
        <w:adjustRightInd/>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t>乙方（供方）：___________________________      计量单位：_____________</w:t>
      </w:r>
    </w:p>
    <w:p w14:paraId="2017E8EE">
      <w:pPr>
        <w:kinsoku/>
        <w:overflowPunct/>
        <w:topLinePunct w:val="0"/>
        <w:autoSpaceDE/>
        <w:autoSpaceDN/>
        <w:bidi w:val="0"/>
        <w:adjustRightInd/>
        <w:spacing w:line="480" w:lineRule="exact"/>
        <w:rPr>
          <w:rFonts w:hint="eastAsia" w:ascii="黑体" w:hAnsi="黑体" w:eastAsia="黑体" w:cs="黑体"/>
          <w:color w:val="auto"/>
          <w:sz w:val="24"/>
          <w:szCs w:val="24"/>
        </w:rPr>
      </w:pPr>
    </w:p>
    <w:p w14:paraId="2FB322EE">
      <w:pPr>
        <w:kinsoku/>
        <w:overflowPunct/>
        <w:topLinePunct w:val="0"/>
        <w:autoSpaceDE/>
        <w:autoSpaceDN/>
        <w:bidi w:val="0"/>
        <w:adjustRightInd/>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t>经双方协商一致，达成以下购销合同：</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0"/>
        <w:gridCol w:w="1741"/>
        <w:gridCol w:w="984"/>
        <w:gridCol w:w="448"/>
        <w:gridCol w:w="850"/>
        <w:gridCol w:w="1134"/>
        <w:gridCol w:w="1559"/>
        <w:gridCol w:w="1582"/>
      </w:tblGrid>
      <w:tr w14:paraId="0F87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2" w:hRule="atLeast"/>
        </w:trPr>
        <w:tc>
          <w:tcPr>
            <w:tcW w:w="1330" w:type="dxa"/>
            <w:vAlign w:val="center"/>
          </w:tcPr>
          <w:p w14:paraId="5BE1886E">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产品名称</w:t>
            </w:r>
          </w:p>
        </w:tc>
        <w:tc>
          <w:tcPr>
            <w:tcW w:w="1741" w:type="dxa"/>
            <w:vAlign w:val="center"/>
          </w:tcPr>
          <w:p w14:paraId="7EF8D76E">
            <w:pPr>
              <w:suppressAutoHyphens/>
              <w:kinsoku/>
              <w:overflowPunct/>
              <w:topLinePunct w:val="0"/>
              <w:autoSpaceDE/>
              <w:autoSpaceDN/>
              <w:bidi w:val="0"/>
              <w:adjustRightInd/>
              <w:spacing w:line="48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000000" w:themeColor="text1"/>
                <w:sz w:val="24"/>
                <w:szCs w:val="24"/>
                <w:highlight w:val="none"/>
                <w14:textFill>
                  <w14:solidFill>
                    <w14:schemeClr w14:val="tx1"/>
                  </w14:solidFill>
                </w14:textFill>
              </w:rPr>
              <w:t>规格</w:t>
            </w:r>
            <w:r>
              <w:rPr>
                <w:rFonts w:hint="eastAsia" w:ascii="黑体" w:hAnsi="黑体" w:eastAsia="黑体" w:cs="黑体"/>
                <w:color w:val="000000" w:themeColor="text1"/>
                <w:sz w:val="24"/>
                <w:szCs w:val="24"/>
                <w:highlight w:val="none"/>
                <w:lang w:val="en-US" w:eastAsia="zh-CN"/>
                <w14:textFill>
                  <w14:solidFill>
                    <w14:schemeClr w14:val="tx1"/>
                  </w14:solidFill>
                </w14:textFill>
              </w:rPr>
              <w:t>/单位</w:t>
            </w:r>
          </w:p>
        </w:tc>
        <w:tc>
          <w:tcPr>
            <w:tcW w:w="984" w:type="dxa"/>
            <w:vAlign w:val="center"/>
          </w:tcPr>
          <w:p w14:paraId="799B9657">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数量</w:t>
            </w:r>
          </w:p>
        </w:tc>
        <w:tc>
          <w:tcPr>
            <w:tcW w:w="1298" w:type="dxa"/>
            <w:gridSpan w:val="2"/>
            <w:vAlign w:val="center"/>
          </w:tcPr>
          <w:p w14:paraId="64519790">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综合单价</w:t>
            </w:r>
          </w:p>
        </w:tc>
        <w:tc>
          <w:tcPr>
            <w:tcW w:w="1134" w:type="dxa"/>
            <w:vAlign w:val="center"/>
          </w:tcPr>
          <w:p w14:paraId="7F2D67D1">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总价</w:t>
            </w:r>
          </w:p>
        </w:tc>
        <w:tc>
          <w:tcPr>
            <w:tcW w:w="1559" w:type="dxa"/>
            <w:vAlign w:val="center"/>
          </w:tcPr>
          <w:p w14:paraId="2F032E55">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交货时间</w:t>
            </w:r>
          </w:p>
        </w:tc>
        <w:tc>
          <w:tcPr>
            <w:tcW w:w="1567" w:type="dxa"/>
            <w:vAlign w:val="center"/>
          </w:tcPr>
          <w:p w14:paraId="76933EAB">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交货地点</w:t>
            </w:r>
          </w:p>
        </w:tc>
      </w:tr>
      <w:tr w14:paraId="21BF1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vAlign w:val="center"/>
          </w:tcPr>
          <w:p w14:paraId="3447CD6E">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741" w:type="dxa"/>
            <w:vAlign w:val="center"/>
          </w:tcPr>
          <w:p w14:paraId="569BE21A">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984" w:type="dxa"/>
            <w:vAlign w:val="center"/>
          </w:tcPr>
          <w:p w14:paraId="6DFDA965">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298" w:type="dxa"/>
            <w:gridSpan w:val="2"/>
            <w:vAlign w:val="center"/>
          </w:tcPr>
          <w:p w14:paraId="0AF84DCF">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134" w:type="dxa"/>
            <w:vAlign w:val="center"/>
          </w:tcPr>
          <w:p w14:paraId="47C32EB5">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559" w:type="dxa"/>
            <w:vAlign w:val="center"/>
          </w:tcPr>
          <w:p w14:paraId="2E84D89F">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567" w:type="dxa"/>
            <w:vAlign w:val="center"/>
          </w:tcPr>
          <w:p w14:paraId="75B6D4E3">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r>
      <w:tr w14:paraId="4D9F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vAlign w:val="center"/>
          </w:tcPr>
          <w:p w14:paraId="6AF2E0F0">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741" w:type="dxa"/>
            <w:vAlign w:val="center"/>
          </w:tcPr>
          <w:p w14:paraId="69221A79">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984" w:type="dxa"/>
            <w:vAlign w:val="center"/>
          </w:tcPr>
          <w:p w14:paraId="75D3F85F">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298" w:type="dxa"/>
            <w:gridSpan w:val="2"/>
            <w:vAlign w:val="center"/>
          </w:tcPr>
          <w:p w14:paraId="19FA2176">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134" w:type="dxa"/>
            <w:vAlign w:val="center"/>
          </w:tcPr>
          <w:p w14:paraId="65A2017E">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559" w:type="dxa"/>
            <w:vAlign w:val="center"/>
          </w:tcPr>
          <w:p w14:paraId="7D6D60F4">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567" w:type="dxa"/>
            <w:vAlign w:val="center"/>
          </w:tcPr>
          <w:p w14:paraId="2B5F26E5">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r>
      <w:tr w14:paraId="06B94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vAlign w:val="center"/>
          </w:tcPr>
          <w:p w14:paraId="1B25B5B7">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741" w:type="dxa"/>
            <w:vAlign w:val="center"/>
          </w:tcPr>
          <w:p w14:paraId="5B3663A3">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984" w:type="dxa"/>
            <w:vAlign w:val="center"/>
          </w:tcPr>
          <w:p w14:paraId="50A4350F">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298" w:type="dxa"/>
            <w:gridSpan w:val="2"/>
            <w:vAlign w:val="center"/>
          </w:tcPr>
          <w:p w14:paraId="76299392">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134" w:type="dxa"/>
            <w:vAlign w:val="center"/>
          </w:tcPr>
          <w:p w14:paraId="21DBDB09">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559" w:type="dxa"/>
            <w:vAlign w:val="center"/>
          </w:tcPr>
          <w:p w14:paraId="045E944A">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567" w:type="dxa"/>
            <w:vAlign w:val="center"/>
          </w:tcPr>
          <w:p w14:paraId="0C5C3195">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r>
      <w:tr w14:paraId="15BF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vAlign w:val="center"/>
          </w:tcPr>
          <w:p w14:paraId="54DE8375">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741" w:type="dxa"/>
            <w:vAlign w:val="center"/>
          </w:tcPr>
          <w:p w14:paraId="17AF6A26">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984" w:type="dxa"/>
            <w:vAlign w:val="center"/>
          </w:tcPr>
          <w:p w14:paraId="4BFCE2B9">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298" w:type="dxa"/>
            <w:gridSpan w:val="2"/>
            <w:vAlign w:val="center"/>
          </w:tcPr>
          <w:p w14:paraId="6F352F21">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134" w:type="dxa"/>
            <w:vAlign w:val="center"/>
          </w:tcPr>
          <w:p w14:paraId="67F04252">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559" w:type="dxa"/>
            <w:vAlign w:val="center"/>
          </w:tcPr>
          <w:p w14:paraId="0508131B">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567" w:type="dxa"/>
            <w:vAlign w:val="center"/>
          </w:tcPr>
          <w:p w14:paraId="5BF34D58">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r>
      <w:tr w14:paraId="5D0E4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vAlign w:val="center"/>
          </w:tcPr>
          <w:p w14:paraId="630DCFD5">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741" w:type="dxa"/>
            <w:vAlign w:val="center"/>
          </w:tcPr>
          <w:p w14:paraId="2B2F29CD">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984" w:type="dxa"/>
            <w:vAlign w:val="center"/>
          </w:tcPr>
          <w:p w14:paraId="6FC2C47D">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298" w:type="dxa"/>
            <w:gridSpan w:val="2"/>
            <w:vAlign w:val="center"/>
          </w:tcPr>
          <w:p w14:paraId="29DA10E3">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134" w:type="dxa"/>
            <w:vAlign w:val="center"/>
          </w:tcPr>
          <w:p w14:paraId="160E0855">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559" w:type="dxa"/>
            <w:vAlign w:val="center"/>
          </w:tcPr>
          <w:p w14:paraId="68A13C91">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567" w:type="dxa"/>
            <w:vAlign w:val="center"/>
          </w:tcPr>
          <w:p w14:paraId="65761E5C">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r>
      <w:tr w14:paraId="35A9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vAlign w:val="center"/>
          </w:tcPr>
          <w:p w14:paraId="6B19D03C">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741" w:type="dxa"/>
            <w:vAlign w:val="center"/>
          </w:tcPr>
          <w:p w14:paraId="6B0DF377">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984" w:type="dxa"/>
            <w:vAlign w:val="center"/>
          </w:tcPr>
          <w:p w14:paraId="5019200A">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298" w:type="dxa"/>
            <w:gridSpan w:val="2"/>
            <w:vAlign w:val="center"/>
          </w:tcPr>
          <w:p w14:paraId="38E25705">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134" w:type="dxa"/>
            <w:vAlign w:val="center"/>
          </w:tcPr>
          <w:p w14:paraId="74481AEF">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559" w:type="dxa"/>
            <w:vAlign w:val="center"/>
          </w:tcPr>
          <w:p w14:paraId="14D9EEE6">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567" w:type="dxa"/>
            <w:vAlign w:val="center"/>
          </w:tcPr>
          <w:p w14:paraId="1F2B91F8">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r>
      <w:tr w14:paraId="128D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vAlign w:val="center"/>
          </w:tcPr>
          <w:p w14:paraId="00D93092">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741" w:type="dxa"/>
            <w:vAlign w:val="center"/>
          </w:tcPr>
          <w:p w14:paraId="43F6E8D2">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984" w:type="dxa"/>
            <w:vAlign w:val="center"/>
          </w:tcPr>
          <w:p w14:paraId="1AAD00DE">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298" w:type="dxa"/>
            <w:gridSpan w:val="2"/>
            <w:vAlign w:val="center"/>
          </w:tcPr>
          <w:p w14:paraId="21A169FE">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134" w:type="dxa"/>
            <w:vAlign w:val="center"/>
          </w:tcPr>
          <w:p w14:paraId="46806736">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559" w:type="dxa"/>
            <w:vAlign w:val="center"/>
          </w:tcPr>
          <w:p w14:paraId="316D01B2">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567" w:type="dxa"/>
            <w:vAlign w:val="center"/>
          </w:tcPr>
          <w:p w14:paraId="6EE0DB67">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r>
      <w:tr w14:paraId="6603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vAlign w:val="center"/>
          </w:tcPr>
          <w:p w14:paraId="48F81F79">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741" w:type="dxa"/>
            <w:vAlign w:val="center"/>
          </w:tcPr>
          <w:p w14:paraId="13B0629E">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984" w:type="dxa"/>
            <w:vAlign w:val="center"/>
          </w:tcPr>
          <w:p w14:paraId="6114CC6B">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298" w:type="dxa"/>
            <w:gridSpan w:val="2"/>
            <w:vAlign w:val="center"/>
          </w:tcPr>
          <w:p w14:paraId="69F1A5D6">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134" w:type="dxa"/>
            <w:vAlign w:val="center"/>
          </w:tcPr>
          <w:p w14:paraId="5BA2F3EA">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559" w:type="dxa"/>
            <w:vAlign w:val="center"/>
          </w:tcPr>
          <w:p w14:paraId="3C4ECED0">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c>
          <w:tcPr>
            <w:tcW w:w="1567" w:type="dxa"/>
            <w:vAlign w:val="center"/>
          </w:tcPr>
          <w:p w14:paraId="51B035DA">
            <w:pPr>
              <w:suppressAutoHyphens/>
              <w:kinsoku/>
              <w:overflowPunct/>
              <w:topLinePunct w:val="0"/>
              <w:autoSpaceDE/>
              <w:autoSpaceDN/>
              <w:bidi w:val="0"/>
              <w:adjustRightInd/>
              <w:spacing w:line="480" w:lineRule="exact"/>
              <w:jc w:val="center"/>
              <w:rPr>
                <w:rFonts w:hint="eastAsia" w:ascii="黑体" w:hAnsi="黑体" w:eastAsia="黑体" w:cs="黑体"/>
                <w:color w:val="auto"/>
                <w:sz w:val="24"/>
                <w:szCs w:val="24"/>
              </w:rPr>
            </w:pPr>
          </w:p>
        </w:tc>
      </w:tr>
      <w:tr w14:paraId="69470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613" w:type="dxa"/>
            <w:gridSpan w:val="8"/>
            <w:vAlign w:val="center"/>
          </w:tcPr>
          <w:p w14:paraId="09C667C6">
            <w:pPr>
              <w:suppressAutoHyphens/>
              <w:kinsoku/>
              <w:overflowPunct/>
              <w:topLinePunct w:val="0"/>
              <w:autoSpaceDE/>
              <w:autoSpaceDN/>
              <w:bidi w:val="0"/>
              <w:adjustRightInd/>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t>合计人民币（小写）：</w:t>
            </w:r>
          </w:p>
        </w:tc>
      </w:tr>
      <w:tr w14:paraId="2489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613" w:type="dxa"/>
            <w:gridSpan w:val="8"/>
            <w:vAlign w:val="center"/>
          </w:tcPr>
          <w:p w14:paraId="71DF36E7">
            <w:pPr>
              <w:suppressAutoHyphens/>
              <w:kinsoku/>
              <w:overflowPunct/>
              <w:topLinePunct w:val="0"/>
              <w:autoSpaceDE/>
              <w:autoSpaceDN/>
              <w:bidi w:val="0"/>
              <w:adjustRightInd/>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t>合计人民币（大写）：</w:t>
            </w:r>
          </w:p>
        </w:tc>
      </w:tr>
      <w:tr w14:paraId="1988A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2" w:hRule="atLeast"/>
        </w:trPr>
        <w:tc>
          <w:tcPr>
            <w:tcW w:w="9613" w:type="dxa"/>
            <w:gridSpan w:val="8"/>
          </w:tcPr>
          <w:p w14:paraId="55076109">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一、质量要求和技术标准。供方提供的商品必须是全新的，完全符合国家有关技术标准，供方的质量保证及售后服务承诺如下：</w:t>
            </w:r>
          </w:p>
          <w:p w14:paraId="265AF0D1">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1、质保期限：</w:t>
            </w:r>
          </w:p>
          <w:p w14:paraId="373A0B0B">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2、保修范围：</w:t>
            </w:r>
          </w:p>
          <w:p w14:paraId="7EDE361F">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3、服务措施：</w:t>
            </w:r>
          </w:p>
          <w:p w14:paraId="3B93ECA0">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4、质保期后服务：</w:t>
            </w:r>
          </w:p>
        </w:tc>
      </w:tr>
      <w:tr w14:paraId="754FE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3" w:hRule="atLeast"/>
        </w:trPr>
        <w:tc>
          <w:tcPr>
            <w:tcW w:w="9613" w:type="dxa"/>
            <w:gridSpan w:val="8"/>
          </w:tcPr>
          <w:p w14:paraId="26E9EB88">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二、随机备品、附件、工具数量及供应方法：</w:t>
            </w:r>
          </w:p>
        </w:tc>
      </w:tr>
      <w:tr w14:paraId="49E5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9613" w:type="dxa"/>
            <w:gridSpan w:val="8"/>
          </w:tcPr>
          <w:p w14:paraId="45B75533">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三、交货方式：</w:t>
            </w:r>
          </w:p>
        </w:tc>
      </w:tr>
      <w:tr w14:paraId="43F7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9628" w:type="dxa"/>
            <w:gridSpan w:val="8"/>
          </w:tcPr>
          <w:p w14:paraId="6A6E31C5">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四、验收标准、方法：</w:t>
            </w:r>
          </w:p>
          <w:p w14:paraId="3BE22B97">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如有异议，请于      日内提出。</w:t>
            </w:r>
          </w:p>
        </w:tc>
      </w:tr>
      <w:tr w14:paraId="5040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9628" w:type="dxa"/>
            <w:gridSpan w:val="8"/>
          </w:tcPr>
          <w:p w14:paraId="53BC3EA7">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五、履约保证金：</w:t>
            </w:r>
          </w:p>
          <w:p w14:paraId="4D62C039">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p>
        </w:tc>
      </w:tr>
      <w:tr w14:paraId="3588B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9628" w:type="dxa"/>
            <w:gridSpan w:val="8"/>
          </w:tcPr>
          <w:p w14:paraId="262D8D5E">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六、付款方式：</w:t>
            </w:r>
          </w:p>
          <w:p w14:paraId="2FCD658D">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p>
        </w:tc>
      </w:tr>
      <w:tr w14:paraId="20A29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9628" w:type="dxa"/>
            <w:gridSpan w:val="8"/>
          </w:tcPr>
          <w:p w14:paraId="15C266E8">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七、结算方式：</w:t>
            </w:r>
          </w:p>
          <w:p w14:paraId="2BB2EAA4">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auto"/>
                <w:sz w:val="24"/>
                <w:szCs w:val="24"/>
              </w:rPr>
            </w:pPr>
            <w:r>
              <w:rPr>
                <w:rFonts w:hint="eastAsia" w:ascii="黑体" w:hAnsi="黑体" w:eastAsia="黑体" w:cs="黑体"/>
                <w:color w:val="auto"/>
                <w:sz w:val="24"/>
                <w:szCs w:val="24"/>
                <w:highlight w:val="none"/>
                <w:lang w:eastAsia="zh-CN"/>
              </w:rPr>
              <w:t>结算总价=合同单价*实际供货数量*成交价折扣率（结算金额不能超过合同金额）</w:t>
            </w:r>
          </w:p>
        </w:tc>
      </w:tr>
      <w:tr w14:paraId="5196E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9628" w:type="dxa"/>
            <w:gridSpan w:val="8"/>
          </w:tcPr>
          <w:p w14:paraId="777F3BE4">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八</w:t>
            </w:r>
            <w:r>
              <w:rPr>
                <w:rFonts w:hint="eastAsia" w:ascii="黑体" w:hAnsi="黑体" w:eastAsia="黑体" w:cs="黑体"/>
                <w:color w:val="auto"/>
                <w:sz w:val="24"/>
                <w:szCs w:val="24"/>
              </w:rPr>
              <w:t>、违约责任：</w:t>
            </w:r>
          </w:p>
          <w:p w14:paraId="094F0BB8">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按《中华人民共和国民法典》、《中华人民共和国政府采购法》执行，或按双方约定。（采购人应按项目实际情况完整填写）</w:t>
            </w:r>
          </w:p>
        </w:tc>
      </w:tr>
      <w:tr w14:paraId="2203D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9628" w:type="dxa"/>
            <w:gridSpan w:val="8"/>
          </w:tcPr>
          <w:p w14:paraId="1F059556">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九</w:t>
            </w:r>
            <w:r>
              <w:rPr>
                <w:rFonts w:hint="eastAsia" w:ascii="黑体" w:hAnsi="黑体" w:eastAsia="黑体" w:cs="黑体"/>
                <w:color w:val="auto"/>
                <w:sz w:val="24"/>
                <w:szCs w:val="24"/>
              </w:rPr>
              <w:t>、其他约定事项：</w:t>
            </w:r>
          </w:p>
          <w:p w14:paraId="260AB46B">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highlight w:val="yellow"/>
              </w:rPr>
            </w:pPr>
            <w:r>
              <w:rPr>
                <w:rFonts w:hint="eastAsia" w:ascii="黑体" w:hAnsi="黑体" w:eastAsia="黑体" w:cs="黑体"/>
                <w:color w:val="auto"/>
                <w:sz w:val="24"/>
                <w:szCs w:val="24"/>
              </w:rPr>
              <w:t>1.本次合同金额暂定49.5万元</w:t>
            </w:r>
            <w:r>
              <w:rPr>
                <w:rFonts w:hint="eastAsia" w:ascii="黑体" w:hAnsi="黑体" w:eastAsia="黑体" w:cs="黑体"/>
                <w:color w:val="auto"/>
                <w:sz w:val="24"/>
                <w:szCs w:val="24"/>
                <w:lang w:val="en-US" w:eastAsia="zh-CN"/>
              </w:rPr>
              <w:t>*折扣率</w:t>
            </w:r>
            <w:r>
              <w:rPr>
                <w:rFonts w:hint="eastAsia" w:ascii="黑体" w:hAnsi="黑体" w:eastAsia="黑体" w:cs="黑体"/>
                <w:color w:val="auto"/>
                <w:sz w:val="24"/>
                <w:szCs w:val="24"/>
              </w:rPr>
              <w:t>且经买方最终验收合格，即合同供货部分履约完成，合同自动终止。</w:t>
            </w:r>
          </w:p>
          <w:p w14:paraId="6065233E">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2.招标文件及其澄清文件、投标文件和承诺是本合同不可分割的部分。</w:t>
            </w:r>
          </w:p>
          <w:p w14:paraId="37842D39">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highlight w:val="yellow"/>
                <w:lang w:eastAsia="zh-CN"/>
              </w:rPr>
            </w:pPr>
            <w:r>
              <w:rPr>
                <w:rFonts w:hint="eastAsia" w:ascii="黑体" w:hAnsi="黑体" w:eastAsia="黑体" w:cs="黑体"/>
                <w:color w:val="auto"/>
                <w:sz w:val="24"/>
                <w:szCs w:val="24"/>
              </w:rPr>
              <w:t>3.本合同如发生争议由双方协商解决，</w:t>
            </w:r>
            <w:r>
              <w:rPr>
                <w:rFonts w:hint="eastAsia" w:ascii="黑体" w:hAnsi="黑体" w:eastAsia="黑体" w:cs="黑体"/>
                <w:color w:val="auto"/>
                <w:sz w:val="24"/>
                <w:szCs w:val="24"/>
                <w:highlight w:val="none"/>
              </w:rPr>
              <w:t>协商不成向采购方所在地人民法院提起诉讼</w:t>
            </w:r>
            <w:r>
              <w:rPr>
                <w:rFonts w:hint="eastAsia" w:ascii="黑体" w:hAnsi="黑体" w:eastAsia="黑体" w:cs="黑体"/>
                <w:color w:val="auto"/>
                <w:sz w:val="24"/>
                <w:szCs w:val="24"/>
                <w:highlight w:val="none"/>
                <w:lang w:eastAsia="zh-CN"/>
              </w:rPr>
              <w:t>。</w:t>
            </w:r>
          </w:p>
          <w:p w14:paraId="6878DA80">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4.本合同一式__份， 需方__份，供方__份，具备同等法律效力。</w:t>
            </w:r>
          </w:p>
          <w:p w14:paraId="2E25F770">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5.其他：</w:t>
            </w:r>
          </w:p>
        </w:tc>
      </w:tr>
      <w:tr w14:paraId="32AD0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8" w:hRule="atLeast"/>
        </w:trPr>
        <w:tc>
          <w:tcPr>
            <w:tcW w:w="4503" w:type="dxa"/>
            <w:gridSpan w:val="4"/>
          </w:tcPr>
          <w:p w14:paraId="040C3854">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需方：</w:t>
            </w:r>
          </w:p>
          <w:p w14:paraId="36812AF4">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地址：</w:t>
            </w:r>
          </w:p>
          <w:p w14:paraId="05A038CE">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联系电话：</w:t>
            </w:r>
          </w:p>
          <w:p w14:paraId="6C3E98CD">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授权代表：</w:t>
            </w:r>
          </w:p>
        </w:tc>
        <w:tc>
          <w:tcPr>
            <w:tcW w:w="5125" w:type="dxa"/>
            <w:gridSpan w:val="4"/>
          </w:tcPr>
          <w:p w14:paraId="459C63E6">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供方：</w:t>
            </w:r>
          </w:p>
          <w:p w14:paraId="71473F48">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地址：</w:t>
            </w:r>
          </w:p>
          <w:p w14:paraId="216B5C6E">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电话：</w:t>
            </w:r>
          </w:p>
          <w:p w14:paraId="742CD619">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传真：</w:t>
            </w:r>
          </w:p>
          <w:p w14:paraId="292F4F66">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开户银行：</w:t>
            </w:r>
          </w:p>
          <w:p w14:paraId="11B19391">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账号：</w:t>
            </w:r>
          </w:p>
          <w:p w14:paraId="7BB8F012">
            <w:pPr>
              <w:keepNext w:val="0"/>
              <w:keepLines w:val="0"/>
              <w:pageBreakBefore w:val="0"/>
              <w:suppressAutoHyphens/>
              <w:kinsoku/>
              <w:wordWrap/>
              <w:overflowPunct/>
              <w:topLinePunct w:val="0"/>
              <w:autoSpaceDE/>
              <w:autoSpaceDN/>
              <w:bidi w:val="0"/>
              <w:adjustRightInd/>
              <w:snapToGrid/>
              <w:spacing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授权代表：</w:t>
            </w:r>
          </w:p>
          <w:p w14:paraId="633BBE4F">
            <w:pPr>
              <w:keepNext w:val="0"/>
              <w:keepLines w:val="0"/>
              <w:pageBreakBefore w:val="0"/>
              <w:widowControl/>
              <w:suppressAutoHyphens/>
              <w:kinsoku/>
              <w:wordWrap/>
              <w:overflowPunct/>
              <w:topLinePunct w:val="0"/>
              <w:autoSpaceDE/>
              <w:autoSpaceDN/>
              <w:bidi w:val="0"/>
              <w:adjustRightInd/>
              <w:snapToGrid/>
              <w:spacing w:line="400" w:lineRule="exact"/>
              <w:jc w:val="lef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（本栏请用计算机打印以便于准确付款）</w:t>
            </w:r>
          </w:p>
        </w:tc>
      </w:tr>
      <w:tr w14:paraId="6BFD5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9628" w:type="dxa"/>
            <w:gridSpan w:val="8"/>
          </w:tcPr>
          <w:p w14:paraId="59E769D2">
            <w:pPr>
              <w:suppressAutoHyphens/>
              <w:kinsoku/>
              <w:overflowPunct/>
              <w:topLinePunct w:val="0"/>
              <w:autoSpaceDE/>
              <w:autoSpaceDN/>
              <w:bidi w:val="0"/>
              <w:adjustRightInd/>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t>备注：</w:t>
            </w:r>
          </w:p>
          <w:p w14:paraId="4F92B300">
            <w:pPr>
              <w:suppressAutoHyphens/>
              <w:kinsoku/>
              <w:overflowPunct/>
              <w:topLinePunct w:val="0"/>
              <w:autoSpaceDE/>
              <w:autoSpaceDN/>
              <w:bidi w:val="0"/>
              <w:adjustRightInd/>
              <w:spacing w:line="480" w:lineRule="exact"/>
              <w:rPr>
                <w:rFonts w:hint="eastAsia" w:ascii="黑体" w:hAnsi="黑体" w:eastAsia="黑体" w:cs="黑体"/>
                <w:color w:val="auto"/>
                <w:sz w:val="24"/>
                <w:szCs w:val="24"/>
              </w:rPr>
            </w:pPr>
          </w:p>
          <w:p w14:paraId="5478F618">
            <w:pPr>
              <w:suppressAutoHyphens/>
              <w:kinsoku/>
              <w:overflowPunct/>
              <w:topLinePunct w:val="0"/>
              <w:autoSpaceDE/>
              <w:autoSpaceDN/>
              <w:bidi w:val="0"/>
              <w:adjustRightInd/>
              <w:spacing w:line="480" w:lineRule="exact"/>
              <w:rPr>
                <w:rFonts w:hint="eastAsia" w:ascii="黑体" w:hAnsi="黑体" w:eastAsia="黑体" w:cs="黑体"/>
                <w:color w:val="auto"/>
                <w:sz w:val="24"/>
                <w:szCs w:val="24"/>
              </w:rPr>
            </w:pPr>
          </w:p>
        </w:tc>
      </w:tr>
    </w:tbl>
    <w:p w14:paraId="6288243D">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 xml:space="preserve">签约时间：   年   月   日      </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签约地点：</w:t>
      </w:r>
    </w:p>
    <w:p w14:paraId="44AB8BEA">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sectPr>
          <w:headerReference r:id="rId8" w:type="default"/>
          <w:pgSz w:w="11907" w:h="16840"/>
          <w:pgMar w:top="1134" w:right="1191" w:bottom="1134" w:left="1191" w:header="851" w:footer="992" w:gutter="0"/>
          <w:pgNumType w:fmt="decimal"/>
          <w:cols w:space="720" w:num="1"/>
          <w:docGrid w:linePitch="381" w:charSpace="-5735"/>
        </w:sectPr>
      </w:pPr>
    </w:p>
    <w:bookmarkEnd w:id="154"/>
    <w:p w14:paraId="5E70924B">
      <w:pPr>
        <w:pStyle w:val="2"/>
        <w:kinsoku/>
        <w:overflowPunct/>
        <w:topLinePunct w:val="0"/>
        <w:autoSpaceDE/>
        <w:autoSpaceDN/>
        <w:bidi w:val="0"/>
        <w:adjustRightInd/>
        <w:spacing w:line="480" w:lineRule="exact"/>
        <w:jc w:val="center"/>
        <w:rPr>
          <w:rFonts w:hint="eastAsia" w:ascii="黑体" w:hAnsi="黑体" w:eastAsia="黑体" w:cs="黑体"/>
          <w:color w:val="auto"/>
          <w:sz w:val="30"/>
          <w:szCs w:val="30"/>
        </w:rPr>
      </w:pPr>
      <w:bookmarkStart w:id="155" w:name="_Toc17518"/>
      <w:bookmarkStart w:id="156" w:name="_Toc89693272"/>
      <w:r>
        <w:rPr>
          <w:rFonts w:hint="eastAsia" w:ascii="黑体" w:hAnsi="黑体" w:eastAsia="黑体" w:cs="黑体"/>
          <w:color w:val="auto"/>
          <w:sz w:val="30"/>
          <w:szCs w:val="30"/>
        </w:rPr>
        <w:t>第七篇  响应文件编制要求</w:t>
      </w:r>
      <w:bookmarkEnd w:id="155"/>
      <w:bookmarkEnd w:id="156"/>
    </w:p>
    <w:p w14:paraId="4FF9F5EB">
      <w:pPr>
        <w:pStyle w:val="3"/>
        <w:pageBreakBefore w:val="0"/>
        <w:widowControl w:val="0"/>
        <w:kinsoku/>
        <w:wordWrap/>
        <w:overflowPunct/>
        <w:topLinePunct w:val="0"/>
        <w:autoSpaceDE/>
        <w:autoSpaceDN/>
        <w:bidi w:val="0"/>
        <w:adjustRightInd/>
        <w:spacing w:before="0" w:after="0" w:line="480" w:lineRule="exact"/>
        <w:ind w:firstLine="482" w:firstLineChars="200"/>
        <w:textAlignment w:val="auto"/>
        <w:rPr>
          <w:rFonts w:hint="eastAsia" w:ascii="黑体" w:hAnsi="黑体" w:eastAsia="黑体" w:cs="黑体"/>
          <w:color w:val="auto"/>
          <w:sz w:val="24"/>
          <w:szCs w:val="24"/>
        </w:rPr>
      </w:pPr>
      <w:bookmarkStart w:id="157" w:name="_Toc89693273"/>
      <w:bookmarkStart w:id="158" w:name="_Toc5728"/>
      <w:r>
        <w:rPr>
          <w:rFonts w:hint="eastAsia" w:ascii="黑体" w:hAnsi="黑体" w:eastAsia="黑体" w:cs="黑体"/>
          <w:color w:val="auto"/>
          <w:sz w:val="24"/>
          <w:szCs w:val="24"/>
        </w:rPr>
        <w:t>一、经济部分</w:t>
      </w:r>
      <w:bookmarkEnd w:id="157"/>
      <w:bookmarkEnd w:id="158"/>
    </w:p>
    <w:p w14:paraId="2573A2EB">
      <w:pPr>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（一）竞争性比选报价函</w:t>
      </w:r>
    </w:p>
    <w:p w14:paraId="02056752">
      <w:pPr>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（二）报价明细表（如有）</w:t>
      </w:r>
    </w:p>
    <w:p w14:paraId="2A4DCE50">
      <w:pPr>
        <w:pStyle w:val="3"/>
        <w:pageBreakBefore w:val="0"/>
        <w:widowControl w:val="0"/>
        <w:kinsoku/>
        <w:wordWrap/>
        <w:overflowPunct/>
        <w:topLinePunct w:val="0"/>
        <w:autoSpaceDE/>
        <w:autoSpaceDN/>
        <w:bidi w:val="0"/>
        <w:adjustRightInd/>
        <w:spacing w:before="0" w:after="0" w:line="480" w:lineRule="exact"/>
        <w:ind w:firstLine="482" w:firstLineChars="200"/>
        <w:textAlignment w:val="auto"/>
        <w:rPr>
          <w:rFonts w:hint="eastAsia" w:ascii="黑体" w:hAnsi="黑体" w:eastAsia="黑体" w:cs="黑体"/>
          <w:color w:val="auto"/>
          <w:sz w:val="24"/>
          <w:szCs w:val="24"/>
        </w:rPr>
      </w:pPr>
      <w:bookmarkStart w:id="159" w:name="_Toc89693274"/>
      <w:bookmarkStart w:id="160" w:name="_Toc30711"/>
      <w:bookmarkStart w:id="161" w:name="_Toc78194469"/>
      <w:r>
        <w:rPr>
          <w:rFonts w:hint="eastAsia" w:ascii="黑体" w:hAnsi="黑体" w:eastAsia="黑体" w:cs="黑体"/>
          <w:color w:val="auto"/>
          <w:sz w:val="24"/>
          <w:szCs w:val="24"/>
        </w:rPr>
        <w:t>二、技术部分</w:t>
      </w:r>
      <w:bookmarkEnd w:id="159"/>
      <w:bookmarkEnd w:id="160"/>
      <w:bookmarkEnd w:id="161"/>
    </w:p>
    <w:p w14:paraId="187F0520">
      <w:pPr>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w:t>
      </w:r>
      <w:r>
        <w:rPr>
          <w:rFonts w:hint="eastAsia" w:ascii="黑体" w:hAnsi="黑体" w:eastAsia="黑体" w:cs="黑体"/>
          <w:color w:val="auto"/>
          <w:sz w:val="24"/>
          <w:szCs w:val="24"/>
          <w:lang w:eastAsia="zh-CN"/>
        </w:rPr>
        <w:t>一</w:t>
      </w:r>
      <w:r>
        <w:rPr>
          <w:rFonts w:hint="eastAsia" w:ascii="黑体" w:hAnsi="黑体" w:eastAsia="黑体" w:cs="黑体"/>
          <w:color w:val="auto"/>
          <w:sz w:val="24"/>
          <w:szCs w:val="24"/>
        </w:rPr>
        <w:t>）技术响应偏离表</w:t>
      </w:r>
    </w:p>
    <w:p w14:paraId="51AAD131">
      <w:pPr>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w:t>
      </w:r>
      <w:r>
        <w:rPr>
          <w:rFonts w:hint="eastAsia" w:ascii="黑体" w:hAnsi="黑体" w:eastAsia="黑体" w:cs="黑体"/>
          <w:color w:val="auto"/>
          <w:sz w:val="24"/>
          <w:szCs w:val="24"/>
          <w:lang w:eastAsia="zh-CN"/>
        </w:rPr>
        <w:t>二</w:t>
      </w:r>
      <w:r>
        <w:rPr>
          <w:rFonts w:hint="eastAsia" w:ascii="黑体" w:hAnsi="黑体" w:eastAsia="黑体" w:cs="黑体"/>
          <w:color w:val="auto"/>
          <w:sz w:val="24"/>
          <w:szCs w:val="24"/>
        </w:rPr>
        <w:t>）其他资料（格式自定）</w:t>
      </w:r>
    </w:p>
    <w:p w14:paraId="7E1CD3EA">
      <w:pPr>
        <w:pStyle w:val="3"/>
        <w:pageBreakBefore w:val="0"/>
        <w:widowControl w:val="0"/>
        <w:kinsoku/>
        <w:wordWrap/>
        <w:overflowPunct/>
        <w:topLinePunct w:val="0"/>
        <w:autoSpaceDE/>
        <w:autoSpaceDN/>
        <w:bidi w:val="0"/>
        <w:adjustRightInd/>
        <w:spacing w:before="0" w:after="0" w:line="480" w:lineRule="exact"/>
        <w:ind w:firstLine="482" w:firstLineChars="200"/>
        <w:textAlignment w:val="auto"/>
        <w:rPr>
          <w:rFonts w:hint="eastAsia" w:ascii="黑体" w:hAnsi="黑体" w:eastAsia="黑体" w:cs="黑体"/>
          <w:color w:val="auto"/>
          <w:sz w:val="24"/>
          <w:szCs w:val="24"/>
        </w:rPr>
      </w:pPr>
      <w:bookmarkStart w:id="162" w:name="_Toc89693275"/>
      <w:bookmarkStart w:id="163" w:name="_Toc687"/>
      <w:r>
        <w:rPr>
          <w:rFonts w:hint="eastAsia" w:ascii="黑体" w:hAnsi="黑体" w:eastAsia="黑体" w:cs="黑体"/>
          <w:color w:val="auto"/>
          <w:sz w:val="24"/>
          <w:szCs w:val="24"/>
        </w:rPr>
        <w:t>三、商务部分</w:t>
      </w:r>
      <w:bookmarkEnd w:id="162"/>
      <w:bookmarkEnd w:id="163"/>
    </w:p>
    <w:p w14:paraId="48D0115F">
      <w:pPr>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（一）商务响应偏离表</w:t>
      </w:r>
    </w:p>
    <w:p w14:paraId="4DB95FBC">
      <w:pPr>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（二）其它优惠服务承诺（格式自定）</w:t>
      </w:r>
    </w:p>
    <w:p w14:paraId="1C122649">
      <w:pPr>
        <w:pStyle w:val="3"/>
        <w:pageBreakBefore w:val="0"/>
        <w:widowControl w:val="0"/>
        <w:kinsoku/>
        <w:wordWrap/>
        <w:overflowPunct/>
        <w:topLinePunct w:val="0"/>
        <w:autoSpaceDE/>
        <w:autoSpaceDN/>
        <w:bidi w:val="0"/>
        <w:adjustRightInd/>
        <w:spacing w:before="0" w:after="0" w:line="480" w:lineRule="exact"/>
        <w:ind w:firstLine="482" w:firstLineChars="200"/>
        <w:textAlignment w:val="auto"/>
        <w:rPr>
          <w:rFonts w:hint="eastAsia" w:ascii="黑体" w:hAnsi="黑体" w:eastAsia="黑体" w:cs="黑体"/>
          <w:color w:val="auto"/>
          <w:sz w:val="24"/>
          <w:szCs w:val="24"/>
        </w:rPr>
      </w:pPr>
      <w:bookmarkStart w:id="164" w:name="_Toc5950"/>
      <w:bookmarkStart w:id="165" w:name="_Toc89693276"/>
      <w:r>
        <w:rPr>
          <w:rFonts w:hint="eastAsia" w:ascii="黑体" w:hAnsi="黑体" w:eastAsia="黑体" w:cs="黑体"/>
          <w:color w:val="auto"/>
          <w:sz w:val="24"/>
          <w:szCs w:val="24"/>
        </w:rPr>
        <w:t>四、资格条件及其他</w:t>
      </w:r>
      <w:bookmarkEnd w:id="164"/>
      <w:bookmarkEnd w:id="165"/>
    </w:p>
    <w:p w14:paraId="27BDD894">
      <w:pPr>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（一）法人营业执照（副本）或社会团体法人登记证书（副本）或个体工商户营业执照或有效的自然人身份证明</w:t>
      </w:r>
    </w:p>
    <w:p w14:paraId="1728B1EB">
      <w:pPr>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（二）法定代表人身份证明书（格式）</w:t>
      </w:r>
    </w:p>
    <w:p w14:paraId="3D441B02">
      <w:pPr>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（三）法定代表人授权委托书（格式）</w:t>
      </w:r>
    </w:p>
    <w:p w14:paraId="0578E8E5">
      <w:pPr>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（四）基本资格条件承诺函（格式）</w:t>
      </w:r>
    </w:p>
    <w:p w14:paraId="1FB81456">
      <w:pPr>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黑体" w:hAnsi="黑体" w:eastAsia="黑体" w:cs="黑体"/>
          <w:color w:val="auto"/>
          <w:sz w:val="24"/>
          <w:szCs w:val="24"/>
        </w:rPr>
      </w:pP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五</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rPr>
        <w:t>其他与项目有关的资料（自附）</w:t>
      </w:r>
    </w:p>
    <w:p w14:paraId="64BDF100">
      <w:pPr>
        <w:pageBreakBefore w:val="0"/>
        <w:widowControl w:val="0"/>
        <w:kinsoku/>
        <w:wordWrap/>
        <w:overflowPunct/>
        <w:topLinePunct w:val="0"/>
        <w:autoSpaceDE/>
        <w:autoSpaceDN/>
        <w:bidi w:val="0"/>
        <w:adjustRightInd/>
        <w:spacing w:line="480" w:lineRule="exact"/>
        <w:ind w:firstLine="480" w:firstLineChars="200"/>
        <w:textAlignment w:val="auto"/>
        <w:rPr>
          <w:rFonts w:hint="eastAsia" w:ascii="黑体" w:hAnsi="黑体" w:eastAsia="黑体" w:cs="黑体"/>
          <w:color w:val="auto"/>
          <w:sz w:val="24"/>
          <w:szCs w:val="24"/>
        </w:rPr>
        <w:sectPr>
          <w:headerReference r:id="rId9" w:type="default"/>
          <w:pgSz w:w="11907" w:h="16840"/>
          <w:pgMar w:top="1134" w:right="1191" w:bottom="1134" w:left="1191" w:header="851" w:footer="992" w:gutter="0"/>
          <w:pgNumType w:fmt="decimal"/>
          <w:cols w:space="720" w:num="1"/>
          <w:docGrid w:linePitch="381" w:charSpace="-5735"/>
        </w:sectPr>
      </w:pPr>
    </w:p>
    <w:p w14:paraId="5A1D7DAE">
      <w:pPr>
        <w:pageBreakBefore/>
        <w:tabs>
          <w:tab w:val="left" w:pos="6300"/>
        </w:tabs>
        <w:kinsoku/>
        <w:overflowPunct/>
        <w:topLinePunct w:val="0"/>
        <w:autoSpaceDE/>
        <w:autoSpaceDN/>
        <w:bidi w:val="0"/>
        <w:adjustRightInd/>
        <w:snapToGrid w:val="0"/>
        <w:spacing w:line="480" w:lineRule="exact"/>
        <w:rPr>
          <w:rFonts w:hint="eastAsia" w:ascii="黑体" w:hAnsi="黑体" w:eastAsia="黑体" w:cs="黑体"/>
          <w:b/>
          <w:color w:val="auto"/>
          <w:sz w:val="24"/>
          <w:szCs w:val="24"/>
        </w:rPr>
      </w:pPr>
      <w:bookmarkStart w:id="166" w:name="_Toc313888360"/>
      <w:bookmarkStart w:id="167" w:name="_Toc23764522"/>
      <w:bookmarkStart w:id="168" w:name="_Toc342913419"/>
      <w:bookmarkStart w:id="169" w:name="_Toc313008356"/>
      <w:bookmarkStart w:id="170" w:name="_Toc12789073"/>
      <w:bookmarkStart w:id="171" w:name="_Toc283382454"/>
      <w:r>
        <w:rPr>
          <w:rFonts w:hint="eastAsia" w:ascii="黑体" w:hAnsi="黑体" w:eastAsia="黑体" w:cs="黑体"/>
          <w:b/>
          <w:color w:val="auto"/>
          <w:sz w:val="24"/>
          <w:szCs w:val="24"/>
        </w:rPr>
        <w:t xml:space="preserve">  一、经济部分</w:t>
      </w:r>
      <w:bookmarkEnd w:id="166"/>
      <w:bookmarkEnd w:id="167"/>
      <w:bookmarkEnd w:id="168"/>
      <w:bookmarkEnd w:id="169"/>
    </w:p>
    <w:bookmarkEnd w:id="170"/>
    <w:bookmarkEnd w:id="171"/>
    <w:p w14:paraId="4A4BF058">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（一）竞争性比选报价函</w:t>
      </w:r>
    </w:p>
    <w:p w14:paraId="3A79B363">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b/>
          <w:color w:val="auto"/>
          <w:sz w:val="24"/>
          <w:szCs w:val="24"/>
        </w:rPr>
      </w:pPr>
      <w:r>
        <w:rPr>
          <w:rFonts w:hint="eastAsia" w:ascii="黑体" w:hAnsi="黑体" w:eastAsia="黑体" w:cs="黑体"/>
          <w:b/>
          <w:color w:val="auto"/>
          <w:sz w:val="24"/>
          <w:szCs w:val="24"/>
        </w:rPr>
        <w:t>竞争性比选报价函</w:t>
      </w:r>
    </w:p>
    <w:p w14:paraId="3382CA09">
      <w:pPr>
        <w:tabs>
          <w:tab w:val="left" w:pos="6300"/>
        </w:tabs>
        <w:kinsoku/>
        <w:overflowPunct/>
        <w:topLinePunct w:val="0"/>
        <w:autoSpaceDE/>
        <w:autoSpaceDN/>
        <w:bidi w:val="0"/>
        <w:adjustRightInd/>
        <w:snapToGrid w:val="0"/>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u w:val="single"/>
          <w:lang w:val="en-US" w:eastAsia="zh-CN"/>
        </w:rPr>
        <w:t xml:space="preserve">             </w:t>
      </w:r>
      <w:r>
        <w:rPr>
          <w:rFonts w:hint="eastAsia" w:ascii="黑体" w:hAnsi="黑体" w:eastAsia="黑体" w:cs="黑体"/>
          <w:color w:val="auto"/>
          <w:sz w:val="24"/>
          <w:szCs w:val="24"/>
          <w:u w:val="single"/>
        </w:rPr>
        <w:t>（采购人名称）</w:t>
      </w:r>
      <w:r>
        <w:rPr>
          <w:rFonts w:hint="eastAsia" w:ascii="黑体" w:hAnsi="黑体" w:eastAsia="黑体" w:cs="黑体"/>
          <w:color w:val="auto"/>
          <w:sz w:val="24"/>
          <w:szCs w:val="24"/>
          <w:u w:val="single"/>
          <w:lang w:val="en-US" w:eastAsia="zh-CN"/>
        </w:rPr>
        <w:t xml:space="preserve"> </w:t>
      </w:r>
      <w:r>
        <w:rPr>
          <w:rFonts w:hint="eastAsia" w:ascii="黑体" w:hAnsi="黑体" w:eastAsia="黑体" w:cs="黑体"/>
          <w:color w:val="auto"/>
          <w:sz w:val="24"/>
          <w:szCs w:val="24"/>
        </w:rPr>
        <w:t>：</w:t>
      </w:r>
    </w:p>
    <w:p w14:paraId="4EDA2106">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我方收到____________________________（项目名称）的竞争性比选文件，经详细研究，决定参加该项目的比选。</w:t>
      </w:r>
    </w:p>
    <w:p w14:paraId="71E031FA">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1.愿意按照竞争性比选文件中的一切要求，提供本项目的供货及服务，愿意以小写：</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 xml:space="preserve">% </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 xml:space="preserve">               （大写：百分之</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）作为本项目的投标报价折扣。</w:t>
      </w:r>
    </w:p>
    <w:p w14:paraId="0A00C562">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2.我方现提交的响应文件为：响应文件正本</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份，副本</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份，电子文档</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份。</w:t>
      </w:r>
    </w:p>
    <w:p w14:paraId="6C8DB468">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3.我方承诺：本次比选的有效期为90天。</w:t>
      </w:r>
    </w:p>
    <w:p w14:paraId="0E08C918">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4.我方完全理解和接受贵方竞争性比选文件的一切规定和要求及评审办法。</w:t>
      </w:r>
    </w:p>
    <w:p w14:paraId="46889547">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5.在整个竞争性比选过程中，我方若有违规行为，接受按照《中华人民共和国政府采购法》和《竞争性比选文件》之规定给予惩罚。</w:t>
      </w:r>
    </w:p>
    <w:p w14:paraId="63074C5A">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6.我方若成为成交供应商，将按照最终比选结果签订合同，并且严格履行合同义务。本承诺函将成为合同不可分割的一部分，与合同具有同等的法律效力。</w:t>
      </w:r>
    </w:p>
    <w:p w14:paraId="031F3591">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7. 我方同意按竞争性比选文件规定，交纳竞争性比选文件要求的比选保证金。如果我方成为成交供应商，保证在接到成交通知书后，按竞争性比选文件规定缴纳采购代理服务费。</w:t>
      </w:r>
    </w:p>
    <w:p w14:paraId="17295369">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8.我方未为采购项目提供整体设计、规范编制或者项目管理、监理、检测等服务。</w:t>
      </w:r>
    </w:p>
    <w:p w14:paraId="7D3E8C32">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供应商（公章）：</w:t>
      </w:r>
    </w:p>
    <w:p w14:paraId="32C171E7">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法定代表人签字及盖章：</w:t>
      </w:r>
    </w:p>
    <w:p w14:paraId="51BA964A">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 xml:space="preserve">地址：  </w:t>
      </w:r>
    </w:p>
    <w:p w14:paraId="39B3428B">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电话：                                             传真：</w:t>
      </w:r>
    </w:p>
    <w:p w14:paraId="502BD8FA">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网址：                                             邮编：</w:t>
      </w:r>
    </w:p>
    <w:p w14:paraId="4A54E031">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联系人：</w:t>
      </w:r>
    </w:p>
    <w:p w14:paraId="2E2C4C67">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6EE92B91">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 xml:space="preserve">                                                  年   月   日</w:t>
      </w:r>
    </w:p>
    <w:p w14:paraId="597A567F">
      <w:pPr>
        <w:pStyle w:val="3"/>
        <w:numPr>
          <w:ilvl w:val="0"/>
          <w:numId w:val="0"/>
        </w:numPr>
        <w:kinsoku/>
        <w:overflowPunct/>
        <w:topLinePunct w:val="0"/>
        <w:autoSpaceDE/>
        <w:autoSpaceDN/>
        <w:bidi w:val="0"/>
        <w:adjustRightInd/>
        <w:spacing w:before="0" w:after="0" w:line="480" w:lineRule="exact"/>
        <w:ind w:firstLine="480" w:firstLineChars="200"/>
        <w:rPr>
          <w:rFonts w:hint="eastAsia"/>
          <w:lang w:eastAsia="zh-CN"/>
        </w:rPr>
      </w:pPr>
      <w:bookmarkStart w:id="172" w:name="_Toc313888361"/>
      <w:bookmarkStart w:id="173" w:name="_Toc23764523"/>
      <w:bookmarkStart w:id="174" w:name="_Toc342913420"/>
      <w:bookmarkStart w:id="175" w:name="_Toc313008357"/>
      <w:r>
        <w:rPr>
          <w:rFonts w:hint="eastAsia" w:ascii="黑体" w:hAnsi="黑体" w:eastAsia="黑体" w:cs="黑体"/>
          <w:b w:val="0"/>
          <w:bCs/>
          <w:color w:val="auto"/>
          <w:sz w:val="24"/>
          <w:szCs w:val="24"/>
          <w:lang w:eastAsia="zh-CN"/>
        </w:rPr>
        <w:t>（二）报价明细表</w:t>
      </w:r>
    </w:p>
    <w:tbl>
      <w:tblPr>
        <w:tblStyle w:val="12"/>
        <w:tblW w:w="9225" w:type="dxa"/>
        <w:tblInd w:w="-405" w:type="dxa"/>
        <w:tblLayout w:type="fixed"/>
        <w:tblCellMar>
          <w:top w:w="0" w:type="dxa"/>
          <w:left w:w="108" w:type="dxa"/>
          <w:bottom w:w="0" w:type="dxa"/>
          <w:right w:w="108" w:type="dxa"/>
        </w:tblCellMar>
      </w:tblPr>
      <w:tblGrid>
        <w:gridCol w:w="945"/>
        <w:gridCol w:w="3045"/>
        <w:gridCol w:w="1950"/>
        <w:gridCol w:w="1350"/>
        <w:gridCol w:w="1935"/>
      </w:tblGrid>
      <w:tr w14:paraId="5D8C483D">
        <w:tblPrEx>
          <w:tblCellMar>
            <w:top w:w="0" w:type="dxa"/>
            <w:left w:w="108" w:type="dxa"/>
            <w:bottom w:w="0" w:type="dxa"/>
            <w:right w:w="108" w:type="dxa"/>
          </w:tblCellMar>
        </w:tblPrEx>
        <w:trPr>
          <w:trHeight w:val="680" w:hRule="atLeast"/>
        </w:trPr>
        <w:tc>
          <w:tcPr>
            <w:tcW w:w="945" w:type="dxa"/>
            <w:tcBorders>
              <w:top w:val="single" w:color="000000" w:sz="4" w:space="0"/>
              <w:left w:val="single" w:color="auto" w:sz="4" w:space="0"/>
              <w:bottom w:val="single" w:color="auto" w:sz="4" w:space="0"/>
              <w:right w:val="single" w:color="000000" w:sz="4" w:space="0"/>
            </w:tcBorders>
            <w:shd w:val="clear" w:color="auto" w:fill="auto"/>
            <w:vAlign w:val="center"/>
          </w:tcPr>
          <w:p w14:paraId="7A9511C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Style w:val="17"/>
                <w:rFonts w:hint="eastAsia" w:ascii="黑体" w:hAnsi="黑体" w:eastAsia="黑体" w:cs="黑体"/>
                <w:color w:val="auto"/>
                <w:sz w:val="24"/>
                <w:szCs w:val="24"/>
                <w:highlight w:val="none"/>
                <w:lang w:bidi="ar"/>
              </w:rPr>
              <w:t>序号</w:t>
            </w:r>
          </w:p>
        </w:tc>
        <w:tc>
          <w:tcPr>
            <w:tcW w:w="3045" w:type="dxa"/>
            <w:tcBorders>
              <w:top w:val="single" w:color="000000" w:sz="4" w:space="0"/>
              <w:left w:val="single" w:color="000000" w:sz="4" w:space="0"/>
              <w:bottom w:val="single" w:color="auto" w:sz="4" w:space="0"/>
              <w:right w:val="single" w:color="000000" w:sz="4" w:space="0"/>
            </w:tcBorders>
            <w:shd w:val="clear" w:color="auto" w:fill="auto"/>
            <w:vAlign w:val="center"/>
          </w:tcPr>
          <w:p w14:paraId="511D285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Style w:val="17"/>
                <w:rFonts w:hint="eastAsia" w:ascii="黑体" w:hAnsi="黑体" w:eastAsia="黑体" w:cs="黑体"/>
                <w:color w:val="auto"/>
                <w:sz w:val="24"/>
                <w:szCs w:val="24"/>
                <w:highlight w:val="none"/>
                <w:lang w:bidi="ar"/>
              </w:rPr>
              <w:t>货物名称</w:t>
            </w:r>
          </w:p>
        </w:tc>
        <w:tc>
          <w:tcPr>
            <w:tcW w:w="1950" w:type="dxa"/>
            <w:tcBorders>
              <w:top w:val="single" w:color="000000" w:sz="4" w:space="0"/>
              <w:left w:val="single" w:color="000000" w:sz="4" w:space="0"/>
              <w:bottom w:val="single" w:color="auto" w:sz="4" w:space="0"/>
              <w:right w:val="single" w:color="000000" w:sz="4" w:space="0"/>
            </w:tcBorders>
            <w:shd w:val="clear" w:color="auto" w:fill="auto"/>
            <w:vAlign w:val="center"/>
          </w:tcPr>
          <w:p w14:paraId="098957A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lang w:eastAsia="zh-CN"/>
              </w:rPr>
            </w:pPr>
            <w:r>
              <w:rPr>
                <w:rStyle w:val="17"/>
                <w:rFonts w:hint="eastAsia" w:ascii="黑体" w:hAnsi="黑体" w:eastAsia="黑体" w:cs="黑体"/>
                <w:color w:val="auto"/>
                <w:sz w:val="24"/>
                <w:szCs w:val="24"/>
                <w:highlight w:val="none"/>
                <w:lang w:eastAsia="zh-CN" w:bidi="ar"/>
              </w:rPr>
              <w:t>规格</w:t>
            </w:r>
            <w:r>
              <w:rPr>
                <w:rStyle w:val="17"/>
                <w:rFonts w:hint="eastAsia" w:ascii="黑体" w:hAnsi="黑体" w:eastAsia="黑体" w:cs="黑体"/>
                <w:color w:val="auto"/>
                <w:sz w:val="24"/>
                <w:szCs w:val="24"/>
                <w:highlight w:val="none"/>
                <w:lang w:val="en-US" w:eastAsia="zh-CN" w:bidi="ar"/>
              </w:rPr>
              <w:t>/</w:t>
            </w:r>
            <w:r>
              <w:rPr>
                <w:rStyle w:val="17"/>
                <w:rFonts w:hint="eastAsia" w:ascii="黑体" w:hAnsi="黑体" w:eastAsia="黑体" w:cs="黑体"/>
                <w:color w:val="auto"/>
                <w:sz w:val="24"/>
                <w:szCs w:val="24"/>
                <w:highlight w:val="none"/>
                <w:lang w:eastAsia="zh-CN" w:bidi="ar"/>
              </w:rPr>
              <w:t>单位</w:t>
            </w:r>
          </w:p>
        </w:tc>
        <w:tc>
          <w:tcPr>
            <w:tcW w:w="1350" w:type="dxa"/>
            <w:tcBorders>
              <w:top w:val="single" w:color="000000" w:sz="4" w:space="0"/>
              <w:left w:val="single" w:color="000000" w:sz="4" w:space="0"/>
              <w:bottom w:val="single" w:color="auto" w:sz="4" w:space="0"/>
              <w:right w:val="single" w:color="000000" w:sz="4" w:space="0"/>
            </w:tcBorders>
            <w:shd w:val="clear" w:color="auto" w:fill="auto"/>
            <w:vAlign w:val="center"/>
          </w:tcPr>
          <w:p w14:paraId="7326272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数量</w:t>
            </w:r>
          </w:p>
        </w:tc>
        <w:tc>
          <w:tcPr>
            <w:tcW w:w="1935" w:type="dxa"/>
            <w:tcBorders>
              <w:top w:val="single" w:color="000000" w:sz="4" w:space="0"/>
              <w:left w:val="single" w:color="000000" w:sz="4" w:space="0"/>
              <w:bottom w:val="single" w:color="auto" w:sz="4" w:space="0"/>
              <w:right w:val="single" w:color="000000" w:sz="4" w:space="0"/>
            </w:tcBorders>
            <w:shd w:val="clear" w:color="auto" w:fill="auto"/>
            <w:vAlign w:val="center"/>
          </w:tcPr>
          <w:p w14:paraId="191D375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单价（元）</w:t>
            </w:r>
          </w:p>
        </w:tc>
      </w:tr>
      <w:tr w14:paraId="4D5C5C52">
        <w:tblPrEx>
          <w:tblCellMar>
            <w:top w:w="0" w:type="dxa"/>
            <w:left w:w="108" w:type="dxa"/>
            <w:bottom w:w="0" w:type="dxa"/>
            <w:right w:w="108" w:type="dxa"/>
          </w:tblCellMar>
        </w:tblPrEx>
        <w:trPr>
          <w:trHeight w:val="680" w:hRule="atLeast"/>
        </w:trPr>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4234F0A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1</w:t>
            </w:r>
          </w:p>
        </w:tc>
        <w:tc>
          <w:tcPr>
            <w:tcW w:w="3045" w:type="dxa"/>
            <w:tcBorders>
              <w:top w:val="single" w:color="auto" w:sz="4" w:space="0"/>
              <w:left w:val="single" w:color="000000" w:sz="4" w:space="0"/>
              <w:bottom w:val="single" w:color="000000" w:sz="4" w:space="0"/>
              <w:right w:val="single" w:color="000000" w:sz="4" w:space="0"/>
            </w:tcBorders>
            <w:shd w:val="clear" w:color="auto" w:fill="auto"/>
            <w:vAlign w:val="center"/>
          </w:tcPr>
          <w:p w14:paraId="1329BB4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固态聚氯化铝</w:t>
            </w:r>
          </w:p>
        </w:tc>
        <w:tc>
          <w:tcPr>
            <w:tcW w:w="1950" w:type="dxa"/>
            <w:tcBorders>
              <w:top w:val="single" w:color="auto" w:sz="4" w:space="0"/>
              <w:left w:val="single" w:color="000000" w:sz="4" w:space="0"/>
              <w:bottom w:val="single" w:color="000000" w:sz="4" w:space="0"/>
              <w:right w:val="single" w:color="000000" w:sz="4" w:space="0"/>
            </w:tcBorders>
            <w:shd w:val="clear" w:color="auto" w:fill="auto"/>
            <w:vAlign w:val="center"/>
          </w:tcPr>
          <w:p w14:paraId="69AB96A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吨</w:t>
            </w:r>
          </w:p>
        </w:tc>
        <w:tc>
          <w:tcPr>
            <w:tcW w:w="1350" w:type="dxa"/>
            <w:tcBorders>
              <w:top w:val="single" w:color="auto" w:sz="4" w:space="0"/>
              <w:left w:val="single" w:color="000000" w:sz="4" w:space="0"/>
              <w:bottom w:val="single" w:color="000000" w:sz="4" w:space="0"/>
              <w:right w:val="single" w:color="000000" w:sz="4" w:space="0"/>
            </w:tcBorders>
            <w:shd w:val="clear" w:color="auto" w:fill="auto"/>
            <w:vAlign w:val="center"/>
          </w:tcPr>
          <w:p w14:paraId="683CA71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auto" w:sz="4" w:space="0"/>
              <w:left w:val="single" w:color="000000" w:sz="4" w:space="0"/>
              <w:bottom w:val="single" w:color="000000" w:sz="4" w:space="0"/>
              <w:right w:val="single" w:color="000000" w:sz="4" w:space="0"/>
            </w:tcBorders>
            <w:shd w:val="clear" w:color="auto" w:fill="auto"/>
            <w:vAlign w:val="center"/>
          </w:tcPr>
          <w:p w14:paraId="58F08EF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178D7C98">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5223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CF59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液态聚氯化铝</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AF7E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吨</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ADEC3">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6E21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08D75E72">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F334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3</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E9B0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AB剂</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A9C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0F8E">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091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171EB8C9">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6B65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4</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54AA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阳离子聚丙烯酰胺</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F36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吨</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6AC9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A39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09FC196B">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C3C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5</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1FE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活性炭</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A017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吨</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398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BA7F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5E4AC4F2">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ECF89">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6</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B6F6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高纯度二氧化氯</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5241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25Kg/桶</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C131">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542B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38C737B7">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99C3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7</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8515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清时捷PH酚红指示剂</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9214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50ml/瓶</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BBC9">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0EFC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36187CE2">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DFFC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8</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C028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清时捷余氯试剂</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F1CC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B-ARK/套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73DA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8064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0453FC81">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A47C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9</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3A2A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宇微总大肠菌群测试板</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89E6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25片/套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6D9A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996C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6AC13B7A">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27A9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10</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13D3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总大肠菌群科立得试剂</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C3C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WCHN200/盒</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8EDF3">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1A97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4D6D3527">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842F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11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985A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无菌取样瓶</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E58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WV120SBST-200/箱</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BFF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26F8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67AE11A9">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CA0B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12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595B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宇微菌落总数测试板</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2B4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25片/套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575A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C383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346C2FBA">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FE7A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13</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692E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simplate菌落总数试剂</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FE10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WHPC-25/盒</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77B1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6EF1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4246E59D">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CD67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14</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337D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哈希余氯试剂</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47FE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包</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298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5CBB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6D369189">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D7FC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15</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62BE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百灵达余氯试剂</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8A8E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250次/盒</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E89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0241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1608CBD0">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C6563">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16</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0CF1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百灵达PH试剂</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92E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250次/盒</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35CE">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775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4AA7AE14">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6066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17</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D694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高锰酸盐指数（碱性）CODmn（陆恒生物）</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67C7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50次/套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A8C5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1D0F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348DDF92">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13259">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18</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927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清时捷比色瓶</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049D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12ml/个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05531">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8CD9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05FA2CFC">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A90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19</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EAAD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无菌水</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EF18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120ml/瓶</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4AEC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78BF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49DD1F9D">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EFDB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20</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2E97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梅特勒ph标液4</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F88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3CB49">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8C99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0B9B4E03">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0FF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21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5735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梅特勒PH标液7</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B3B7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DA9F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AC0B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3559E28C">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8BEC">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22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48DB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梅特勒PH标液10</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289B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2975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53F6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6DCD8C1B">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AFB6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23</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6D07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梅特勒PH保护液</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1AD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250ml</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5A419">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B83C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07637865">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924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24</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440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爱德士97孔定量盘</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FF8F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100个/箱</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2F2C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09A8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34514B3D">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5724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25</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331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梅特勒F2探头LE438</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E10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DC8C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C049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5B80A083">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554E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26</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A0C8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梅特勒S210探头</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3F7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20A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35F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54D06FE3">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D539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27</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53DD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赛默飞移液器</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E01F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5ml/个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5D1D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A140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6B887361">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A5A1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28</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5D2E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赛默飞移液器</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FB50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1ml/个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600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960A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1FB2C4E8">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EAD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29</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0D3F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赛默飞移液头</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638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5ml，100次/包</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2067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747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16EE0BA8">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AC58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30</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947E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赛默飞移液头</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9994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1ml，100次/包</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9EFA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1ED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5C8DA182">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F874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31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AEA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广口瓶（取样）</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803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250ml</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B32B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CE08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72E5545E">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0E59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32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71E8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塑料氟化瓶（取样）</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F8F0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CD1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C79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3C5A0C9D">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2D8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33</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9D42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一次性无菌水样取样袋</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7E27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100个/箱</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D805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C43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35BBEA19">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545D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34</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3D26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陆恒COD试管</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D46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25支/盒</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1B09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F836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0BD23661">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6747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35</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9940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哈希2100Q浊度仪测量瓶</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F13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6个/盒</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3904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E631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7F36A68F">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C505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36</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9D9C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2100Q浊度仪成套小瓶标液</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5C9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6C06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98F8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05FFB67D">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756C1">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37</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AFBB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哈希DR300余氯仪测试瓶</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4E75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6个/套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B731">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7482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144B2D83">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02B3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38</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643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移液器</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BDB7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BA84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C03A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3B863BBD">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0740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auto"/>
                <w:kern w:val="0"/>
                <w:sz w:val="24"/>
                <w:szCs w:val="24"/>
                <w:highlight w:val="none"/>
                <w:lang w:bidi="ar"/>
              </w:rPr>
              <w:t>39</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7FE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玻璃刻度吸管（移液管）</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5201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10ml</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250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r>
              <w:rPr>
                <w:rFonts w:hint="eastAsia" w:ascii="黑体" w:hAnsi="黑体" w:eastAsia="黑体" w:cs="黑体"/>
                <w:color w:val="000000" w:themeColor="text1"/>
                <w:sz w:val="24"/>
                <w:szCs w:val="24"/>
                <w:highlight w:val="none"/>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C2CD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sz w:val="24"/>
                <w:szCs w:val="24"/>
                <w:highlight w:val="none"/>
              </w:rPr>
            </w:pPr>
          </w:p>
        </w:tc>
      </w:tr>
      <w:tr w14:paraId="0E7F4915">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64B4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auto"/>
                <w:kern w:val="0"/>
                <w:sz w:val="24"/>
                <w:szCs w:val="24"/>
                <w:highlight w:val="none"/>
                <w:lang w:bidi="ar"/>
              </w:rPr>
              <w:t>40</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F63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玻璃刻度吸管（移液管）</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4B3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1ml</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0D7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61B9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0632BDE2">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C5149">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auto"/>
                <w:kern w:val="0"/>
                <w:sz w:val="24"/>
                <w:szCs w:val="24"/>
                <w:highlight w:val="none"/>
                <w:lang w:bidi="ar"/>
              </w:rPr>
              <w:t>41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89A8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量筒</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6567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100ml</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F231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DDC7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0C556212">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E5C33">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42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16CE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量筒</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2464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250ml</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8235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B04F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1746DE38">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52CC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43</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3158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烧杯</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41C2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8496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4577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30699311">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FE7E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44</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AEFC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烧杯</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6F6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1000ml</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FDD7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7BFA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7AC32EDD">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E772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45</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F708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洗耳头（吸水头）</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2C4C8">
            <w:pPr>
              <w:kinsoku/>
              <w:overflowPunct/>
              <w:topLinePunct w:val="0"/>
              <w:autoSpaceDE/>
              <w:autoSpaceDN/>
              <w:bidi w:val="0"/>
              <w:adjustRightInd/>
              <w:spacing w:line="480" w:lineRule="exact"/>
              <w:jc w:val="center"/>
              <w:rPr>
                <w:rFonts w:hint="eastAsia" w:ascii="黑体" w:hAnsi="黑体" w:eastAsia="黑体" w:cs="黑体"/>
                <w:color w:val="auto"/>
                <w:kern w:val="0"/>
                <w:sz w:val="24"/>
                <w:szCs w:val="24"/>
                <w:highlight w:val="none"/>
                <w:lang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3A491">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337C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02F0EC28">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34AD9">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46</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15F9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化验室工作服</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8DA9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D91B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AE9C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6658E38E">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F67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47</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82B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清时捷便携式余氯检测仪校正维护</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72C6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Q-CL501B</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201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258C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2E4107CB">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0B4F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48</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E200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清时捷便携式浊度检测仪校正维护</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5E77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TB-2000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3924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DEB2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3D831337">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5A1C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49</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73B1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清时捷便携式五合一检测仪校正维护</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DD9E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T-CP40(标准型）</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2763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B7CA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1F1A67E5">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E563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50</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9DE6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百灵达多参数水质分析仪校正维护</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7AD0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RW7</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9094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58BC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75DFD759">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53B0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51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17F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百灵达浊度仪校正维护</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3A8E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CT12</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050D9">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1B54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35B0D6D6">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4C8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52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3F4D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哈希浊度仪校正维护</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EDCC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2100Q</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1525C">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841D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655F7A50">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9FBC3">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53</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13B3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哈希余氯仪校正维护</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BFCB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DR300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FFD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0CF5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0F6724DF">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4302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54</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81E0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精创实验室专用温湿度记录仪</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F1B7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3AD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AAB0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6D378BD7">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587D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55</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1504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清时捷二氧化氯试剂</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B746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B-ARK（100次/套）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488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6300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504C3EB3">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378F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56</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EE0B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清时捷高锰酸盐指数试剂</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80CB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500mL/瓶，3瓶</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D086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285B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4B50F437">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6F5BC">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57</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932E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清时捷耗氧量R1（硫酸溶液1+3）</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2662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500mL/瓶</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99F7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B10B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47174345">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565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58</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781E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清时捷耗氧量R2（高锰酸钾储备液）</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8E9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500mL/瓶</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5CA11">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7E1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7AD345AC">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7D93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59</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14B1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清时捷耗氧量R3（草酸钠储备液）</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6326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500mL/瓶</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4D4C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3822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4BBAC359">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0CFC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60</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FEC4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清时捷菌落总数培养基（套装）</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11EF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50次/套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46A1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844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08374B1D">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2B0C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61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FFDE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清时捷总大肠菌群培养基—（套装）</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7111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50次/套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5A969">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70C0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20638059">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4410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62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7AE0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清时捷巴氏无菌吸管1ml</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D2F3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50个/包</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F50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8796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2E2C37F8">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641A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63</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2E12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清时捷巴氏无菌吸管3ml</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F14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30个/包</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AEF5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B9A8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7235BB27">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C6A3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64</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E90B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清时捷9CM无菌培养皿</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7F8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10个/包，5包/套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72D8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18C7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48030C94">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FCF5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65</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7E71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清时捷1ml 移液枪头</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69C2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1盒/98次，1ml</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B98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DEC4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7B27201E">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BF08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66</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C19A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清时捷5ml 移液枪头</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AA4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1盒/28次，5ml</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B854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5B8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2C8B5A8D">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D715D">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67</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7C9A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清时捷10ml 移液枪头</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01AD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1盒/15次，10ml</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8F5F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59B5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487E3392">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2B4C">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68</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9D1E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清时捷无水乙醇</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26C8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500mL/瓶</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30E7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1246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6E6068D8">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299A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69</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4CA5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清时捷无菌滤膜</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C5BB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47mm 0.45um 200张</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3DC1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66C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6045B1D2">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F80F1">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70</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91C79">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清时捷灯芯棉线</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807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20CM/</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3575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F103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588A67DD">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3E78">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71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9EB4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清时捷氨氮试剂</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854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B-ARK（100次/套）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60A59">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70CB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3E4BF67E">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1A5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72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914A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清时捷大肠埃希氏菌培养基（套装）</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7FC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6瓶/套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8FD4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2D68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41F7754F">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301CE">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73</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088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清时捷11-12CM中性滤纸</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83E18">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100张/盒</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2BE8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3115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35D185E4">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57E3">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74</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E950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清时捷长绒棉球</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282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28g</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C6903">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1A1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1BDFA90F">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9FAE0">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75</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E606">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清时捷水样采集无菌袋（含硫代硫酸钠）</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CC99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500mL/个</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D69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B04B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26E6A0B2">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AFBDE">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76</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60C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清时捷250ml 烧杯</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DD37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250ml</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E860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0B11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49DE2AC9">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6D1B9">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77</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3B0F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清时捷滴定泵管</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CFE1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滴定 14#</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DCEB3">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7128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07124F74">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508A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78</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DCF1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清时捷浊度比色瓶</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8C3B">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2个/盒</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335F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AE455">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0598DE4B">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C48F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79</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2F572">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清时捷试剂比色瓶</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A8FB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12.5ml</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31B6F">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ACD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3BA6D85E">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66F6">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80</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8A71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清时捷浊度验证液</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209A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B-ARK</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CB2B2">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4593">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52669554">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960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81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47F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清时捷水浴锅</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8252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1.5L</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4E867">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F000C">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4A04B026">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7ED9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82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E8060">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清时捷不锈钢水浴锅支架</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44B27">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4孔</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F843B">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15ED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1B45EF39">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FED4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83</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2DF8E">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清时捷镊子</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6EE81">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不锈钢医用</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736A">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3126A">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r w14:paraId="6ECA3523">
        <w:tblPrEx>
          <w:tblCellMar>
            <w:top w:w="0" w:type="dxa"/>
            <w:left w:w="108" w:type="dxa"/>
            <w:bottom w:w="0" w:type="dxa"/>
            <w:right w:w="108" w:type="dxa"/>
          </w:tblCellMar>
        </w:tblPrEx>
        <w:trPr>
          <w:trHeight w:val="68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AE854">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val="en-US" w:eastAsia="zh-CN" w:bidi="ar"/>
              </w:rPr>
            </w:pPr>
            <w:r>
              <w:rPr>
                <w:rFonts w:hint="eastAsia" w:ascii="黑体" w:hAnsi="黑体" w:eastAsia="黑体" w:cs="黑体"/>
                <w:color w:val="auto"/>
                <w:kern w:val="0"/>
                <w:sz w:val="24"/>
                <w:szCs w:val="24"/>
                <w:highlight w:val="none"/>
                <w:lang w:val="en-US" w:eastAsia="zh-CN" w:bidi="ar"/>
              </w:rPr>
              <w:t>84</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788CD">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紫外线消毒灯管</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E0484">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i w:val="0"/>
                <w:iCs w:val="0"/>
                <w:color w:val="000000" w:themeColor="text1"/>
                <w:kern w:val="0"/>
                <w:sz w:val="24"/>
                <w:szCs w:val="24"/>
                <w:u w:val="none"/>
                <w:lang w:val="en-US" w:eastAsia="zh-CN" w:bidi="ar"/>
                <w14:textFill>
                  <w14:solidFill>
                    <w14:schemeClr w14:val="tx1"/>
                  </w14:solidFill>
                </w14:textFill>
              </w:rPr>
              <w:t>T8-15W-长43.7cm</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E155">
            <w:pPr>
              <w:widowControl/>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r>
              <w:rPr>
                <w:rFonts w:hint="eastAsia" w:ascii="黑体" w:hAnsi="黑体" w:eastAsia="黑体" w:cs="黑体"/>
                <w:color w:val="000000" w:themeColor="text1"/>
                <w:kern w:val="0"/>
                <w:sz w:val="24"/>
                <w:szCs w:val="24"/>
                <w:highlight w:val="none"/>
                <w:lang w:bidi="ar"/>
                <w14:textFill>
                  <w14:solidFill>
                    <w14:schemeClr w14:val="tx1"/>
                  </w14:solidFill>
                </w14:textFill>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819AF">
            <w:pPr>
              <w:keepNext w:val="0"/>
              <w:keepLines w:val="0"/>
              <w:widowControl/>
              <w:suppressLineNumbers w:val="0"/>
              <w:kinsoku/>
              <w:overflowPunct/>
              <w:topLinePunct w:val="0"/>
              <w:autoSpaceDE/>
              <w:autoSpaceDN/>
              <w:bidi w:val="0"/>
              <w:adjustRightInd/>
              <w:spacing w:line="480" w:lineRule="exact"/>
              <w:jc w:val="center"/>
              <w:textAlignment w:val="center"/>
              <w:rPr>
                <w:rFonts w:hint="eastAsia" w:ascii="黑体" w:hAnsi="黑体" w:eastAsia="黑体" w:cs="黑体"/>
                <w:color w:val="auto"/>
                <w:kern w:val="0"/>
                <w:sz w:val="24"/>
                <w:szCs w:val="24"/>
                <w:highlight w:val="none"/>
                <w:lang w:bidi="ar"/>
              </w:rPr>
            </w:pPr>
          </w:p>
        </w:tc>
      </w:tr>
    </w:tbl>
    <w:p w14:paraId="08018330">
      <w:pPr>
        <w:pStyle w:val="3"/>
        <w:kinsoku/>
        <w:overflowPunct/>
        <w:topLinePunct w:val="0"/>
        <w:autoSpaceDE/>
        <w:autoSpaceDN/>
        <w:bidi w:val="0"/>
        <w:adjustRightInd/>
        <w:spacing w:line="480" w:lineRule="exact"/>
        <w:jc w:val="both"/>
        <w:rPr>
          <w:rFonts w:hint="eastAsia" w:ascii="黑体" w:hAnsi="黑体" w:eastAsia="黑体" w:cs="黑体"/>
          <w:color w:val="auto"/>
          <w:sz w:val="24"/>
          <w:szCs w:val="24"/>
        </w:rPr>
      </w:pPr>
    </w:p>
    <w:p w14:paraId="2488487B">
      <w:pPr>
        <w:pageBreakBefore/>
        <w:tabs>
          <w:tab w:val="left" w:pos="6300"/>
        </w:tabs>
        <w:kinsoku/>
        <w:overflowPunct/>
        <w:topLinePunct w:val="0"/>
        <w:autoSpaceDE/>
        <w:autoSpaceDN/>
        <w:bidi w:val="0"/>
        <w:adjustRightInd/>
        <w:snapToGrid w:val="0"/>
        <w:spacing w:line="480" w:lineRule="exact"/>
        <w:ind w:firstLine="482" w:firstLineChars="200"/>
        <w:rPr>
          <w:rFonts w:hint="eastAsia" w:ascii="黑体" w:hAnsi="黑体" w:eastAsia="黑体" w:cs="黑体"/>
          <w:color w:val="auto"/>
          <w:sz w:val="24"/>
          <w:szCs w:val="24"/>
        </w:rPr>
      </w:pPr>
      <w:r>
        <w:rPr>
          <w:rFonts w:hint="eastAsia" w:ascii="黑体" w:hAnsi="黑体" w:eastAsia="黑体" w:cs="黑体"/>
          <w:b/>
          <w:color w:val="auto"/>
          <w:sz w:val="24"/>
          <w:szCs w:val="24"/>
        </w:rPr>
        <w:t>二、技术部分</w:t>
      </w:r>
      <w:bookmarkEnd w:id="172"/>
      <w:bookmarkEnd w:id="173"/>
      <w:bookmarkEnd w:id="174"/>
      <w:bookmarkEnd w:id="175"/>
    </w:p>
    <w:p w14:paraId="5B46027E">
      <w:pPr>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一</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rPr>
        <w:t>技术响应偏离表</w:t>
      </w:r>
    </w:p>
    <w:p w14:paraId="0FCC0CF0">
      <w:pPr>
        <w:pStyle w:val="8"/>
        <w:tabs>
          <w:tab w:val="left" w:pos="6300"/>
        </w:tabs>
        <w:kinsoku/>
        <w:overflowPunct/>
        <w:topLinePunct w:val="0"/>
        <w:autoSpaceDE/>
        <w:autoSpaceDN/>
        <w:bidi w:val="0"/>
        <w:adjustRightInd/>
        <w:snapToGrid w:val="0"/>
        <w:spacing w:line="480" w:lineRule="exact"/>
        <w:ind w:firstLine="480" w:firstLineChars="200"/>
        <w:outlineLvl w:val="0"/>
        <w:rPr>
          <w:rFonts w:hint="eastAsia" w:ascii="黑体" w:hAnsi="黑体" w:eastAsia="黑体" w:cs="黑体"/>
          <w:color w:val="auto"/>
          <w:sz w:val="24"/>
          <w:szCs w:val="24"/>
        </w:rPr>
      </w:pPr>
      <w:r>
        <w:rPr>
          <w:rFonts w:hint="eastAsia" w:ascii="黑体" w:hAnsi="黑体" w:eastAsia="黑体" w:cs="黑体"/>
          <w:color w:val="auto"/>
          <w:sz w:val="24"/>
          <w:szCs w:val="24"/>
        </w:rPr>
        <w:t>项目名称：</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658"/>
        <w:gridCol w:w="2759"/>
        <w:gridCol w:w="2633"/>
      </w:tblGrid>
      <w:tr w14:paraId="7DDDC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38" w:type="dxa"/>
            <w:vAlign w:val="center"/>
          </w:tcPr>
          <w:p w14:paraId="4C790E88">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r>
              <w:rPr>
                <w:rFonts w:hint="eastAsia" w:ascii="黑体" w:hAnsi="黑体" w:eastAsia="黑体" w:cs="黑体"/>
                <w:color w:val="auto"/>
                <w:sz w:val="24"/>
                <w:szCs w:val="24"/>
              </w:rPr>
              <w:t>序号</w:t>
            </w:r>
          </w:p>
        </w:tc>
        <w:tc>
          <w:tcPr>
            <w:tcW w:w="2658" w:type="dxa"/>
            <w:vAlign w:val="center"/>
          </w:tcPr>
          <w:p w14:paraId="6CD8CB04">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r>
              <w:rPr>
                <w:rFonts w:hint="eastAsia" w:ascii="黑体" w:hAnsi="黑体" w:eastAsia="黑体" w:cs="黑体"/>
                <w:color w:val="auto"/>
                <w:sz w:val="24"/>
                <w:szCs w:val="24"/>
              </w:rPr>
              <w:t>采购需求</w:t>
            </w:r>
          </w:p>
        </w:tc>
        <w:tc>
          <w:tcPr>
            <w:tcW w:w="2759" w:type="dxa"/>
            <w:vAlign w:val="center"/>
          </w:tcPr>
          <w:p w14:paraId="5DB62B42">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r>
              <w:rPr>
                <w:rFonts w:hint="eastAsia" w:ascii="黑体" w:hAnsi="黑体" w:eastAsia="黑体" w:cs="黑体"/>
                <w:color w:val="auto"/>
                <w:sz w:val="24"/>
                <w:szCs w:val="24"/>
              </w:rPr>
              <w:t>响应情况</w:t>
            </w:r>
          </w:p>
        </w:tc>
        <w:tc>
          <w:tcPr>
            <w:tcW w:w="2633" w:type="dxa"/>
            <w:vAlign w:val="center"/>
          </w:tcPr>
          <w:p w14:paraId="52E64B47">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r>
              <w:rPr>
                <w:rFonts w:hint="eastAsia" w:ascii="黑体" w:hAnsi="黑体" w:eastAsia="黑体" w:cs="黑体"/>
                <w:color w:val="auto"/>
                <w:sz w:val="24"/>
                <w:szCs w:val="24"/>
              </w:rPr>
              <w:t>差异说明</w:t>
            </w:r>
          </w:p>
        </w:tc>
      </w:tr>
      <w:tr w14:paraId="4F76B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113415F7">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658" w:type="dxa"/>
            <w:vAlign w:val="center"/>
          </w:tcPr>
          <w:p w14:paraId="210B3F26">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759" w:type="dxa"/>
            <w:vAlign w:val="center"/>
          </w:tcPr>
          <w:p w14:paraId="5FAF37A5">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633" w:type="dxa"/>
            <w:vAlign w:val="center"/>
          </w:tcPr>
          <w:p w14:paraId="670191E7">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r>
      <w:tr w14:paraId="44A0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4E4AC55D">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658" w:type="dxa"/>
            <w:vAlign w:val="center"/>
          </w:tcPr>
          <w:p w14:paraId="20E087AF">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759" w:type="dxa"/>
            <w:vAlign w:val="center"/>
          </w:tcPr>
          <w:p w14:paraId="312624F9">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633" w:type="dxa"/>
            <w:vAlign w:val="center"/>
          </w:tcPr>
          <w:p w14:paraId="5E09FBC5">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r>
      <w:tr w14:paraId="2386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5B6FD169">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658" w:type="dxa"/>
            <w:vAlign w:val="center"/>
          </w:tcPr>
          <w:p w14:paraId="1A8FD7C6">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759" w:type="dxa"/>
            <w:vAlign w:val="center"/>
          </w:tcPr>
          <w:p w14:paraId="37082887">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633" w:type="dxa"/>
            <w:vAlign w:val="center"/>
          </w:tcPr>
          <w:p w14:paraId="1C8CB29E">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r>
      <w:tr w14:paraId="6B296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2607044F">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658" w:type="dxa"/>
            <w:vAlign w:val="center"/>
          </w:tcPr>
          <w:p w14:paraId="460D06BF">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759" w:type="dxa"/>
            <w:vAlign w:val="center"/>
          </w:tcPr>
          <w:p w14:paraId="289CCC6C">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633" w:type="dxa"/>
            <w:vAlign w:val="center"/>
          </w:tcPr>
          <w:p w14:paraId="7B98DD44">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r>
      <w:tr w14:paraId="30A79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5A1261B3">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658" w:type="dxa"/>
            <w:vAlign w:val="center"/>
          </w:tcPr>
          <w:p w14:paraId="0F824B9C">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759" w:type="dxa"/>
            <w:vAlign w:val="center"/>
          </w:tcPr>
          <w:p w14:paraId="691AD939">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633" w:type="dxa"/>
            <w:vAlign w:val="center"/>
          </w:tcPr>
          <w:p w14:paraId="7C2FFD41">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r>
      <w:tr w14:paraId="37F0B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437E3798">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658" w:type="dxa"/>
            <w:vAlign w:val="center"/>
          </w:tcPr>
          <w:p w14:paraId="0F5A4864">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759" w:type="dxa"/>
            <w:vAlign w:val="center"/>
          </w:tcPr>
          <w:p w14:paraId="0B798FCC">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633" w:type="dxa"/>
            <w:vAlign w:val="center"/>
          </w:tcPr>
          <w:p w14:paraId="6FAF6A85">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r>
      <w:tr w14:paraId="42ADF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5449AB53">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658" w:type="dxa"/>
            <w:vAlign w:val="center"/>
          </w:tcPr>
          <w:p w14:paraId="691A2078">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759" w:type="dxa"/>
            <w:vAlign w:val="center"/>
          </w:tcPr>
          <w:p w14:paraId="1A20D901">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c>
          <w:tcPr>
            <w:tcW w:w="2633" w:type="dxa"/>
            <w:vAlign w:val="center"/>
          </w:tcPr>
          <w:p w14:paraId="22533A78">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p>
        </w:tc>
      </w:tr>
    </w:tbl>
    <w:p w14:paraId="71DE44BF">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p>
    <w:p w14:paraId="042C6EFE">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供应商：             法定代表人（或法定代表人授权代表）或自然人：</w:t>
      </w:r>
    </w:p>
    <w:p w14:paraId="52B59558">
      <w:pPr>
        <w:kinsoku/>
        <w:overflowPunct/>
        <w:topLinePunct w:val="0"/>
        <w:autoSpaceDE/>
        <w:autoSpaceDN/>
        <w:bidi w:val="0"/>
        <w:adjustRightInd/>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t xml:space="preserve">   （供应商公章）                               （签字及盖章）</w:t>
      </w:r>
    </w:p>
    <w:p w14:paraId="68917D5C">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 xml:space="preserve">                                             </w:t>
      </w:r>
    </w:p>
    <w:p w14:paraId="235F4BFC">
      <w:pPr>
        <w:tabs>
          <w:tab w:val="left" w:pos="6300"/>
        </w:tabs>
        <w:kinsoku/>
        <w:overflowPunct/>
        <w:topLinePunct w:val="0"/>
        <w:autoSpaceDE/>
        <w:autoSpaceDN/>
        <w:bidi w:val="0"/>
        <w:adjustRightInd/>
        <w:snapToGrid w:val="0"/>
        <w:spacing w:line="480" w:lineRule="exact"/>
        <w:ind w:firstLine="5520" w:firstLineChars="2300"/>
        <w:rPr>
          <w:rFonts w:hint="eastAsia" w:ascii="黑体" w:hAnsi="黑体" w:eastAsia="黑体" w:cs="黑体"/>
          <w:color w:val="auto"/>
          <w:sz w:val="24"/>
          <w:szCs w:val="24"/>
        </w:rPr>
      </w:pPr>
      <w:r>
        <w:rPr>
          <w:rFonts w:hint="eastAsia" w:ascii="黑体" w:hAnsi="黑体" w:eastAsia="黑体" w:cs="黑体"/>
          <w:color w:val="auto"/>
          <w:sz w:val="24"/>
          <w:szCs w:val="24"/>
        </w:rPr>
        <w:t xml:space="preserve"> 年     月     日</w:t>
      </w:r>
    </w:p>
    <w:p w14:paraId="5927F275">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p w14:paraId="0342F37F">
      <w:pPr>
        <w:tabs>
          <w:tab w:val="left" w:pos="6300"/>
        </w:tabs>
        <w:kinsoku/>
        <w:overflowPunct/>
        <w:topLinePunct w:val="0"/>
        <w:autoSpaceDE/>
        <w:autoSpaceDN/>
        <w:bidi w:val="0"/>
        <w:adjustRightInd/>
        <w:snapToGrid w:val="0"/>
        <w:spacing w:line="480" w:lineRule="exact"/>
        <w:rPr>
          <w:rFonts w:hint="eastAsia" w:ascii="黑体" w:hAnsi="黑体" w:eastAsia="黑体" w:cs="黑体"/>
          <w:b/>
          <w:bCs/>
          <w:color w:val="auto"/>
          <w:sz w:val="24"/>
          <w:szCs w:val="24"/>
        </w:rPr>
      </w:pPr>
      <w:r>
        <w:rPr>
          <w:rFonts w:hint="eastAsia" w:ascii="黑体" w:hAnsi="黑体" w:eastAsia="黑体" w:cs="黑体"/>
          <w:b/>
          <w:bCs/>
          <w:color w:val="auto"/>
          <w:sz w:val="24"/>
          <w:szCs w:val="24"/>
        </w:rPr>
        <w:t>注：</w:t>
      </w:r>
    </w:p>
    <w:p w14:paraId="438571E4">
      <w:pPr>
        <w:tabs>
          <w:tab w:val="left" w:pos="6300"/>
        </w:tabs>
        <w:kinsoku/>
        <w:overflowPunct/>
        <w:topLinePunct w:val="0"/>
        <w:autoSpaceDE/>
        <w:autoSpaceDN/>
        <w:bidi w:val="0"/>
        <w:adjustRightInd/>
        <w:snapToGrid w:val="0"/>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t>1.本表即为对本项目“第二篇 项目技术需求”中所列技术要求进行比较和响应；</w:t>
      </w:r>
    </w:p>
    <w:p w14:paraId="4D0274DD">
      <w:pPr>
        <w:tabs>
          <w:tab w:val="left" w:pos="6300"/>
        </w:tabs>
        <w:kinsoku/>
        <w:overflowPunct/>
        <w:topLinePunct w:val="0"/>
        <w:autoSpaceDE/>
        <w:autoSpaceDN/>
        <w:bidi w:val="0"/>
        <w:adjustRightInd/>
        <w:snapToGrid w:val="0"/>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t>2.该表必须按照招标要求逐条如实填写，根据响应情况在“差异说明”项填写正偏离或负偏离及原因，完全符合的填写“无差异”；</w:t>
      </w:r>
    </w:p>
    <w:p w14:paraId="1A79EC62">
      <w:pPr>
        <w:tabs>
          <w:tab w:val="left" w:pos="6300"/>
        </w:tabs>
        <w:kinsoku/>
        <w:overflowPunct/>
        <w:topLinePunct w:val="0"/>
        <w:autoSpaceDE/>
        <w:autoSpaceDN/>
        <w:bidi w:val="0"/>
        <w:adjustRightInd/>
        <w:snapToGrid w:val="0"/>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t>3.</w:t>
      </w:r>
      <w:r>
        <w:rPr>
          <w:rFonts w:hint="eastAsia" w:ascii="黑体" w:hAnsi="黑体" w:eastAsia="黑体" w:cs="黑体"/>
          <w:color w:val="auto"/>
          <w:sz w:val="24"/>
          <w:szCs w:val="24"/>
          <w:lang w:eastAsia="zh-CN"/>
        </w:rPr>
        <w:t>本</w:t>
      </w:r>
      <w:r>
        <w:rPr>
          <w:rFonts w:hint="eastAsia" w:ascii="黑体" w:hAnsi="黑体" w:eastAsia="黑体" w:cs="黑体"/>
          <w:color w:val="auto"/>
          <w:sz w:val="24"/>
          <w:szCs w:val="24"/>
        </w:rPr>
        <w:t>表可扩展；</w:t>
      </w:r>
    </w:p>
    <w:p w14:paraId="1F355EDF">
      <w:pPr>
        <w:tabs>
          <w:tab w:val="left" w:pos="6300"/>
        </w:tabs>
        <w:kinsoku/>
        <w:overflowPunct/>
        <w:topLinePunct w:val="0"/>
        <w:autoSpaceDE/>
        <w:autoSpaceDN/>
        <w:bidi w:val="0"/>
        <w:adjustRightInd/>
        <w:snapToGrid w:val="0"/>
        <w:spacing w:line="480" w:lineRule="exact"/>
        <w:rPr>
          <w:rFonts w:hint="eastAsia" w:ascii="黑体" w:hAnsi="黑体" w:eastAsia="黑体" w:cs="黑体"/>
          <w:color w:val="auto"/>
          <w:sz w:val="24"/>
          <w:szCs w:val="24"/>
        </w:rPr>
      </w:pPr>
    </w:p>
    <w:p w14:paraId="69E0E4F0">
      <w:pPr>
        <w:tabs>
          <w:tab w:val="left" w:pos="6300"/>
        </w:tabs>
        <w:kinsoku/>
        <w:overflowPunct/>
        <w:topLinePunct w:val="0"/>
        <w:autoSpaceDE/>
        <w:autoSpaceDN/>
        <w:bidi w:val="0"/>
        <w:adjustRightInd/>
        <w:snapToGrid w:val="0"/>
        <w:spacing w:line="480" w:lineRule="exact"/>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（二）其他资料（格式自拟）</w:t>
      </w:r>
    </w:p>
    <w:p w14:paraId="7A1438FA">
      <w:pPr>
        <w:pageBreakBefore/>
        <w:tabs>
          <w:tab w:val="left" w:pos="6300"/>
        </w:tabs>
        <w:kinsoku/>
        <w:overflowPunct/>
        <w:topLinePunct w:val="0"/>
        <w:autoSpaceDE/>
        <w:autoSpaceDN/>
        <w:bidi w:val="0"/>
        <w:adjustRightInd/>
        <w:snapToGrid w:val="0"/>
        <w:spacing w:line="480" w:lineRule="exact"/>
        <w:ind w:firstLine="482" w:firstLineChars="200"/>
        <w:rPr>
          <w:rFonts w:hint="eastAsia" w:ascii="黑体" w:hAnsi="黑体" w:eastAsia="黑体" w:cs="黑体"/>
          <w:b/>
          <w:color w:val="auto"/>
          <w:sz w:val="24"/>
          <w:szCs w:val="24"/>
        </w:rPr>
      </w:pPr>
      <w:bookmarkStart w:id="176" w:name="_Toc313888362"/>
      <w:bookmarkStart w:id="177" w:name="_Toc342913421"/>
      <w:bookmarkStart w:id="178" w:name="_Toc23764524"/>
      <w:bookmarkStart w:id="179" w:name="_Toc313008358"/>
      <w:r>
        <w:rPr>
          <w:rFonts w:hint="eastAsia" w:ascii="黑体" w:hAnsi="黑体" w:eastAsia="黑体" w:cs="黑体"/>
          <w:b/>
          <w:color w:val="auto"/>
          <w:sz w:val="24"/>
          <w:szCs w:val="24"/>
        </w:rPr>
        <w:t>三、商务部分</w:t>
      </w:r>
      <w:bookmarkEnd w:id="176"/>
      <w:bookmarkEnd w:id="177"/>
      <w:bookmarkEnd w:id="178"/>
      <w:bookmarkEnd w:id="179"/>
    </w:p>
    <w:p w14:paraId="6AC40033">
      <w:pPr>
        <w:tabs>
          <w:tab w:val="left" w:pos="6300"/>
        </w:tabs>
        <w:kinsoku/>
        <w:overflowPunct/>
        <w:topLinePunct w:val="0"/>
        <w:autoSpaceDE/>
        <w:autoSpaceDN/>
        <w:bidi w:val="0"/>
        <w:adjustRightInd/>
        <w:snapToGrid w:val="0"/>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t xml:space="preserve">    （一）商务响应偏离表</w:t>
      </w:r>
    </w:p>
    <w:p w14:paraId="01361493">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项目名称：</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0"/>
        <w:gridCol w:w="2428"/>
        <w:gridCol w:w="2520"/>
        <w:gridCol w:w="2416"/>
      </w:tblGrid>
      <w:tr w14:paraId="2A211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580" w:type="dxa"/>
            <w:vAlign w:val="center"/>
          </w:tcPr>
          <w:p w14:paraId="010370E4">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r>
              <w:rPr>
                <w:rFonts w:hint="eastAsia" w:ascii="黑体" w:hAnsi="黑体" w:eastAsia="黑体" w:cs="黑体"/>
                <w:color w:val="auto"/>
                <w:sz w:val="24"/>
                <w:szCs w:val="24"/>
              </w:rPr>
              <w:t>序号</w:t>
            </w:r>
          </w:p>
        </w:tc>
        <w:tc>
          <w:tcPr>
            <w:tcW w:w="2428" w:type="dxa"/>
            <w:vAlign w:val="center"/>
          </w:tcPr>
          <w:p w14:paraId="7ACD9561">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r>
              <w:rPr>
                <w:rFonts w:hint="eastAsia" w:ascii="黑体" w:hAnsi="黑体" w:eastAsia="黑体" w:cs="黑体"/>
                <w:color w:val="auto"/>
                <w:sz w:val="24"/>
                <w:szCs w:val="24"/>
              </w:rPr>
              <w:t>采购需求</w:t>
            </w:r>
          </w:p>
        </w:tc>
        <w:tc>
          <w:tcPr>
            <w:tcW w:w="2520" w:type="dxa"/>
            <w:vAlign w:val="center"/>
          </w:tcPr>
          <w:p w14:paraId="2EAF617B">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r>
              <w:rPr>
                <w:rFonts w:hint="eastAsia" w:ascii="黑体" w:hAnsi="黑体" w:eastAsia="黑体" w:cs="黑体"/>
                <w:color w:val="auto"/>
                <w:sz w:val="24"/>
                <w:szCs w:val="24"/>
              </w:rPr>
              <w:t>响应情况</w:t>
            </w:r>
          </w:p>
        </w:tc>
        <w:tc>
          <w:tcPr>
            <w:tcW w:w="2416" w:type="dxa"/>
            <w:vAlign w:val="center"/>
          </w:tcPr>
          <w:p w14:paraId="4F91DFA1">
            <w:pPr>
              <w:tabs>
                <w:tab w:val="left" w:pos="6300"/>
              </w:tabs>
              <w:kinsoku/>
              <w:overflowPunct/>
              <w:topLinePunct w:val="0"/>
              <w:autoSpaceDE/>
              <w:autoSpaceDN/>
              <w:bidi w:val="0"/>
              <w:adjustRightInd/>
              <w:snapToGrid w:val="0"/>
              <w:spacing w:line="480" w:lineRule="exact"/>
              <w:jc w:val="center"/>
              <w:outlineLvl w:val="0"/>
              <w:rPr>
                <w:rFonts w:hint="eastAsia" w:ascii="黑体" w:hAnsi="黑体" w:eastAsia="黑体" w:cs="黑体"/>
                <w:color w:val="auto"/>
                <w:sz w:val="24"/>
                <w:szCs w:val="24"/>
              </w:rPr>
            </w:pPr>
            <w:r>
              <w:rPr>
                <w:rFonts w:hint="eastAsia" w:ascii="黑体" w:hAnsi="黑体" w:eastAsia="黑体" w:cs="黑体"/>
                <w:color w:val="auto"/>
                <w:sz w:val="24"/>
                <w:szCs w:val="24"/>
              </w:rPr>
              <w:t>差异说明</w:t>
            </w:r>
          </w:p>
        </w:tc>
      </w:tr>
      <w:tr w14:paraId="71E87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80" w:type="dxa"/>
            <w:vAlign w:val="center"/>
          </w:tcPr>
          <w:p w14:paraId="4F08AF87">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428" w:type="dxa"/>
            <w:vAlign w:val="center"/>
          </w:tcPr>
          <w:p w14:paraId="2CB480DC">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520" w:type="dxa"/>
            <w:vAlign w:val="center"/>
          </w:tcPr>
          <w:p w14:paraId="3A244249">
            <w:pPr>
              <w:tabs>
                <w:tab w:val="left" w:pos="6300"/>
              </w:tabs>
              <w:kinsoku/>
              <w:overflowPunct/>
              <w:topLinePunct w:val="0"/>
              <w:autoSpaceDE/>
              <w:autoSpaceDN/>
              <w:bidi w:val="0"/>
              <w:adjustRightInd/>
              <w:snapToGrid w:val="0"/>
              <w:spacing w:line="240" w:lineRule="auto"/>
              <w:rPr>
                <w:rFonts w:hint="eastAsia" w:ascii="黑体" w:hAnsi="黑体" w:eastAsia="黑体" w:cs="黑体"/>
                <w:color w:val="auto"/>
                <w:sz w:val="24"/>
                <w:szCs w:val="24"/>
              </w:rPr>
            </w:pPr>
            <w:r>
              <w:rPr>
                <w:rFonts w:hint="eastAsia" w:ascii="黑体" w:hAnsi="黑体" w:eastAsia="黑体" w:cs="黑体"/>
                <w:sz w:val="21"/>
                <w:szCs w:val="21"/>
              </w:rPr>
              <w:t>提醒：请注明具体内容以及投标文件中具体内容的位置（页码）</w:t>
            </w:r>
          </w:p>
        </w:tc>
        <w:tc>
          <w:tcPr>
            <w:tcW w:w="2416" w:type="dxa"/>
            <w:vAlign w:val="center"/>
          </w:tcPr>
          <w:p w14:paraId="1AE654D1">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r>
      <w:tr w14:paraId="3269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80" w:type="dxa"/>
            <w:vAlign w:val="center"/>
          </w:tcPr>
          <w:p w14:paraId="30548216">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428" w:type="dxa"/>
            <w:vAlign w:val="center"/>
          </w:tcPr>
          <w:p w14:paraId="0023D7F5">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520" w:type="dxa"/>
            <w:vAlign w:val="center"/>
          </w:tcPr>
          <w:p w14:paraId="7143CBEB">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416" w:type="dxa"/>
            <w:vAlign w:val="center"/>
          </w:tcPr>
          <w:p w14:paraId="7FDE4E3E">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r>
      <w:tr w14:paraId="096A9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80" w:type="dxa"/>
            <w:vAlign w:val="center"/>
          </w:tcPr>
          <w:p w14:paraId="73F275CA">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428" w:type="dxa"/>
            <w:vAlign w:val="center"/>
          </w:tcPr>
          <w:p w14:paraId="49D3F993">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520" w:type="dxa"/>
            <w:vAlign w:val="center"/>
          </w:tcPr>
          <w:p w14:paraId="68C5334E">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416" w:type="dxa"/>
            <w:vAlign w:val="center"/>
          </w:tcPr>
          <w:p w14:paraId="740C1545">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r>
      <w:tr w14:paraId="074C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80" w:type="dxa"/>
            <w:vAlign w:val="center"/>
          </w:tcPr>
          <w:p w14:paraId="01B1E531">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428" w:type="dxa"/>
            <w:vAlign w:val="center"/>
          </w:tcPr>
          <w:p w14:paraId="64E3F61C">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520" w:type="dxa"/>
            <w:vAlign w:val="center"/>
          </w:tcPr>
          <w:p w14:paraId="2B65F728">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416" w:type="dxa"/>
            <w:vAlign w:val="center"/>
          </w:tcPr>
          <w:p w14:paraId="4A51A3B7">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r>
      <w:tr w14:paraId="47F4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80" w:type="dxa"/>
            <w:vAlign w:val="center"/>
          </w:tcPr>
          <w:p w14:paraId="4A31E27B">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428" w:type="dxa"/>
            <w:vAlign w:val="center"/>
          </w:tcPr>
          <w:p w14:paraId="7D040DF7">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520" w:type="dxa"/>
            <w:vAlign w:val="center"/>
          </w:tcPr>
          <w:p w14:paraId="18B51A27">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416" w:type="dxa"/>
            <w:vAlign w:val="center"/>
          </w:tcPr>
          <w:p w14:paraId="16D0B46D">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r>
      <w:tr w14:paraId="4F613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80" w:type="dxa"/>
            <w:vAlign w:val="center"/>
          </w:tcPr>
          <w:p w14:paraId="2F58DC94">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428" w:type="dxa"/>
            <w:vAlign w:val="center"/>
          </w:tcPr>
          <w:p w14:paraId="3FF411A5">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520" w:type="dxa"/>
            <w:vAlign w:val="center"/>
          </w:tcPr>
          <w:p w14:paraId="09EE168C">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416" w:type="dxa"/>
            <w:vAlign w:val="center"/>
          </w:tcPr>
          <w:p w14:paraId="0BB6EC0E">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r>
      <w:tr w14:paraId="5D08B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80" w:type="dxa"/>
            <w:vAlign w:val="center"/>
          </w:tcPr>
          <w:p w14:paraId="1480C504">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428" w:type="dxa"/>
            <w:vAlign w:val="center"/>
          </w:tcPr>
          <w:p w14:paraId="20D03CC7">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520" w:type="dxa"/>
            <w:vAlign w:val="center"/>
          </w:tcPr>
          <w:p w14:paraId="43B4C6A0">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416" w:type="dxa"/>
            <w:vAlign w:val="center"/>
          </w:tcPr>
          <w:p w14:paraId="2BE5D329">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r>
      <w:tr w14:paraId="7DB53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80" w:type="dxa"/>
            <w:vAlign w:val="center"/>
          </w:tcPr>
          <w:p w14:paraId="54186FB4">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428" w:type="dxa"/>
            <w:vAlign w:val="center"/>
          </w:tcPr>
          <w:p w14:paraId="73DAA848">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520" w:type="dxa"/>
            <w:vAlign w:val="center"/>
          </w:tcPr>
          <w:p w14:paraId="49576122">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416" w:type="dxa"/>
            <w:vAlign w:val="center"/>
          </w:tcPr>
          <w:p w14:paraId="1F31361A">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r>
      <w:tr w14:paraId="77015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80" w:type="dxa"/>
            <w:vAlign w:val="center"/>
          </w:tcPr>
          <w:p w14:paraId="75FD8844">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428" w:type="dxa"/>
            <w:vAlign w:val="center"/>
          </w:tcPr>
          <w:p w14:paraId="382F46CA">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520" w:type="dxa"/>
            <w:vAlign w:val="center"/>
          </w:tcPr>
          <w:p w14:paraId="7BF73412">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c>
          <w:tcPr>
            <w:tcW w:w="2416" w:type="dxa"/>
            <w:vAlign w:val="center"/>
          </w:tcPr>
          <w:p w14:paraId="7D6BA7D4">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tc>
      </w:tr>
    </w:tbl>
    <w:p w14:paraId="5F6023C5">
      <w:pPr>
        <w:kinsoku/>
        <w:overflowPunct/>
        <w:topLinePunct w:val="0"/>
        <w:autoSpaceDE/>
        <w:autoSpaceDN/>
        <w:bidi w:val="0"/>
        <w:adjustRightInd/>
        <w:spacing w:line="480" w:lineRule="exact"/>
        <w:ind w:left="5040" w:hanging="5040" w:hangingChars="2100"/>
        <w:rPr>
          <w:rFonts w:hint="eastAsia" w:ascii="黑体" w:hAnsi="黑体" w:eastAsia="黑体" w:cs="黑体"/>
          <w:color w:val="auto"/>
          <w:sz w:val="24"/>
          <w:szCs w:val="24"/>
        </w:rPr>
      </w:pPr>
    </w:p>
    <w:p w14:paraId="1EA54F16">
      <w:pPr>
        <w:kinsoku/>
        <w:overflowPunct/>
        <w:topLinePunct w:val="0"/>
        <w:autoSpaceDE/>
        <w:autoSpaceDN/>
        <w:bidi w:val="0"/>
        <w:adjustRightInd/>
        <w:spacing w:line="480" w:lineRule="exact"/>
        <w:ind w:left="5040" w:hanging="5040" w:hangingChars="2100"/>
        <w:rPr>
          <w:rFonts w:hint="eastAsia" w:ascii="黑体" w:hAnsi="黑体" w:eastAsia="黑体" w:cs="黑体"/>
          <w:color w:val="auto"/>
          <w:sz w:val="24"/>
          <w:szCs w:val="24"/>
        </w:rPr>
      </w:pPr>
      <w:r>
        <w:rPr>
          <w:rFonts w:hint="eastAsia" w:ascii="黑体" w:hAnsi="黑体" w:eastAsia="黑体" w:cs="黑体"/>
          <w:color w:val="auto"/>
          <w:sz w:val="24"/>
          <w:szCs w:val="24"/>
        </w:rPr>
        <w:t>供应商：                   法定代表人（或法定代表人授权代表）或</w:t>
      </w:r>
      <w:r>
        <w:rPr>
          <w:rFonts w:hint="eastAsia" w:ascii="黑体" w:hAnsi="黑体" w:eastAsia="黑体" w:cs="黑体"/>
          <w:color w:val="auto"/>
          <w:sz w:val="24"/>
          <w:szCs w:val="24"/>
          <w:lang w:eastAsia="zh-CN"/>
        </w:rPr>
        <w:t>自然</w:t>
      </w:r>
      <w:r>
        <w:rPr>
          <w:rFonts w:hint="eastAsia" w:ascii="黑体" w:hAnsi="黑体" w:eastAsia="黑体" w:cs="黑体"/>
          <w:color w:val="auto"/>
          <w:sz w:val="24"/>
          <w:szCs w:val="24"/>
        </w:rPr>
        <w:t>人：</w:t>
      </w:r>
    </w:p>
    <w:p w14:paraId="7DDBD1A2">
      <w:pPr>
        <w:tabs>
          <w:tab w:val="left" w:pos="6300"/>
        </w:tabs>
        <w:kinsoku/>
        <w:overflowPunct/>
        <w:topLinePunct w:val="0"/>
        <w:autoSpaceDE/>
        <w:autoSpaceDN/>
        <w:bidi w:val="0"/>
        <w:adjustRightInd/>
        <w:snapToGrid w:val="0"/>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t>（供应商公章）                          （签字及盖章）</w:t>
      </w:r>
    </w:p>
    <w:p w14:paraId="28CC189C">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 xml:space="preserve">                                            年     月     日</w:t>
      </w:r>
    </w:p>
    <w:p w14:paraId="6F517317">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p w14:paraId="3F4EF010">
      <w:pPr>
        <w:tabs>
          <w:tab w:val="left" w:pos="6300"/>
        </w:tabs>
        <w:kinsoku/>
        <w:overflowPunct/>
        <w:topLinePunct w:val="0"/>
        <w:autoSpaceDE/>
        <w:autoSpaceDN/>
        <w:bidi w:val="0"/>
        <w:adjustRightInd/>
        <w:snapToGrid w:val="0"/>
        <w:spacing w:line="480" w:lineRule="exact"/>
        <w:rPr>
          <w:rFonts w:hint="eastAsia" w:ascii="黑体" w:hAnsi="黑体" w:eastAsia="黑体" w:cs="黑体"/>
          <w:b/>
          <w:bCs/>
          <w:color w:val="auto"/>
          <w:sz w:val="24"/>
          <w:szCs w:val="24"/>
        </w:rPr>
      </w:pPr>
      <w:r>
        <w:rPr>
          <w:rFonts w:hint="eastAsia" w:ascii="黑体" w:hAnsi="黑体" w:eastAsia="黑体" w:cs="黑体"/>
          <w:b/>
          <w:bCs/>
          <w:color w:val="auto"/>
          <w:sz w:val="24"/>
          <w:szCs w:val="24"/>
        </w:rPr>
        <w:t>注：</w:t>
      </w:r>
    </w:p>
    <w:p w14:paraId="46DD882F">
      <w:pPr>
        <w:tabs>
          <w:tab w:val="left" w:pos="6300"/>
        </w:tabs>
        <w:kinsoku/>
        <w:overflowPunct/>
        <w:topLinePunct w:val="0"/>
        <w:autoSpaceDE/>
        <w:autoSpaceDN/>
        <w:bidi w:val="0"/>
        <w:adjustRightInd/>
        <w:snapToGrid w:val="0"/>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t>1.本表即为对本项目“第三篇 项目商务要求”中所列商务条款进行比较和响应；</w:t>
      </w:r>
    </w:p>
    <w:p w14:paraId="7BCA7BEF">
      <w:pPr>
        <w:tabs>
          <w:tab w:val="left" w:pos="6300"/>
        </w:tabs>
        <w:kinsoku/>
        <w:overflowPunct/>
        <w:topLinePunct w:val="0"/>
        <w:autoSpaceDE/>
        <w:autoSpaceDN/>
        <w:bidi w:val="0"/>
        <w:adjustRightInd/>
        <w:snapToGrid w:val="0"/>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t>2.该表必须按照采购文件要求逐条如实填写，根据投标情况在“差异说明”项填写正偏离或负偏离及原因，完全符合的填写“无差异”。</w:t>
      </w:r>
    </w:p>
    <w:p w14:paraId="25984191">
      <w:pPr>
        <w:tabs>
          <w:tab w:val="left" w:pos="6300"/>
        </w:tabs>
        <w:kinsoku/>
        <w:overflowPunct/>
        <w:topLinePunct w:val="0"/>
        <w:autoSpaceDE/>
        <w:autoSpaceDN/>
        <w:bidi w:val="0"/>
        <w:adjustRightInd/>
        <w:snapToGrid w:val="0"/>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t>3.该表可扩展。</w:t>
      </w:r>
    </w:p>
    <w:p w14:paraId="4FFD2887">
      <w:pPr>
        <w:tabs>
          <w:tab w:val="left" w:pos="6300"/>
        </w:tabs>
        <w:snapToGrid w:val="0"/>
        <w:spacing w:line="480" w:lineRule="exact"/>
        <w:rPr>
          <w:rFonts w:hint="eastAsia" w:ascii="黑体" w:hAnsi="黑体" w:eastAsia="黑体" w:cs="黑体"/>
          <w:color w:val="auto"/>
          <w:sz w:val="24"/>
          <w:szCs w:val="24"/>
        </w:rPr>
      </w:pPr>
      <w:bookmarkStart w:id="180" w:name="_Toc313888363"/>
      <w:bookmarkStart w:id="181" w:name="_Toc313008359"/>
      <w:bookmarkStart w:id="182" w:name="_Toc342913422"/>
      <w:bookmarkStart w:id="183" w:name="_Toc23764525"/>
    </w:p>
    <w:p w14:paraId="0C90091E">
      <w:pPr>
        <w:tabs>
          <w:tab w:val="left" w:pos="6300"/>
        </w:tabs>
        <w:snapToGrid w:val="0"/>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t>（二）其它优惠服务承诺（格式自定）</w:t>
      </w:r>
    </w:p>
    <w:p w14:paraId="747F6B81">
      <w:pPr>
        <w:pageBreakBefore/>
        <w:tabs>
          <w:tab w:val="left" w:pos="6300"/>
        </w:tabs>
        <w:kinsoku/>
        <w:overflowPunct/>
        <w:topLinePunct w:val="0"/>
        <w:autoSpaceDE/>
        <w:autoSpaceDN/>
        <w:bidi w:val="0"/>
        <w:adjustRightInd/>
        <w:snapToGrid w:val="0"/>
        <w:spacing w:line="480" w:lineRule="exact"/>
        <w:rPr>
          <w:rFonts w:hint="eastAsia" w:ascii="黑体" w:hAnsi="黑体" w:eastAsia="黑体" w:cs="黑体"/>
          <w:b/>
          <w:color w:val="auto"/>
          <w:sz w:val="24"/>
          <w:szCs w:val="24"/>
        </w:rPr>
      </w:pPr>
      <w:r>
        <w:rPr>
          <w:rFonts w:hint="eastAsia" w:ascii="黑体" w:hAnsi="黑体" w:eastAsia="黑体" w:cs="黑体"/>
          <w:b/>
          <w:color w:val="auto"/>
          <w:sz w:val="24"/>
          <w:szCs w:val="24"/>
        </w:rPr>
        <w:t>四、资格条件及其他</w:t>
      </w:r>
      <w:bookmarkEnd w:id="180"/>
      <w:bookmarkEnd w:id="181"/>
      <w:bookmarkEnd w:id="182"/>
      <w:bookmarkEnd w:id="183"/>
    </w:p>
    <w:p w14:paraId="17EC848C">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（一）法人营业执照（副本）或事业单位法人证书（副本）或个体工商户营业执照或有效的自然人身份证明或社会团体法人登记证书复印件</w:t>
      </w:r>
    </w:p>
    <w:p w14:paraId="1274AAD7">
      <w:pPr>
        <w:tabs>
          <w:tab w:val="left" w:pos="6300"/>
        </w:tabs>
        <w:kinsoku/>
        <w:overflowPunct/>
        <w:topLinePunct w:val="0"/>
        <w:autoSpaceDE/>
        <w:autoSpaceDN/>
        <w:bidi w:val="0"/>
        <w:adjustRightInd/>
        <w:snapToGrid w:val="0"/>
        <w:spacing w:line="480" w:lineRule="exact"/>
        <w:rPr>
          <w:rFonts w:hint="eastAsia" w:ascii="黑体" w:hAnsi="黑体" w:eastAsia="黑体" w:cs="黑体"/>
          <w:color w:val="auto"/>
          <w:sz w:val="24"/>
          <w:szCs w:val="24"/>
        </w:rPr>
      </w:pPr>
    </w:p>
    <w:p w14:paraId="16856130">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5A49A829">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3F94E0F7">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62287ED8">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7730711A">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6FC42B25">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49E98506">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6E357B76">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1F3BF447">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530E81F4">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0D37AD58">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31E39193">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14185CE6">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5FF4E7ED">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6158935E">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62498D21">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7B978A77">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6AEE521A">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6E6E9D59">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0F1F1031">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7CAA62DB">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51E4F90A">
      <w:pPr>
        <w:widowControl/>
        <w:kinsoku/>
        <w:overflowPunct/>
        <w:topLinePunct w:val="0"/>
        <w:autoSpaceDE/>
        <w:autoSpaceDN/>
        <w:bidi w:val="0"/>
        <w:adjustRightInd/>
        <w:snapToGrid w:val="0"/>
        <w:spacing w:line="480" w:lineRule="exact"/>
        <w:ind w:firstLine="600" w:firstLineChars="250"/>
        <w:jc w:val="left"/>
        <w:rPr>
          <w:rFonts w:hint="eastAsia" w:ascii="黑体" w:hAnsi="黑体" w:eastAsia="黑体" w:cs="黑体"/>
          <w:color w:val="auto"/>
          <w:sz w:val="24"/>
          <w:szCs w:val="24"/>
        </w:rPr>
      </w:pPr>
    </w:p>
    <w:p w14:paraId="361D6550">
      <w:pPr>
        <w:widowControl/>
        <w:kinsoku/>
        <w:overflowPunct/>
        <w:topLinePunct w:val="0"/>
        <w:autoSpaceDE/>
        <w:autoSpaceDN/>
        <w:bidi w:val="0"/>
        <w:adjustRightInd/>
        <w:snapToGrid w:val="0"/>
        <w:spacing w:line="480" w:lineRule="exact"/>
        <w:jc w:val="left"/>
        <w:rPr>
          <w:rFonts w:hint="eastAsia" w:ascii="黑体" w:hAnsi="黑体" w:eastAsia="黑体" w:cs="黑体"/>
          <w:color w:val="auto"/>
          <w:sz w:val="24"/>
          <w:szCs w:val="24"/>
        </w:rPr>
      </w:pPr>
    </w:p>
    <w:p w14:paraId="70C35982">
      <w:pPr>
        <w:widowControl/>
        <w:kinsoku/>
        <w:overflowPunct/>
        <w:topLinePunct w:val="0"/>
        <w:autoSpaceDE/>
        <w:autoSpaceDN/>
        <w:bidi w:val="0"/>
        <w:adjustRightInd/>
        <w:snapToGrid w:val="0"/>
        <w:spacing w:line="480" w:lineRule="exact"/>
        <w:jc w:val="left"/>
        <w:rPr>
          <w:rFonts w:hint="eastAsia" w:ascii="黑体" w:hAnsi="黑体" w:eastAsia="黑体" w:cs="黑体"/>
          <w:color w:val="auto"/>
          <w:sz w:val="24"/>
          <w:szCs w:val="24"/>
        </w:rPr>
      </w:pPr>
    </w:p>
    <w:p w14:paraId="1FAC882F">
      <w:pPr>
        <w:widowControl/>
        <w:kinsoku/>
        <w:overflowPunct/>
        <w:topLinePunct w:val="0"/>
        <w:autoSpaceDE/>
        <w:autoSpaceDN/>
        <w:bidi w:val="0"/>
        <w:adjustRightInd/>
        <w:snapToGrid w:val="0"/>
        <w:spacing w:line="480" w:lineRule="exact"/>
        <w:jc w:val="left"/>
        <w:rPr>
          <w:rFonts w:hint="eastAsia" w:ascii="黑体" w:hAnsi="黑体" w:eastAsia="黑体" w:cs="黑体"/>
          <w:color w:val="auto"/>
          <w:sz w:val="24"/>
          <w:szCs w:val="24"/>
        </w:rPr>
      </w:pPr>
    </w:p>
    <w:p w14:paraId="7AC5D52D">
      <w:pPr>
        <w:widowControl/>
        <w:kinsoku/>
        <w:overflowPunct/>
        <w:topLinePunct w:val="0"/>
        <w:autoSpaceDE/>
        <w:autoSpaceDN/>
        <w:bidi w:val="0"/>
        <w:adjustRightInd/>
        <w:snapToGrid w:val="0"/>
        <w:spacing w:line="480" w:lineRule="exact"/>
        <w:jc w:val="left"/>
        <w:rPr>
          <w:rFonts w:hint="eastAsia" w:ascii="黑体" w:hAnsi="黑体" w:eastAsia="黑体" w:cs="黑体"/>
          <w:color w:val="auto"/>
          <w:sz w:val="24"/>
          <w:szCs w:val="24"/>
        </w:rPr>
      </w:pPr>
      <w:r>
        <w:rPr>
          <w:rFonts w:hint="eastAsia" w:ascii="黑体" w:hAnsi="黑体" w:eastAsia="黑体" w:cs="黑体"/>
          <w:color w:val="auto"/>
          <w:sz w:val="24"/>
          <w:szCs w:val="24"/>
        </w:rPr>
        <w:t>（二）法定代表人身份证明书（格式）</w:t>
      </w:r>
    </w:p>
    <w:p w14:paraId="3CF30B38">
      <w:pPr>
        <w:tabs>
          <w:tab w:val="left" w:pos="6300"/>
        </w:tabs>
        <w:kinsoku/>
        <w:overflowPunct/>
        <w:topLinePunct w:val="0"/>
        <w:autoSpaceDE/>
        <w:autoSpaceDN/>
        <w:bidi w:val="0"/>
        <w:adjustRightInd/>
        <w:snapToGrid w:val="0"/>
        <w:spacing w:line="48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法定代表人身份证明书</w:t>
      </w:r>
    </w:p>
    <w:p w14:paraId="1BFB85D1">
      <w:pPr>
        <w:tabs>
          <w:tab w:val="left" w:pos="6300"/>
        </w:tabs>
        <w:kinsoku/>
        <w:overflowPunct/>
        <w:topLinePunct w:val="0"/>
        <w:autoSpaceDE/>
        <w:autoSpaceDN/>
        <w:bidi w:val="0"/>
        <w:adjustRightInd/>
        <w:snapToGrid w:val="0"/>
        <w:spacing w:line="480" w:lineRule="exact"/>
        <w:jc w:val="center"/>
        <w:rPr>
          <w:rFonts w:hint="eastAsia" w:ascii="黑体" w:hAnsi="黑体" w:eastAsia="黑体" w:cs="黑体"/>
          <w:color w:val="auto"/>
          <w:sz w:val="24"/>
          <w:szCs w:val="24"/>
        </w:rPr>
      </w:pPr>
    </w:p>
    <w:p w14:paraId="0A423BA2">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项目名称：</w:t>
      </w:r>
      <w:r>
        <w:rPr>
          <w:rFonts w:hint="eastAsia" w:ascii="黑体" w:hAnsi="黑体" w:eastAsia="黑体" w:cs="黑体"/>
          <w:color w:val="auto"/>
          <w:sz w:val="24"/>
          <w:szCs w:val="24"/>
          <w:u w:val="single"/>
        </w:rPr>
        <w:t xml:space="preserve">                                                </w:t>
      </w:r>
    </w:p>
    <w:p w14:paraId="7B1EC061">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19989F89">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（采购人名称）：</w:t>
      </w:r>
    </w:p>
    <w:p w14:paraId="669C75A3">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（法定代表人姓名）在</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（供应商名称）任</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（职务名称）职务，是（供应商名称）</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的法定代表人。</w:t>
      </w:r>
    </w:p>
    <w:p w14:paraId="60EF2E3A">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429A99D3">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特此证明。</w:t>
      </w:r>
    </w:p>
    <w:p w14:paraId="2C63C1EE">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1E660D21">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17F3D2D4">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63E6E6D7">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 xml:space="preserve">                                             （供应商公章）</w:t>
      </w:r>
    </w:p>
    <w:p w14:paraId="09EF0605">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7AF00B71">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 xml:space="preserve">                                             年   月   日</w:t>
      </w:r>
    </w:p>
    <w:p w14:paraId="3D60B169">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279C8500">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0BDC5810">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7D039298">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（附：法定代表人身份证正反面复印件）</w:t>
      </w:r>
    </w:p>
    <w:p w14:paraId="661B3F0D">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3EFCC701">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2972E2AA">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5F0E624C">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7FE9CF32">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1CE1EFAD">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p>
    <w:p w14:paraId="71983A90">
      <w:pPr>
        <w:pageBreakBefore/>
        <w:tabs>
          <w:tab w:val="left" w:pos="6300"/>
        </w:tabs>
        <w:kinsoku/>
        <w:overflowPunct/>
        <w:topLinePunct w:val="0"/>
        <w:autoSpaceDE/>
        <w:autoSpaceDN/>
        <w:bidi w:val="0"/>
        <w:adjustRightInd/>
        <w:snapToGrid w:val="0"/>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t>（三）法定代表人授权委托书（格式）</w:t>
      </w:r>
    </w:p>
    <w:p w14:paraId="2DD89ED5">
      <w:pPr>
        <w:tabs>
          <w:tab w:val="left" w:pos="6300"/>
        </w:tabs>
        <w:kinsoku/>
        <w:overflowPunct/>
        <w:topLinePunct w:val="0"/>
        <w:autoSpaceDE/>
        <w:autoSpaceDN/>
        <w:bidi w:val="0"/>
        <w:adjustRightInd/>
        <w:snapToGrid w:val="0"/>
        <w:spacing w:line="48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法定代表人授权委托书</w:t>
      </w:r>
    </w:p>
    <w:p w14:paraId="49D9DC19">
      <w:pPr>
        <w:tabs>
          <w:tab w:val="left" w:pos="6300"/>
        </w:tabs>
        <w:kinsoku/>
        <w:overflowPunct/>
        <w:topLinePunct w:val="0"/>
        <w:autoSpaceDE/>
        <w:autoSpaceDN/>
        <w:bidi w:val="0"/>
        <w:adjustRightInd/>
        <w:snapToGrid w:val="0"/>
        <w:spacing w:line="480" w:lineRule="exact"/>
        <w:jc w:val="center"/>
        <w:rPr>
          <w:rFonts w:hint="eastAsia" w:ascii="黑体" w:hAnsi="黑体" w:eastAsia="黑体" w:cs="黑体"/>
          <w:color w:val="auto"/>
          <w:sz w:val="24"/>
          <w:szCs w:val="24"/>
        </w:rPr>
      </w:pPr>
    </w:p>
    <w:p w14:paraId="7B79C998">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项目名称：</w:t>
      </w:r>
      <w:r>
        <w:rPr>
          <w:rFonts w:hint="eastAsia" w:ascii="黑体" w:hAnsi="黑体" w:eastAsia="黑体" w:cs="黑体"/>
          <w:color w:val="auto"/>
          <w:sz w:val="24"/>
          <w:szCs w:val="24"/>
          <w:u w:val="single"/>
        </w:rPr>
        <w:t xml:space="preserve">                                                </w:t>
      </w:r>
    </w:p>
    <w:p w14:paraId="1395F26D">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007917ED">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（采购人名称）：</w:t>
      </w:r>
    </w:p>
    <w:p w14:paraId="3669EAC6">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（供应商法定代表人名称）是</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（供应商名称）的法定代表人，特授权</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（被授权人姓名及身份证代码）代表我单位全权办理上述项目的投标、谈判、签约等具体工作，并签署全部有关文件、协议及合同。</w:t>
      </w:r>
    </w:p>
    <w:p w14:paraId="33096660">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我单位对被授权人的签字负全部责任。</w:t>
      </w:r>
    </w:p>
    <w:p w14:paraId="749AF484">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在撤消授权的书面通知以前，本授权书一直有效。被授权人在授权书有效期内签署的所有文件不因授权的撤消而失效。</w:t>
      </w:r>
    </w:p>
    <w:p w14:paraId="7E1D7D39">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7FBFB038">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4211E809">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被授权人：                                 供应商法定代表人：</w:t>
      </w:r>
    </w:p>
    <w:p w14:paraId="70B21582">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（签字或盖章）                                （签字及盖章）</w:t>
      </w:r>
    </w:p>
    <w:p w14:paraId="1A96B24F">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1401F909">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4E07AA12">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（附：被授权人身份证正反面复印件）</w:t>
      </w:r>
    </w:p>
    <w:p w14:paraId="0FAB827E">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r>
        <w:rPr>
          <w:rFonts w:hint="eastAsia" w:ascii="黑体" w:hAnsi="黑体" w:eastAsia="黑体" w:cs="黑体"/>
          <w:color w:val="auto"/>
          <w:sz w:val="24"/>
          <w:szCs w:val="24"/>
        </w:rPr>
        <w:t xml:space="preserve">                                          </w:t>
      </w:r>
    </w:p>
    <w:p w14:paraId="77D11B20">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5D85ACE4">
      <w:pPr>
        <w:tabs>
          <w:tab w:val="left" w:pos="6300"/>
        </w:tabs>
        <w:kinsoku/>
        <w:overflowPunct/>
        <w:topLinePunct w:val="0"/>
        <w:autoSpaceDE/>
        <w:autoSpaceDN/>
        <w:bidi w:val="0"/>
        <w:adjustRightInd/>
        <w:snapToGrid w:val="0"/>
        <w:spacing w:line="480" w:lineRule="exact"/>
        <w:ind w:firstLine="570"/>
        <w:rPr>
          <w:rFonts w:hint="eastAsia" w:ascii="黑体" w:hAnsi="黑体" w:eastAsia="黑体" w:cs="黑体"/>
          <w:color w:val="auto"/>
          <w:sz w:val="24"/>
          <w:szCs w:val="24"/>
        </w:rPr>
      </w:pPr>
    </w:p>
    <w:p w14:paraId="112C6326">
      <w:pPr>
        <w:tabs>
          <w:tab w:val="left" w:pos="6300"/>
        </w:tabs>
        <w:kinsoku/>
        <w:overflowPunct/>
        <w:topLinePunct w:val="0"/>
        <w:autoSpaceDE/>
        <w:autoSpaceDN/>
        <w:bidi w:val="0"/>
        <w:adjustRightInd/>
        <w:snapToGrid w:val="0"/>
        <w:spacing w:line="480" w:lineRule="exact"/>
        <w:ind w:right="480" w:firstLine="570"/>
        <w:jc w:val="right"/>
        <w:rPr>
          <w:rFonts w:hint="eastAsia" w:ascii="黑体" w:hAnsi="黑体" w:eastAsia="黑体" w:cs="黑体"/>
          <w:color w:val="auto"/>
          <w:sz w:val="24"/>
          <w:szCs w:val="24"/>
        </w:rPr>
      </w:pPr>
      <w:r>
        <w:rPr>
          <w:rFonts w:hint="eastAsia" w:ascii="黑体" w:hAnsi="黑体" w:eastAsia="黑体" w:cs="黑体"/>
          <w:color w:val="auto"/>
          <w:sz w:val="24"/>
          <w:szCs w:val="24"/>
        </w:rPr>
        <w:t>（供应商公章）</w:t>
      </w:r>
    </w:p>
    <w:p w14:paraId="328DAFEB">
      <w:pPr>
        <w:tabs>
          <w:tab w:val="left" w:pos="6300"/>
        </w:tabs>
        <w:kinsoku/>
        <w:overflowPunct/>
        <w:topLinePunct w:val="0"/>
        <w:autoSpaceDE/>
        <w:autoSpaceDN/>
        <w:bidi w:val="0"/>
        <w:adjustRightInd/>
        <w:snapToGrid w:val="0"/>
        <w:spacing w:line="480" w:lineRule="exact"/>
        <w:ind w:right="480" w:firstLine="570"/>
        <w:jc w:val="right"/>
        <w:rPr>
          <w:rFonts w:hint="eastAsia" w:ascii="黑体" w:hAnsi="黑体" w:eastAsia="黑体" w:cs="黑体"/>
          <w:color w:val="auto"/>
          <w:sz w:val="24"/>
          <w:szCs w:val="24"/>
        </w:rPr>
      </w:pPr>
      <w:r>
        <w:rPr>
          <w:rFonts w:hint="eastAsia" w:ascii="黑体" w:hAnsi="黑体" w:eastAsia="黑体" w:cs="黑体"/>
          <w:color w:val="auto"/>
          <w:sz w:val="24"/>
          <w:szCs w:val="24"/>
        </w:rPr>
        <w:t>年   月   日</w:t>
      </w:r>
    </w:p>
    <w:p w14:paraId="6FAB5531">
      <w:pPr>
        <w:tabs>
          <w:tab w:val="left" w:pos="6300"/>
        </w:tabs>
        <w:kinsoku/>
        <w:overflowPunct/>
        <w:topLinePunct w:val="0"/>
        <w:autoSpaceDE/>
        <w:autoSpaceDN/>
        <w:bidi w:val="0"/>
        <w:adjustRightInd/>
        <w:snapToGrid w:val="0"/>
        <w:spacing w:line="480" w:lineRule="exact"/>
        <w:ind w:right="480" w:firstLine="570"/>
        <w:jc w:val="right"/>
        <w:rPr>
          <w:rFonts w:hint="eastAsia" w:ascii="黑体" w:hAnsi="黑体" w:eastAsia="黑体" w:cs="黑体"/>
          <w:color w:val="auto"/>
          <w:sz w:val="24"/>
          <w:szCs w:val="24"/>
        </w:rPr>
      </w:pPr>
    </w:p>
    <w:p w14:paraId="38F1E1C2">
      <w:pPr>
        <w:tabs>
          <w:tab w:val="left" w:pos="6300"/>
        </w:tabs>
        <w:kinsoku/>
        <w:overflowPunct/>
        <w:topLinePunct w:val="0"/>
        <w:autoSpaceDE/>
        <w:autoSpaceDN/>
        <w:bidi w:val="0"/>
        <w:adjustRightInd/>
        <w:snapToGrid w:val="0"/>
        <w:spacing w:line="480" w:lineRule="exact"/>
        <w:ind w:right="480" w:firstLine="570"/>
        <w:jc w:val="left"/>
        <w:rPr>
          <w:rFonts w:hint="eastAsia" w:ascii="黑体" w:hAnsi="黑体" w:eastAsia="黑体" w:cs="黑体"/>
          <w:color w:val="auto"/>
          <w:sz w:val="24"/>
          <w:szCs w:val="24"/>
        </w:rPr>
      </w:pPr>
      <w:r>
        <w:rPr>
          <w:rFonts w:hint="eastAsia" w:ascii="黑体" w:hAnsi="黑体" w:eastAsia="黑体" w:cs="黑体"/>
          <w:color w:val="auto"/>
          <w:sz w:val="24"/>
          <w:szCs w:val="24"/>
        </w:rPr>
        <w:t>注：若为法定代表人办理并签署响应文件的，不提供此文件。</w:t>
      </w:r>
    </w:p>
    <w:p w14:paraId="109FF8E6">
      <w:pPr>
        <w:tabs>
          <w:tab w:val="left" w:pos="6300"/>
        </w:tabs>
        <w:kinsoku/>
        <w:overflowPunct/>
        <w:topLinePunct w:val="0"/>
        <w:autoSpaceDE/>
        <w:autoSpaceDN/>
        <w:bidi w:val="0"/>
        <w:adjustRightInd/>
        <w:snapToGrid w:val="0"/>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br w:type="column"/>
      </w:r>
      <w:r>
        <w:rPr>
          <w:rFonts w:hint="eastAsia" w:ascii="黑体" w:hAnsi="黑体" w:eastAsia="黑体" w:cs="黑体"/>
          <w:color w:val="auto"/>
          <w:sz w:val="24"/>
          <w:szCs w:val="24"/>
        </w:rPr>
        <w:t>（四）基本资格条件承诺函（格式）</w:t>
      </w:r>
    </w:p>
    <w:p w14:paraId="11470A4D">
      <w:pPr>
        <w:tabs>
          <w:tab w:val="left" w:pos="6300"/>
        </w:tabs>
        <w:kinsoku/>
        <w:overflowPunct/>
        <w:topLinePunct w:val="0"/>
        <w:autoSpaceDE/>
        <w:autoSpaceDN/>
        <w:bidi w:val="0"/>
        <w:adjustRightInd/>
        <w:snapToGrid w:val="0"/>
        <w:spacing w:line="48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基本资格条件承诺函</w:t>
      </w:r>
    </w:p>
    <w:p w14:paraId="7F63572E">
      <w:pPr>
        <w:tabs>
          <w:tab w:val="left" w:pos="6300"/>
        </w:tabs>
        <w:kinsoku/>
        <w:overflowPunct/>
        <w:topLinePunct w:val="0"/>
        <w:autoSpaceDE/>
        <w:autoSpaceDN/>
        <w:bidi w:val="0"/>
        <w:adjustRightInd/>
        <w:snapToGrid w:val="0"/>
        <w:spacing w:line="480" w:lineRule="exact"/>
        <w:rPr>
          <w:rFonts w:hint="eastAsia" w:ascii="黑体" w:hAnsi="黑体" w:eastAsia="黑体" w:cs="黑体"/>
          <w:color w:val="auto"/>
          <w:sz w:val="24"/>
          <w:szCs w:val="24"/>
        </w:rPr>
      </w:pPr>
    </w:p>
    <w:p w14:paraId="1FDB1CC4">
      <w:pPr>
        <w:tabs>
          <w:tab w:val="left" w:pos="6300"/>
        </w:tabs>
        <w:kinsoku/>
        <w:overflowPunct/>
        <w:topLinePunct w:val="0"/>
        <w:autoSpaceDE/>
        <w:autoSpaceDN/>
        <w:bidi w:val="0"/>
        <w:adjustRightInd/>
        <w:snapToGrid w:val="0"/>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rPr>
        <w:t>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（采购人名称）：</w:t>
      </w:r>
    </w:p>
    <w:p w14:paraId="64DF773E">
      <w:pPr>
        <w:tabs>
          <w:tab w:val="left" w:pos="6300"/>
        </w:tabs>
        <w:kinsoku/>
        <w:overflowPunct/>
        <w:topLinePunct w:val="0"/>
        <w:autoSpaceDE/>
        <w:autoSpaceDN/>
        <w:bidi w:val="0"/>
        <w:adjustRightInd/>
        <w:snapToGrid w:val="0"/>
        <w:spacing w:line="480" w:lineRule="exact"/>
        <w:rPr>
          <w:rFonts w:hint="eastAsia" w:ascii="黑体" w:hAnsi="黑体" w:eastAsia="黑体" w:cs="黑体"/>
          <w:color w:val="auto"/>
          <w:sz w:val="24"/>
          <w:szCs w:val="24"/>
        </w:rPr>
      </w:pP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（供应商名称）郑重承诺：</w:t>
      </w:r>
    </w:p>
    <w:p w14:paraId="4A93A0C5">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1.我方具有良好的商业信誉和健全的财务会计制度，具有履行合同所必需的设备和专业技术能力，具</w:t>
      </w:r>
      <w:r>
        <w:rPr>
          <w:rFonts w:hint="eastAsia" w:ascii="黑体" w:hAnsi="黑体" w:eastAsia="黑体" w:cs="黑体"/>
          <w:color w:val="auto"/>
          <w:sz w:val="24"/>
          <w:szCs w:val="24"/>
          <w:lang w:val="zh-CN"/>
        </w:rPr>
        <w:t>有依法缴纳税收和社会保障金的良好记录</w:t>
      </w:r>
      <w:r>
        <w:rPr>
          <w:rFonts w:hint="eastAsia" w:ascii="黑体" w:hAnsi="黑体" w:eastAsia="黑体" w:cs="黑体"/>
          <w:color w:val="auto"/>
          <w:sz w:val="24"/>
          <w:szCs w:val="24"/>
        </w:rPr>
        <w:t>，参加本项目采购活动前三年内无重大违法活动记录。</w:t>
      </w:r>
    </w:p>
    <w:p w14:paraId="249710F2">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1EC9EFE3">
      <w:pPr>
        <w:kinsoku/>
        <w:overflowPunct/>
        <w:topLinePunct w:val="0"/>
        <w:autoSpaceDE/>
        <w:autoSpaceDN/>
        <w:bidi w:val="0"/>
        <w:adjustRightInd/>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3.我方在采购项目评审（评标）环节结束后，随时接受采购人、采购代理机构的检查验证，配合提供相关证明材料，证明符合《中华人民共和国政府采购法》规定的供应商基本资格条件。</w:t>
      </w:r>
    </w:p>
    <w:p w14:paraId="0287511C">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我方对以上承诺负全部法律责任。</w:t>
      </w:r>
    </w:p>
    <w:p w14:paraId="0ED1DF19">
      <w:pPr>
        <w:tabs>
          <w:tab w:val="left" w:pos="6300"/>
        </w:tabs>
        <w:kinsoku/>
        <w:overflowPunct/>
        <w:topLinePunct w:val="0"/>
        <w:autoSpaceDE/>
        <w:autoSpaceDN/>
        <w:bidi w:val="0"/>
        <w:adjustRightInd/>
        <w:snapToGrid w:val="0"/>
        <w:spacing w:line="480" w:lineRule="exact"/>
        <w:ind w:firstLine="480" w:firstLineChars="200"/>
        <w:rPr>
          <w:rFonts w:hint="eastAsia" w:ascii="黑体" w:hAnsi="黑体" w:eastAsia="黑体" w:cs="黑体"/>
          <w:color w:val="auto"/>
          <w:sz w:val="24"/>
          <w:szCs w:val="24"/>
        </w:rPr>
      </w:pPr>
      <w:r>
        <w:rPr>
          <w:rFonts w:hint="eastAsia" w:ascii="黑体" w:hAnsi="黑体" w:eastAsia="黑体" w:cs="黑体"/>
          <w:color w:val="auto"/>
          <w:sz w:val="24"/>
          <w:szCs w:val="24"/>
        </w:rPr>
        <w:t>特此承诺。</w:t>
      </w:r>
    </w:p>
    <w:p w14:paraId="06522AF8">
      <w:pPr>
        <w:tabs>
          <w:tab w:val="left" w:pos="6300"/>
        </w:tabs>
        <w:snapToGrid w:val="0"/>
        <w:spacing w:line="360" w:lineRule="auto"/>
        <w:rPr>
          <w:rFonts w:hint="eastAsia" w:ascii="黑体" w:hAnsi="黑体" w:eastAsia="黑体" w:cs="黑体"/>
          <w:color w:val="auto"/>
          <w:sz w:val="24"/>
          <w:szCs w:val="24"/>
        </w:rPr>
      </w:pPr>
    </w:p>
    <w:p w14:paraId="4C740CAA">
      <w:pPr>
        <w:tabs>
          <w:tab w:val="left" w:pos="6300"/>
        </w:tabs>
        <w:snapToGrid w:val="0"/>
        <w:spacing w:line="360" w:lineRule="auto"/>
        <w:ind w:right="424" w:firstLine="570"/>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          </w:t>
      </w:r>
    </w:p>
    <w:p w14:paraId="3701B2A3">
      <w:pPr>
        <w:tabs>
          <w:tab w:val="left" w:pos="6300"/>
        </w:tabs>
        <w:snapToGrid w:val="0"/>
        <w:spacing w:line="360" w:lineRule="auto"/>
        <w:ind w:right="424" w:firstLine="570"/>
        <w:jc w:val="center"/>
        <w:rPr>
          <w:rFonts w:hint="eastAsia" w:ascii="黑体" w:hAnsi="黑体" w:eastAsia="黑体" w:cs="黑体"/>
          <w:color w:val="auto"/>
          <w:sz w:val="24"/>
          <w:szCs w:val="24"/>
          <w:lang w:val="en-US" w:eastAsia="zh-CN"/>
        </w:rPr>
      </w:pPr>
    </w:p>
    <w:p w14:paraId="4DBDB749">
      <w:pPr>
        <w:tabs>
          <w:tab w:val="left" w:pos="6300"/>
        </w:tabs>
        <w:snapToGrid w:val="0"/>
        <w:spacing w:line="360" w:lineRule="auto"/>
        <w:ind w:right="424" w:firstLine="570"/>
        <w:jc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rPr>
        <w:t>供应商公章）</w:t>
      </w:r>
      <w:r>
        <w:rPr>
          <w:rFonts w:hint="eastAsia" w:ascii="黑体" w:hAnsi="黑体" w:eastAsia="黑体" w:cs="黑体"/>
          <w:color w:val="auto"/>
          <w:sz w:val="24"/>
          <w:szCs w:val="24"/>
          <w:lang w:eastAsia="zh-CN"/>
        </w:rPr>
        <w:t>：</w:t>
      </w:r>
    </w:p>
    <w:p w14:paraId="6B8F98E3">
      <w:pPr>
        <w:tabs>
          <w:tab w:val="left" w:pos="6300"/>
        </w:tabs>
        <w:snapToGrid w:val="0"/>
        <w:spacing w:line="360" w:lineRule="auto"/>
        <w:ind w:right="480" w:firstLine="570"/>
        <w:jc w:val="center"/>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年   月   日</w:t>
      </w:r>
    </w:p>
    <w:p w14:paraId="1E051C5D">
      <w:pPr>
        <w:ind w:firstLine="480" w:firstLineChars="200"/>
        <w:jc w:val="left"/>
        <w:rPr>
          <w:rFonts w:hint="eastAsia" w:ascii="黑体" w:hAnsi="黑体" w:eastAsia="黑体" w:cs="黑体"/>
          <w:color w:val="auto"/>
          <w:sz w:val="24"/>
          <w:szCs w:val="24"/>
        </w:rPr>
      </w:pPr>
    </w:p>
    <w:p w14:paraId="63DDC967">
      <w:pPr>
        <w:ind w:firstLine="480" w:firstLineChars="200"/>
        <w:jc w:val="left"/>
        <w:rPr>
          <w:rFonts w:hint="eastAsia" w:ascii="黑体" w:hAnsi="黑体" w:eastAsia="黑体" w:cs="黑体"/>
          <w:color w:val="auto"/>
          <w:sz w:val="24"/>
          <w:szCs w:val="24"/>
        </w:rPr>
      </w:pPr>
    </w:p>
    <w:p w14:paraId="39ADB43B">
      <w:pPr>
        <w:ind w:firstLine="480" w:firstLineChars="200"/>
        <w:jc w:val="left"/>
        <w:rPr>
          <w:rFonts w:hint="eastAsia" w:ascii="黑体" w:hAnsi="黑体" w:eastAsia="黑体" w:cs="黑体"/>
          <w:color w:val="auto"/>
          <w:sz w:val="24"/>
          <w:szCs w:val="24"/>
        </w:rPr>
      </w:pPr>
    </w:p>
    <w:p w14:paraId="352917D7">
      <w:pPr>
        <w:pStyle w:val="4"/>
        <w:rPr>
          <w:rFonts w:hint="eastAsia" w:ascii="黑体" w:hAnsi="黑体" w:eastAsia="黑体" w:cs="黑体"/>
          <w:color w:val="auto"/>
          <w:sz w:val="24"/>
          <w:szCs w:val="24"/>
        </w:rPr>
      </w:pPr>
    </w:p>
    <w:p w14:paraId="62D7C11D">
      <w:pPr>
        <w:rPr>
          <w:rFonts w:hint="eastAsia" w:ascii="黑体" w:hAnsi="黑体" w:eastAsia="黑体" w:cs="黑体"/>
          <w:color w:val="auto"/>
          <w:sz w:val="24"/>
          <w:szCs w:val="24"/>
        </w:rPr>
      </w:pPr>
    </w:p>
    <w:p w14:paraId="64144818">
      <w:pPr>
        <w:tabs>
          <w:tab w:val="left" w:pos="6300"/>
        </w:tabs>
        <w:snapToGrid w:val="0"/>
        <w:spacing w:line="500" w:lineRule="exact"/>
        <w:jc w:val="center"/>
        <w:rPr>
          <w:rFonts w:hint="eastAsia" w:ascii="黑体" w:hAnsi="黑体" w:eastAsia="黑体" w:cs="黑体"/>
          <w:b/>
          <w:bCs/>
          <w:color w:val="auto"/>
          <w:sz w:val="28"/>
          <w:szCs w:val="28"/>
          <w:highlight w:val="none"/>
          <w:u w:val="single"/>
        </w:rPr>
      </w:pPr>
      <w:r>
        <w:rPr>
          <w:rFonts w:hint="eastAsia" w:ascii="黑体" w:hAnsi="黑体" w:eastAsia="黑体" w:cs="黑体"/>
          <w:b/>
          <w:bCs/>
          <w:color w:val="auto"/>
          <w:sz w:val="28"/>
          <w:szCs w:val="28"/>
        </w:rPr>
        <w:t>（结束）</w:t>
      </w:r>
    </w:p>
    <w:sectPr>
      <w:pgSz w:w="11906" w:h="16838"/>
      <w:pgMar w:top="1440" w:right="1689" w:bottom="1440" w:left="1689"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40066">
    <w:pPr>
      <w:pStyle w:val="9"/>
      <w:ind w:firstLine="4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C82CC">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7CC5B">
    <w:pPr>
      <w:pStyle w:val="9"/>
      <w:jc w:val="center"/>
      <w:rPr>
        <w:rFonts w:ascii="宋体" w:hAnsi="宋体"/>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441EED">
                          <w:pPr>
                            <w:pStyle w:val="9"/>
                            <w:jc w:val="center"/>
                          </w:pPr>
                          <w:r>
                            <w:rPr>
                              <w:rFonts w:ascii="宋体" w:hAnsi="宋体"/>
                              <w:sz w:val="21"/>
                              <w:szCs w:val="21"/>
                            </w:rPr>
                            <w:fldChar w:fldCharType="begin"/>
                          </w:r>
                          <w:r>
                            <w:rPr>
                              <w:rStyle w:val="15"/>
                              <w:rFonts w:ascii="宋体" w:hAnsi="宋体"/>
                              <w:sz w:val="21"/>
                              <w:szCs w:val="21"/>
                            </w:rPr>
                            <w:instrText xml:space="preserve"> PAGE </w:instrText>
                          </w:r>
                          <w:r>
                            <w:rPr>
                              <w:rFonts w:ascii="宋体" w:hAnsi="宋体"/>
                              <w:sz w:val="21"/>
                              <w:szCs w:val="21"/>
                            </w:rPr>
                            <w:fldChar w:fldCharType="separate"/>
                          </w:r>
                          <w:r>
                            <w:rPr>
                              <w:rStyle w:val="15"/>
                              <w:rFonts w:ascii="宋体" w:hAnsi="宋体"/>
                              <w:sz w:val="21"/>
                              <w:szCs w:val="21"/>
                            </w:rPr>
                            <w:t>- 2 -</w:t>
                          </w:r>
                          <w:r>
                            <w:rPr>
                              <w:rFonts w:ascii="宋体" w:hAnsi="宋体"/>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C441EED">
                    <w:pPr>
                      <w:pStyle w:val="9"/>
                      <w:jc w:val="center"/>
                    </w:pPr>
                    <w:r>
                      <w:rPr>
                        <w:rFonts w:ascii="宋体" w:hAnsi="宋体"/>
                        <w:sz w:val="21"/>
                        <w:szCs w:val="21"/>
                      </w:rPr>
                      <w:fldChar w:fldCharType="begin"/>
                    </w:r>
                    <w:r>
                      <w:rPr>
                        <w:rStyle w:val="15"/>
                        <w:rFonts w:ascii="宋体" w:hAnsi="宋体"/>
                        <w:sz w:val="21"/>
                        <w:szCs w:val="21"/>
                      </w:rPr>
                      <w:instrText xml:space="preserve"> PAGE </w:instrText>
                    </w:r>
                    <w:r>
                      <w:rPr>
                        <w:rFonts w:ascii="宋体" w:hAnsi="宋体"/>
                        <w:sz w:val="21"/>
                        <w:szCs w:val="21"/>
                      </w:rPr>
                      <w:fldChar w:fldCharType="separate"/>
                    </w:r>
                    <w:r>
                      <w:rPr>
                        <w:rStyle w:val="15"/>
                        <w:rFonts w:ascii="宋体" w:hAnsi="宋体"/>
                        <w:sz w:val="21"/>
                        <w:szCs w:val="21"/>
                      </w:rPr>
                      <w:t>- 2 -</w:t>
                    </w:r>
                    <w:r>
                      <w:rPr>
                        <w:rFonts w:ascii="宋体" w:hAnsi="宋体"/>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4DD1E">
    <w:pPr>
      <w:pStyle w:val="9"/>
      <w:framePr w:wrap="around" w:vAnchor="text" w:hAnchor="margin" w:xAlign="center" w:y="1"/>
      <w:rPr>
        <w:rStyle w:val="15"/>
      </w:rPr>
    </w:pPr>
    <w:r>
      <w:fldChar w:fldCharType="begin"/>
    </w:r>
    <w:r>
      <w:rPr>
        <w:rStyle w:val="15"/>
      </w:rPr>
      <w:instrText xml:space="preserve">PAGE  </w:instrText>
    </w:r>
    <w:r>
      <w:fldChar w:fldCharType="separate"/>
    </w:r>
    <w:r>
      <w:rPr>
        <w:rStyle w:val="15"/>
      </w:rPr>
      <w:t>- 3 -</w:t>
    </w:r>
    <w:r>
      <w:fldChar w:fldCharType="end"/>
    </w:r>
  </w:p>
  <w:p w14:paraId="43D8832F">
    <w:pPr>
      <w:pStyle w:val="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75A72">
    <w:pPr>
      <w:pStyle w:val="10"/>
      <w:ind w:firstLine="180" w:firstLineChars="10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66751E">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F66751E">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 xml:space="preserve">                                               </w:t>
    </w:r>
    <w:r>
      <w:rPr>
        <w:rFonts w:hint="eastAsia"/>
        <w:lang w:eastAsia="zh-CN"/>
      </w:rPr>
      <w:t>竞争性比选文件</w:t>
    </w:r>
    <w:r>
      <w:rPr>
        <w:rFonts w:hint="eastAsia"/>
      </w:rPr>
      <w:t xml:space="preserve">       </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74C2F">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89CCDA">
                          <w:pPr>
                            <w:pStyle w:val="10"/>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89CCDA">
                    <w:pPr>
                      <w:pStyle w:val="10"/>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rPr>
      <w:t xml:space="preserve">                                                 </w:t>
    </w:r>
    <w:r>
      <w:rPr>
        <w:rFonts w:hint="eastAsia"/>
        <w:lang w:eastAsia="zh-CN"/>
      </w:rPr>
      <w:t>竞争性比选文件</w:t>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BD5E9">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A961EC">
                          <w:pPr>
                            <w:pStyle w:val="10"/>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0A961EC">
                    <w:pPr>
                      <w:pStyle w:val="10"/>
                    </w:pPr>
                    <w:r>
                      <w:fldChar w:fldCharType="begin"/>
                    </w:r>
                    <w:r>
                      <w:instrText xml:space="preserve"> PAGE  \* MERGEFORMAT </w:instrText>
                    </w:r>
                    <w:r>
                      <w:fldChar w:fldCharType="separate"/>
                    </w:r>
                    <w:r>
                      <w:t>23</w:t>
                    </w:r>
                    <w:r>
                      <w:fldChar w:fldCharType="end"/>
                    </w:r>
                  </w:p>
                </w:txbxContent>
              </v:textbox>
            </v:shape>
          </w:pict>
        </mc:Fallback>
      </mc:AlternateContent>
    </w:r>
    <w:r>
      <w:rPr>
        <w:rFonts w:hint="eastAsia"/>
      </w:rPr>
      <w:t xml:space="preserve">                                             </w:t>
    </w:r>
    <w:r>
      <w:rPr>
        <w:rFonts w:hint="eastAsia"/>
        <w:lang w:eastAsia="zh-CN"/>
      </w:rPr>
      <w:t>竞争性比选文件</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4785DA"/>
    <w:multiLevelType w:val="singleLevel"/>
    <w:tmpl w:val="964785DA"/>
    <w:lvl w:ilvl="0" w:tentative="0">
      <w:start w:val="2"/>
      <w:numFmt w:val="decimal"/>
      <w:suff w:val="nothing"/>
      <w:lvlText w:val="%1、"/>
      <w:lvlJc w:val="left"/>
    </w:lvl>
  </w:abstractNum>
  <w:abstractNum w:abstractNumId="1">
    <w:nsid w:val="3EB32296"/>
    <w:multiLevelType w:val="singleLevel"/>
    <w:tmpl w:val="3EB32296"/>
    <w:lvl w:ilvl="0" w:tentative="0">
      <w:start w:val="1"/>
      <w:numFmt w:val="decimal"/>
      <w:lvlText w:val="%1."/>
      <w:lvlJc w:val="left"/>
      <w:pPr>
        <w:tabs>
          <w:tab w:val="left" w:pos="312"/>
        </w:tabs>
      </w:pPr>
    </w:lvl>
  </w:abstractNum>
  <w:abstractNum w:abstractNumId="2">
    <w:nsid w:val="46506333"/>
    <w:multiLevelType w:val="singleLevel"/>
    <w:tmpl w:val="46506333"/>
    <w:lvl w:ilvl="0" w:tentative="0">
      <w:start w:val="2"/>
      <w:numFmt w:val="chineseCounting"/>
      <w:suff w:val="nothing"/>
      <w:lvlText w:val="（%1）"/>
      <w:lvlJc w:val="left"/>
      <w:rPr>
        <w:rFonts w:hint="eastAsia"/>
        <w:sz w:val="24"/>
        <w:szCs w:val="24"/>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52114"/>
    <w:rsid w:val="00CE010B"/>
    <w:rsid w:val="029D51EB"/>
    <w:rsid w:val="02E77DD6"/>
    <w:rsid w:val="055065FE"/>
    <w:rsid w:val="056809B0"/>
    <w:rsid w:val="060D59D4"/>
    <w:rsid w:val="09064843"/>
    <w:rsid w:val="0A2D52B9"/>
    <w:rsid w:val="0A5C592B"/>
    <w:rsid w:val="0B996EDD"/>
    <w:rsid w:val="0C715345"/>
    <w:rsid w:val="0CF81622"/>
    <w:rsid w:val="0DB422CB"/>
    <w:rsid w:val="0E130328"/>
    <w:rsid w:val="0F9E31DB"/>
    <w:rsid w:val="10B92E6E"/>
    <w:rsid w:val="11F22686"/>
    <w:rsid w:val="13051A89"/>
    <w:rsid w:val="134212E3"/>
    <w:rsid w:val="157D6CEC"/>
    <w:rsid w:val="16E509B8"/>
    <w:rsid w:val="1CF416CA"/>
    <w:rsid w:val="1DB60FA6"/>
    <w:rsid w:val="1EAD65A5"/>
    <w:rsid w:val="1ED73298"/>
    <w:rsid w:val="1EE07C90"/>
    <w:rsid w:val="1EE11FCC"/>
    <w:rsid w:val="1F041CED"/>
    <w:rsid w:val="205062EB"/>
    <w:rsid w:val="213B49D1"/>
    <w:rsid w:val="22A13DE2"/>
    <w:rsid w:val="22AF0CB3"/>
    <w:rsid w:val="247022A7"/>
    <w:rsid w:val="254104DF"/>
    <w:rsid w:val="25F77B9B"/>
    <w:rsid w:val="26917C1B"/>
    <w:rsid w:val="26D076EE"/>
    <w:rsid w:val="2AC167D0"/>
    <w:rsid w:val="2B29272F"/>
    <w:rsid w:val="2BBC0332"/>
    <w:rsid w:val="2C73432D"/>
    <w:rsid w:val="307F1779"/>
    <w:rsid w:val="33391DD1"/>
    <w:rsid w:val="33D83880"/>
    <w:rsid w:val="34325348"/>
    <w:rsid w:val="3458274D"/>
    <w:rsid w:val="34D83C7C"/>
    <w:rsid w:val="34DC1970"/>
    <w:rsid w:val="372A1F5E"/>
    <w:rsid w:val="39167469"/>
    <w:rsid w:val="39370582"/>
    <w:rsid w:val="39E368EB"/>
    <w:rsid w:val="3B357B14"/>
    <w:rsid w:val="3C360818"/>
    <w:rsid w:val="3CE53E93"/>
    <w:rsid w:val="3E906E9D"/>
    <w:rsid w:val="421B789E"/>
    <w:rsid w:val="43A90C5F"/>
    <w:rsid w:val="45BE51A6"/>
    <w:rsid w:val="45F75F2C"/>
    <w:rsid w:val="4623633D"/>
    <w:rsid w:val="472C4CFD"/>
    <w:rsid w:val="492C6F80"/>
    <w:rsid w:val="4935624E"/>
    <w:rsid w:val="4B5E7CAB"/>
    <w:rsid w:val="4B6B71A0"/>
    <w:rsid w:val="4C7622A1"/>
    <w:rsid w:val="507928BB"/>
    <w:rsid w:val="54A941CF"/>
    <w:rsid w:val="552F5EF1"/>
    <w:rsid w:val="57AA7C64"/>
    <w:rsid w:val="587F27BF"/>
    <w:rsid w:val="58EC57F0"/>
    <w:rsid w:val="59350DEE"/>
    <w:rsid w:val="5AE54246"/>
    <w:rsid w:val="5B613FE0"/>
    <w:rsid w:val="5FE76C95"/>
    <w:rsid w:val="60386A8A"/>
    <w:rsid w:val="60B625CF"/>
    <w:rsid w:val="61631595"/>
    <w:rsid w:val="62A24A7D"/>
    <w:rsid w:val="636A33B6"/>
    <w:rsid w:val="642279FC"/>
    <w:rsid w:val="644F5C9C"/>
    <w:rsid w:val="668D7C93"/>
    <w:rsid w:val="668F21C0"/>
    <w:rsid w:val="67650AF0"/>
    <w:rsid w:val="679638C8"/>
    <w:rsid w:val="68164A44"/>
    <w:rsid w:val="6903088D"/>
    <w:rsid w:val="69B8584F"/>
    <w:rsid w:val="6B0B4ADF"/>
    <w:rsid w:val="6BF21607"/>
    <w:rsid w:val="6C4B29AA"/>
    <w:rsid w:val="6CC453AB"/>
    <w:rsid w:val="6E955409"/>
    <w:rsid w:val="6F163E67"/>
    <w:rsid w:val="6F282251"/>
    <w:rsid w:val="70723CA2"/>
    <w:rsid w:val="727453AB"/>
    <w:rsid w:val="733777E5"/>
    <w:rsid w:val="75EC2A9D"/>
    <w:rsid w:val="77C412B3"/>
    <w:rsid w:val="78134296"/>
    <w:rsid w:val="78FF5EAC"/>
    <w:rsid w:val="7B6408D0"/>
    <w:rsid w:val="7C345822"/>
    <w:rsid w:val="7C954359"/>
    <w:rsid w:val="7D056BA5"/>
    <w:rsid w:val="7D360E0E"/>
    <w:rsid w:val="7E9247F5"/>
    <w:rsid w:val="7ED20D09"/>
    <w:rsid w:val="7EF144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8"/>
      <w:lang w:val="en-US" w:eastAsia="zh-CN" w:bidi="ar-SA"/>
    </w:rPr>
  </w:style>
  <w:style w:type="paragraph" w:styleId="2">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3">
    <w:name w:val="heading 3"/>
    <w:basedOn w:val="1"/>
    <w:next w:val="1"/>
    <w:qFormat/>
    <w:uiPriority w:val="0"/>
    <w:pPr>
      <w:keepNext/>
      <w:keepLines/>
      <w:spacing w:before="260" w:after="260" w:line="413" w:lineRule="auto"/>
      <w:outlineLvl w:val="2"/>
    </w:pPr>
    <w:rPr>
      <w:b/>
      <w:sz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next w:val="1"/>
    <w:qFormat/>
    <w:uiPriority w:val="0"/>
    <w:rPr>
      <w:rFonts w:ascii="仿宋_GB2312" w:eastAsia="仿宋_GB2312"/>
      <w:sz w:val="32"/>
    </w:rPr>
  </w:style>
  <w:style w:type="paragraph" w:styleId="6">
    <w:name w:val="toc 3"/>
    <w:basedOn w:val="1"/>
    <w:next w:val="1"/>
    <w:qFormat/>
    <w:uiPriority w:val="39"/>
    <w:pPr>
      <w:ind w:left="840" w:leftChars="400"/>
    </w:pPr>
  </w:style>
  <w:style w:type="paragraph" w:styleId="7">
    <w:name w:val="Plain Text"/>
    <w:basedOn w:val="1"/>
    <w:qFormat/>
    <w:uiPriority w:val="0"/>
    <w:rPr>
      <w:rFonts w:ascii="宋体" w:hAnsi="Courier New"/>
      <w:sz w:val="21"/>
    </w:rPr>
  </w:style>
  <w:style w:type="paragraph" w:styleId="8">
    <w:name w:val="Date"/>
    <w:basedOn w:val="1"/>
    <w:next w:val="1"/>
    <w:qFormat/>
    <w:uiPriority w:val="0"/>
  </w:style>
  <w:style w:type="paragraph" w:styleId="9">
    <w:name w:val="footer"/>
    <w:basedOn w:val="1"/>
    <w:qFormat/>
    <w:uiPriority w:val="99"/>
    <w:pPr>
      <w:tabs>
        <w:tab w:val="center" w:pos="4153"/>
        <w:tab w:val="right" w:pos="8306"/>
      </w:tabs>
      <w:snapToGrid w:val="0"/>
      <w:jc w:val="left"/>
    </w:pPr>
    <w:rPr>
      <w:sz w:val="18"/>
    </w:rPr>
  </w:style>
  <w:style w:type="paragraph" w:styleId="10">
    <w:name w:val="header"/>
    <w:basedOn w:val="1"/>
    <w:qFormat/>
    <w:uiPriority w:val="99"/>
    <w:pPr>
      <w:pBdr>
        <w:bottom w:val="single" w:color="auto" w:sz="6" w:space="1"/>
      </w:pBdr>
      <w:tabs>
        <w:tab w:val="center" w:pos="4153"/>
        <w:tab w:val="right" w:pos="8306"/>
      </w:tabs>
      <w:snapToGrid w:val="0"/>
      <w:jc w:val="left"/>
    </w:pPr>
    <w:rPr>
      <w:sz w:val="18"/>
    </w:rPr>
  </w:style>
  <w:style w:type="paragraph" w:styleId="11">
    <w:name w:val="toc 2"/>
    <w:basedOn w:val="1"/>
    <w:next w:val="1"/>
    <w:qFormat/>
    <w:uiPriority w:val="39"/>
    <w:pPr>
      <w:tabs>
        <w:tab w:val="right" w:leader="dot" w:pos="9515"/>
      </w:tabs>
      <w:ind w:left="560" w:leftChars="200"/>
    </w:pPr>
  </w:style>
  <w:style w:type="character" w:styleId="14">
    <w:name w:val="Strong"/>
    <w:basedOn w:val="13"/>
    <w:qFormat/>
    <w:uiPriority w:val="22"/>
    <w:rPr>
      <w:b/>
      <w:bCs/>
    </w:rPr>
  </w:style>
  <w:style w:type="character" w:styleId="15">
    <w:name w:val="page number"/>
    <w:qFormat/>
    <w:uiPriority w:val="0"/>
  </w:style>
  <w:style w:type="character" w:styleId="16">
    <w:name w:val="Hyperlink"/>
    <w:basedOn w:val="13"/>
    <w:qFormat/>
    <w:uiPriority w:val="99"/>
    <w:rPr>
      <w:color w:val="0000FF"/>
      <w:u w:val="single"/>
    </w:rPr>
  </w:style>
  <w:style w:type="character" w:customStyle="1" w:styleId="17">
    <w:name w:val="font31"/>
    <w:basedOn w:val="13"/>
    <w:qFormat/>
    <w:uiPriority w:val="0"/>
    <w:rPr>
      <w:rFonts w:hint="eastAsia" w:ascii="宋体" w:hAnsi="宋体" w:eastAsia="宋体" w:cs="宋体"/>
      <w:color w:val="000000"/>
      <w:sz w:val="21"/>
      <w:szCs w:val="21"/>
      <w:u w:val="none"/>
    </w:rPr>
  </w:style>
  <w:style w:type="paragraph" w:customStyle="1" w:styleId="18">
    <w:name w:val="1"/>
    <w:basedOn w:val="1"/>
    <w:next w:val="7"/>
    <w:qFormat/>
    <w:uiPriority w:val="0"/>
    <w:rPr>
      <w:rFonts w:ascii="宋体" w:hAnsi="Courier New"/>
      <w:sz w:val="21"/>
    </w:rPr>
  </w:style>
  <w:style w:type="paragraph" w:customStyle="1" w:styleId="19">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20">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2131</Words>
  <Characters>2451</Characters>
  <Lines>0</Lines>
  <Paragraphs>0</Paragraphs>
  <TotalTime>10</TotalTime>
  <ScaleCrop>false</ScaleCrop>
  <LinksUpToDate>false</LinksUpToDate>
  <CharactersWithSpaces>2521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2026-09-24T02:33:00Z</dcterms:created>
  <dc:creator>Administrator</dc:creator>
  <cp:lastModifiedBy>lenovo</cp:lastModifiedBy>
  <cp:lastPrinted>2026-10-08T10:15:00Z</cp:lastPrinted>
  <dcterms:modified xsi:type="dcterms:W3CDTF">2026-10-12T07:39:26Z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eyJoZGlkIjoiNGNhMGM0Y2M0ZGZkNDU0NWJjY2M0Y2NjZTJlYmRhM2YifQ==</vt:lpwstr>
  </property>
  <property fmtid="{D5CDD505-2E9C-101B-9397-08002B2CF9AE}" pid="4" name="ICV">
    <vt:lpwstr>193AFC22DC7D4C648B51C63961749E29_13</vt:lpwstr>
  </property>
</Properties>
</file>