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81C13E">
      <w:pPr>
        <w:pStyle w:val="3"/>
        <w:keepNext w:val="0"/>
        <w:keepLines w:val="0"/>
        <w:pageBreakBefore w:val="0"/>
        <w:widowControl w:val="0"/>
        <w:kinsoku/>
        <w:wordWrap/>
        <w:overflowPunct/>
        <w:topLinePunct w:val="0"/>
        <w:autoSpaceDE/>
        <w:autoSpaceDN/>
        <w:bidi w:val="0"/>
        <w:adjustRightInd/>
        <w:snapToGrid/>
        <w:spacing w:beforeAutospacing="0" w:afterAutospacing="0" w:line="500" w:lineRule="exact"/>
        <w:jc w:val="center"/>
        <w:textAlignment w:val="auto"/>
      </w:pPr>
      <w:r>
        <w:t>关于《</w:t>
      </w:r>
      <w:r>
        <w:rPr>
          <w:rFonts w:hint="eastAsia"/>
          <w:lang w:eastAsia="zh-CN"/>
        </w:rPr>
        <w:t>文旅集团职工食堂鲜货类食材配送服务</w:t>
      </w:r>
      <w:r>
        <w:t>采购项目》</w:t>
      </w:r>
    </w:p>
    <w:p w14:paraId="253AB436">
      <w:pPr>
        <w:pStyle w:val="3"/>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482" w:firstLineChars="100"/>
        <w:jc w:val="both"/>
        <w:textAlignment w:val="auto"/>
      </w:pPr>
      <w:r>
        <w:t>公平竞争审查公开征求意见的通告</w:t>
      </w:r>
    </w:p>
    <w:p w14:paraId="4910A341">
      <w:pPr>
        <w:rPr>
          <w:rFonts w:hint="default"/>
          <w:lang w:val="en-US" w:eastAsia="zh-CN"/>
        </w:rPr>
      </w:pPr>
    </w:p>
    <w:p w14:paraId="33F5F415">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为贯彻落实《反垄断法》《公平竞争审查条例》等法律法规要求，构建统一开放、竞争有序的政府采购市场体系，保障各类市场主体平等参与市场竞争的权利，我单位组织开展《文旅集团职工食堂鲜货类食材配送服务采购项目》（以下简称“本项目”）的公平竞争审查工作。根据《关于推进落实工程建设项目招标投标和采购领域公平竞争审查程序的通知》（大足双反办〔2025〕11号）等相关要求，现就本项目公平竞争审查有关内容向社会公开征求意见。有关事项通告如下：</w:t>
      </w:r>
    </w:p>
    <w:p w14:paraId="701288EF">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rPr>
      </w:pPr>
      <w:r>
        <w:rPr>
          <w:rFonts w:hint="eastAsia" w:ascii="仿宋" w:hAnsi="仿宋" w:eastAsia="仿宋" w:cs="仿宋"/>
          <w:b/>
          <w:bCs/>
          <w:sz w:val="30"/>
          <w:szCs w:val="30"/>
        </w:rPr>
        <w:t>一、项目基本情况</w:t>
      </w:r>
    </w:p>
    <w:p w14:paraId="01BA545D">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项目名称：</w:t>
      </w:r>
      <w:r>
        <w:rPr>
          <w:rFonts w:hint="eastAsia" w:ascii="仿宋" w:hAnsi="仿宋" w:eastAsia="仿宋" w:cs="仿宋"/>
          <w:sz w:val="30"/>
          <w:szCs w:val="30"/>
          <w:lang w:eastAsia="zh-CN"/>
        </w:rPr>
        <w:t>文旅集团职工食堂鲜货类食材配送服务</w:t>
      </w:r>
    </w:p>
    <w:p w14:paraId="69DF1DC8">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eastAsia="zh-CN"/>
        </w:rPr>
        <w:t>招标单位</w:t>
      </w:r>
      <w:r>
        <w:rPr>
          <w:rFonts w:hint="eastAsia" w:ascii="仿宋" w:hAnsi="仿宋" w:eastAsia="仿宋" w:cs="仿宋"/>
          <w:sz w:val="30"/>
          <w:szCs w:val="30"/>
        </w:rPr>
        <w:t>：</w:t>
      </w:r>
      <w:r>
        <w:rPr>
          <w:rFonts w:hint="eastAsia" w:ascii="仿宋" w:hAnsi="仿宋" w:eastAsia="仿宋" w:cs="仿宋"/>
          <w:sz w:val="30"/>
          <w:szCs w:val="30"/>
          <w:lang w:eastAsia="zh-CN"/>
        </w:rPr>
        <w:t>重庆大足石刻国际文化旅游集团有限公司</w:t>
      </w:r>
    </w:p>
    <w:p w14:paraId="47156825">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default" w:ascii="仿宋" w:hAnsi="仿宋" w:eastAsia="仿宋" w:cs="仿宋"/>
          <w:sz w:val="30"/>
          <w:szCs w:val="30"/>
          <w:lang w:eastAsia="zh-CN"/>
          <w:woUserID w:val="1"/>
        </w:rPr>
        <w:t>招标公告</w:t>
      </w:r>
      <w:r>
        <w:rPr>
          <w:rFonts w:hint="eastAsia" w:ascii="仿宋" w:hAnsi="仿宋" w:eastAsia="仿宋" w:cs="仿宋"/>
          <w:sz w:val="30"/>
          <w:szCs w:val="30"/>
          <w:lang w:eastAsia="zh-CN"/>
        </w:rPr>
        <w:t>主要</w:t>
      </w:r>
      <w:r>
        <w:rPr>
          <w:rFonts w:hint="eastAsia" w:ascii="仿宋" w:hAnsi="仿宋" w:eastAsia="仿宋" w:cs="仿宋"/>
          <w:sz w:val="30"/>
          <w:szCs w:val="30"/>
        </w:rPr>
        <w:t>内容：</w:t>
      </w:r>
      <w:bookmarkStart w:id="0" w:name="_Toc17925"/>
      <w:r>
        <w:rPr>
          <w:rFonts w:hint="eastAsia" w:ascii="仿宋" w:hAnsi="仿宋" w:eastAsia="仿宋" w:cs="仿宋"/>
          <w:sz w:val="30"/>
          <w:szCs w:val="30"/>
          <w:lang w:val="en-US" w:eastAsia="zh-CN"/>
        </w:rPr>
        <w:t>本次采购内容包括文旅集团职工食堂鲜货类食材配送服务，含蔬菜、水产、早餐、水果、鲜豆制品等；并按照采购人通知的时间(自然原因造成的人力不可抗拒因素除外)、数量、品种、品质要求准时送货到指定地点。</w:t>
      </w:r>
      <w:bookmarkEnd w:id="0"/>
    </w:p>
    <w:p w14:paraId="1FEFCCAF">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项目制定依据：</w:t>
      </w:r>
      <w:r>
        <w:rPr>
          <w:rFonts w:hint="eastAsia" w:ascii="仿宋" w:hAnsi="仿宋" w:eastAsia="仿宋" w:cs="仿宋"/>
          <w:sz w:val="30"/>
          <w:szCs w:val="30"/>
          <w:highlight w:val="none"/>
          <w:shd w:val="clear" w:color="auto" w:fill="auto"/>
          <w:lang w:val="en-US" w:eastAsia="zh-CN"/>
        </w:rPr>
        <w:t>文旅集团党委会纪要</w:t>
      </w:r>
      <w:r>
        <w:rPr>
          <w:rFonts w:ascii="方正仿宋_GBK" w:hAnsi="方正仿宋_GBK" w:eastAsia="方正仿宋_GBK" w:cs="方正仿宋_GBK"/>
          <w:color w:val="000000"/>
          <w:kern w:val="0"/>
          <w:sz w:val="31"/>
          <w:szCs w:val="31"/>
          <w:highlight w:val="none"/>
          <w:shd w:val="clear" w:color="auto" w:fill="auto"/>
          <w:lang w:val="en-US" w:eastAsia="zh-CN" w:bidi="ar"/>
        </w:rPr>
        <w:t>〔</w:t>
      </w:r>
      <w:r>
        <w:rPr>
          <w:rFonts w:hint="default" w:ascii="Times New Roman" w:hAnsi="Times New Roman" w:eastAsia="宋体" w:cs="Times New Roman"/>
          <w:color w:val="000000"/>
          <w:kern w:val="0"/>
          <w:sz w:val="31"/>
          <w:szCs w:val="31"/>
          <w:highlight w:val="none"/>
          <w:shd w:val="clear" w:color="auto" w:fill="auto"/>
          <w:lang w:val="en-US" w:eastAsia="zh-CN" w:bidi="ar"/>
        </w:rPr>
        <w:t>2026</w:t>
      </w:r>
      <w:r>
        <w:rPr>
          <w:rFonts w:hint="eastAsia" w:ascii="方正仿宋_GBK" w:hAnsi="方正仿宋_GBK" w:eastAsia="方正仿宋_GBK" w:cs="方正仿宋_GBK"/>
          <w:color w:val="000000"/>
          <w:kern w:val="0"/>
          <w:sz w:val="31"/>
          <w:szCs w:val="31"/>
          <w:highlight w:val="none"/>
          <w:shd w:val="clear" w:color="auto" w:fill="auto"/>
          <w:lang w:val="en-US" w:eastAsia="zh-CN" w:bidi="ar"/>
        </w:rPr>
        <w:t>〕第 6 期</w:t>
      </w:r>
    </w:p>
    <w:p w14:paraId="4CDACFDD">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rPr>
      </w:pPr>
      <w:r>
        <w:rPr>
          <w:rFonts w:hint="eastAsia" w:ascii="仿宋" w:hAnsi="仿宋" w:eastAsia="仿宋" w:cs="仿宋"/>
          <w:b/>
          <w:bCs/>
          <w:sz w:val="30"/>
          <w:szCs w:val="30"/>
        </w:rPr>
        <w:t>二、公平竞争审查重点内容</w:t>
      </w:r>
    </w:p>
    <w:p w14:paraId="7F14E150">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根据公平竞争审查相关标准，本次重点审查以下内容是否存在排除、限制市场竞争情形：</w:t>
      </w:r>
    </w:p>
    <w:p w14:paraId="3825F690">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1、是否以供应商的所有制形式、组织形式或者股权结构为由，实施差别待遇或歧视待遇；</w:t>
      </w:r>
    </w:p>
    <w:p w14:paraId="17C1F99D">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w:t>
      </w:r>
      <w:r>
        <w:rPr>
          <w:rFonts w:hint="default" w:ascii="仿宋" w:hAnsi="仿宋" w:eastAsia="仿宋" w:cs="仿宋"/>
          <w:sz w:val="30"/>
          <w:szCs w:val="30"/>
          <w:lang w:val="en-US" w:eastAsia="zh-CN"/>
        </w:rPr>
        <w:t>是否通过设置备选库、名录库、资格库等入围方式，变相限制供应商进入市场；</w:t>
      </w:r>
    </w:p>
    <w:p w14:paraId="067A1EA1">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w:t>
      </w:r>
      <w:r>
        <w:rPr>
          <w:rFonts w:hint="default" w:ascii="仿宋" w:hAnsi="仿宋" w:eastAsia="仿宋" w:cs="仿宋"/>
          <w:sz w:val="30"/>
          <w:szCs w:val="30"/>
          <w:lang w:val="en-US" w:eastAsia="zh-CN"/>
        </w:rPr>
        <w:t>是否要求供应商设立分支机构、满足特定规模或成立年限等不合理门槛；</w:t>
      </w:r>
    </w:p>
    <w:p w14:paraId="5C3CCAFE">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w:t>
      </w:r>
      <w:r>
        <w:rPr>
          <w:rFonts w:hint="default" w:ascii="仿宋" w:hAnsi="仿宋" w:eastAsia="仿宋" w:cs="仿宋"/>
          <w:sz w:val="30"/>
          <w:szCs w:val="30"/>
          <w:lang w:val="en-US" w:eastAsia="zh-CN"/>
        </w:rPr>
        <w:t>是否强制要求供应商购买指定</w:t>
      </w:r>
      <w:r>
        <w:rPr>
          <w:rFonts w:hint="eastAsia" w:ascii="仿宋" w:hAnsi="仿宋" w:eastAsia="仿宋" w:cs="仿宋"/>
          <w:sz w:val="30"/>
          <w:szCs w:val="30"/>
          <w:lang w:val="en-US" w:eastAsia="zh-CN"/>
        </w:rPr>
        <w:t>品牌</w:t>
      </w:r>
      <w:r>
        <w:rPr>
          <w:rFonts w:hint="default" w:ascii="仿宋" w:hAnsi="仿宋" w:eastAsia="仿宋" w:cs="仿宋"/>
          <w:sz w:val="30"/>
          <w:szCs w:val="30"/>
          <w:lang w:val="en-US" w:eastAsia="zh-CN"/>
        </w:rPr>
        <w:t>或接受其他附加条件作为参与投标的前提；</w:t>
      </w:r>
    </w:p>
    <w:p w14:paraId="388656EB">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5、</w:t>
      </w:r>
      <w:r>
        <w:rPr>
          <w:rFonts w:hint="default" w:ascii="仿宋" w:hAnsi="仿宋" w:eastAsia="仿宋" w:cs="仿宋"/>
          <w:sz w:val="30"/>
          <w:szCs w:val="30"/>
          <w:lang w:val="en-US" w:eastAsia="zh-CN"/>
        </w:rPr>
        <w:t>是否存在不依法及时、完整公开采购信息，妨碍供应商参与竞争的情况；</w:t>
      </w:r>
    </w:p>
    <w:p w14:paraId="74F8E861">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6、</w:t>
      </w:r>
      <w:r>
        <w:rPr>
          <w:rFonts w:hint="default" w:ascii="仿宋" w:hAnsi="仿宋" w:eastAsia="仿宋" w:cs="仿宋"/>
          <w:sz w:val="30"/>
          <w:szCs w:val="30"/>
          <w:lang w:val="en-US" w:eastAsia="zh-CN"/>
        </w:rPr>
        <w:t>是否设置无法律法规依据的审批、备案或收费事项；</w:t>
      </w:r>
    </w:p>
    <w:p w14:paraId="6735BBC8">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7、</w:t>
      </w:r>
      <w:r>
        <w:rPr>
          <w:rFonts w:hint="default" w:ascii="仿宋" w:hAnsi="仿宋" w:eastAsia="仿宋" w:cs="仿宋"/>
          <w:sz w:val="30"/>
          <w:szCs w:val="30"/>
          <w:lang w:val="en-US" w:eastAsia="zh-CN"/>
        </w:rPr>
        <w:t>其他可能妨碍公平竞争的情形。</w:t>
      </w:r>
      <w:r>
        <w:rPr>
          <w:rFonts w:hint="eastAsia" w:ascii="仿宋" w:hAnsi="仿宋" w:eastAsia="仿宋" w:cs="仿宋"/>
          <w:sz w:val="30"/>
          <w:szCs w:val="30"/>
          <w:lang w:val="en-US" w:eastAsia="zh-CN"/>
        </w:rPr>
        <w:t xml:space="preserve">                        </w:t>
      </w:r>
    </w:p>
    <w:p w14:paraId="53282643">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三、意见反馈方式及期限</w:t>
      </w:r>
    </w:p>
    <w:p w14:paraId="138E2475">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（一）反馈途径</w:t>
      </w:r>
    </w:p>
    <w:p w14:paraId="0EC8769A">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1、</w:t>
      </w:r>
      <w:r>
        <w:rPr>
          <w:rFonts w:hint="eastAsia" w:ascii="仿宋" w:hAnsi="仿宋" w:eastAsia="仿宋" w:cs="仿宋"/>
          <w:sz w:val="30"/>
          <w:szCs w:val="30"/>
        </w:rPr>
        <w:t>电子邮件：发送至[</w:t>
      </w:r>
      <w:r>
        <w:rPr>
          <w:rFonts w:hint="eastAsia" w:ascii="仿宋" w:hAnsi="仿宋" w:eastAsia="仿宋" w:cs="仿宋"/>
          <w:sz w:val="30"/>
          <w:szCs w:val="30"/>
          <w:lang w:val="en-US" w:eastAsia="zh-CN"/>
        </w:rPr>
        <w:t>3022181286@qq.com</w:t>
      </w:r>
      <w:r>
        <w:rPr>
          <w:rFonts w:hint="eastAsia" w:ascii="仿宋" w:hAnsi="仿宋" w:eastAsia="仿宋" w:cs="仿宋"/>
          <w:sz w:val="30"/>
          <w:szCs w:val="30"/>
        </w:rPr>
        <w:t>]，邮件主题请注明“《</w:t>
      </w:r>
      <w:r>
        <w:rPr>
          <w:rFonts w:hint="eastAsia" w:ascii="仿宋" w:hAnsi="仿宋" w:eastAsia="仿宋" w:cs="仿宋"/>
          <w:sz w:val="30"/>
          <w:szCs w:val="30"/>
          <w:lang w:val="en-US" w:eastAsia="zh-CN"/>
        </w:rPr>
        <w:t>文旅集团职工食堂鲜货类食材配送服务</w:t>
      </w:r>
      <w:r>
        <w:rPr>
          <w:rFonts w:hint="eastAsia" w:ascii="仿宋" w:hAnsi="仿宋" w:eastAsia="仿宋" w:cs="仿宋"/>
          <w:sz w:val="30"/>
          <w:szCs w:val="30"/>
        </w:rPr>
        <w:t>采购项目》公平竞争审查反馈意见”。</w:t>
      </w:r>
    </w:p>
    <w:p w14:paraId="3C6BA627">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2、</w:t>
      </w:r>
      <w:r>
        <w:rPr>
          <w:rFonts w:hint="eastAsia" w:ascii="仿宋" w:hAnsi="仿宋" w:eastAsia="仿宋" w:cs="仿宋"/>
          <w:sz w:val="30"/>
          <w:szCs w:val="30"/>
        </w:rPr>
        <w:t>信函邮寄：寄送至[重庆市大足区棠香街道大铜路污水处理厂内]，收件人：[</w:t>
      </w:r>
      <w:r>
        <w:rPr>
          <w:rFonts w:hint="eastAsia" w:ascii="仿宋" w:hAnsi="仿宋" w:eastAsia="仿宋" w:cs="仿宋"/>
          <w:sz w:val="30"/>
          <w:szCs w:val="30"/>
          <w:lang w:eastAsia="zh-CN"/>
        </w:rPr>
        <w:t>杜幽桥</w:t>
      </w:r>
      <w:r>
        <w:rPr>
          <w:rFonts w:hint="eastAsia" w:ascii="仿宋" w:hAnsi="仿宋" w:eastAsia="仿宋" w:cs="仿宋"/>
          <w:sz w:val="30"/>
          <w:szCs w:val="30"/>
        </w:rPr>
        <w:t>]，邮政编码：[</w:t>
      </w:r>
      <w:r>
        <w:rPr>
          <w:rFonts w:hint="eastAsia" w:ascii="仿宋" w:hAnsi="仿宋" w:eastAsia="仿宋" w:cs="仿宋"/>
          <w:sz w:val="30"/>
          <w:szCs w:val="30"/>
          <w:lang w:val="en-US" w:eastAsia="zh-CN"/>
        </w:rPr>
        <w:t>402360</w:t>
      </w:r>
      <w:r>
        <w:rPr>
          <w:rFonts w:hint="eastAsia" w:ascii="仿宋" w:hAnsi="仿宋" w:eastAsia="仿宋" w:cs="仿宋"/>
          <w:sz w:val="30"/>
          <w:szCs w:val="30"/>
        </w:rPr>
        <w:t>]，信封上请注明 “《</w:t>
      </w:r>
      <w:r>
        <w:rPr>
          <w:rFonts w:hint="eastAsia" w:ascii="仿宋" w:hAnsi="仿宋" w:eastAsia="仿宋" w:cs="仿宋"/>
          <w:sz w:val="30"/>
          <w:szCs w:val="30"/>
          <w:lang w:val="en-US" w:eastAsia="zh-CN"/>
        </w:rPr>
        <w:t>文旅集团职工食堂鲜货类食材配送服务</w:t>
      </w:r>
      <w:r>
        <w:rPr>
          <w:rFonts w:hint="eastAsia" w:ascii="仿宋" w:hAnsi="仿宋" w:eastAsia="仿宋" w:cs="仿宋"/>
          <w:sz w:val="30"/>
          <w:szCs w:val="30"/>
        </w:rPr>
        <w:t>采购项目》公平竞争审查反馈意见”字样。</w:t>
      </w:r>
    </w:p>
    <w:p w14:paraId="0DF49499">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3、</w:t>
      </w:r>
      <w:r>
        <w:rPr>
          <w:rFonts w:hint="eastAsia" w:ascii="仿宋" w:hAnsi="仿宋" w:eastAsia="仿宋" w:cs="仿宋"/>
          <w:sz w:val="30"/>
          <w:szCs w:val="30"/>
        </w:rPr>
        <w:t>现场提交：地址：[重庆市大足区棠香街道大铜路污水处理厂内]，联系电话：[</w:t>
      </w:r>
      <w:r>
        <w:rPr>
          <w:rFonts w:hint="eastAsia" w:ascii="仿宋" w:hAnsi="仿宋" w:eastAsia="仿宋" w:cs="仿宋"/>
          <w:sz w:val="30"/>
          <w:szCs w:val="30"/>
          <w:lang w:val="en-US" w:eastAsia="zh-CN"/>
        </w:rPr>
        <w:t>15856060343</w:t>
      </w:r>
      <w:r>
        <w:rPr>
          <w:rFonts w:hint="eastAsia" w:ascii="仿宋" w:hAnsi="仿宋" w:eastAsia="仿宋" w:cs="仿宋"/>
          <w:sz w:val="30"/>
          <w:szCs w:val="30"/>
        </w:rPr>
        <w:t>]，提交时间：工作日9:00-11:30、14:00-17:00。</w:t>
      </w:r>
    </w:p>
    <w:p w14:paraId="76275B18">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（二）反馈期限</w:t>
      </w:r>
    </w:p>
    <w:p w14:paraId="60FC48E7">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highlight w:val="none"/>
        </w:rPr>
      </w:pPr>
      <w:r>
        <w:rPr>
          <w:rFonts w:hint="eastAsia" w:ascii="仿宋" w:hAnsi="仿宋" w:eastAsia="仿宋" w:cs="仿宋"/>
          <w:sz w:val="30"/>
          <w:szCs w:val="30"/>
          <w:lang w:val="en-US" w:eastAsia="zh-CN"/>
        </w:rPr>
        <w:t>本次公开征求意见期限为自本通告发布之日起7天内，</w:t>
      </w:r>
      <w:r>
        <w:rPr>
          <w:rFonts w:hint="eastAsia" w:ascii="仿宋" w:hAnsi="仿宋" w:eastAsia="仿宋" w:cs="仿宋"/>
          <w:sz w:val="30"/>
          <w:szCs w:val="30"/>
          <w:highlight w:val="none"/>
          <w:lang w:eastAsia="zh-CN"/>
        </w:rPr>
        <w:t>于</w:t>
      </w:r>
      <w:r>
        <w:rPr>
          <w:rFonts w:hint="eastAsia" w:ascii="仿宋" w:hAnsi="仿宋" w:eastAsia="仿宋" w:cs="仿宋"/>
          <w:sz w:val="30"/>
          <w:szCs w:val="30"/>
          <w:highlight w:val="none"/>
          <w:lang w:val="en-US" w:eastAsia="zh-CN"/>
        </w:rPr>
        <w:t>2026</w:t>
      </w:r>
      <w:r>
        <w:rPr>
          <w:rFonts w:hint="eastAsia" w:ascii="仿宋" w:hAnsi="仿宋" w:eastAsia="仿宋" w:cs="仿宋"/>
          <w:sz w:val="30"/>
          <w:szCs w:val="30"/>
          <w:highlight w:val="none"/>
        </w:rPr>
        <w:t>年</w:t>
      </w:r>
      <w:r>
        <w:rPr>
          <w:rFonts w:hint="eastAsia" w:ascii="仿宋" w:hAnsi="仿宋" w:eastAsia="仿宋" w:cs="仿宋"/>
          <w:sz w:val="30"/>
          <w:szCs w:val="30"/>
          <w:highlight w:val="none"/>
          <w:lang w:val="en-US" w:eastAsia="zh-CN"/>
        </w:rPr>
        <w:t>5</w:t>
      </w:r>
      <w:r>
        <w:rPr>
          <w:rFonts w:hint="eastAsia" w:ascii="仿宋" w:hAnsi="仿宋" w:eastAsia="仿宋" w:cs="仿宋"/>
          <w:sz w:val="30"/>
          <w:szCs w:val="30"/>
          <w:highlight w:val="none"/>
        </w:rPr>
        <w:t>月</w:t>
      </w:r>
      <w:r>
        <w:rPr>
          <w:rFonts w:hint="eastAsia" w:ascii="仿宋" w:hAnsi="仿宋" w:eastAsia="仿宋" w:cs="仿宋"/>
          <w:sz w:val="30"/>
          <w:szCs w:val="30"/>
          <w:highlight w:val="none"/>
          <w:lang w:val="en-US" w:eastAsia="zh-CN"/>
        </w:rPr>
        <w:t>14</w:t>
      </w:r>
      <w:r>
        <w:rPr>
          <w:rFonts w:hint="eastAsia" w:ascii="仿宋" w:hAnsi="仿宋" w:eastAsia="仿宋" w:cs="仿宋"/>
          <w:sz w:val="30"/>
          <w:szCs w:val="30"/>
          <w:highlight w:val="none"/>
        </w:rPr>
        <w:t>日前</w:t>
      </w:r>
      <w:r>
        <w:rPr>
          <w:rFonts w:hint="eastAsia" w:ascii="仿宋" w:hAnsi="仿宋" w:eastAsia="仿宋" w:cs="仿宋"/>
          <w:sz w:val="30"/>
          <w:szCs w:val="30"/>
          <w:highlight w:val="none"/>
          <w:lang w:eastAsia="zh-CN"/>
        </w:rPr>
        <w:t>按</w:t>
      </w:r>
      <w:r>
        <w:rPr>
          <w:rFonts w:hint="default" w:ascii="仿宋" w:hAnsi="仿宋" w:eastAsia="仿宋" w:cs="仿宋"/>
          <w:sz w:val="30"/>
          <w:szCs w:val="30"/>
          <w:highlight w:val="none"/>
          <w:lang w:eastAsia="zh-CN"/>
          <w:woUserID w:val="2"/>
        </w:rPr>
        <w:t>上述</w:t>
      </w:r>
      <w:r>
        <w:rPr>
          <w:rFonts w:hint="eastAsia" w:ascii="仿宋" w:hAnsi="仿宋" w:eastAsia="仿宋" w:cs="仿宋"/>
          <w:sz w:val="30"/>
          <w:szCs w:val="30"/>
          <w:highlight w:val="none"/>
          <w:lang w:eastAsia="zh-CN"/>
        </w:rPr>
        <w:t>途径反馈。</w:t>
      </w:r>
    </w:p>
    <w:p w14:paraId="1BC6E9F7">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四、其他事项</w:t>
      </w:r>
    </w:p>
    <w:p w14:paraId="0C71BEDB">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反馈意见需明确提出具体修改建议及理由，可附相关事实依据或政策支撑材料。</w:t>
      </w:r>
    </w:p>
    <w:p w14:paraId="7AA5ADDF">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为便于沟通交流，请在反馈意见中注明联系人姓名、单位（如适用）、联系电话及电子邮箱。</w:t>
      </w:r>
    </w:p>
    <w:p w14:paraId="4D86FC60">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我单位将对收到的意见建议进行汇总梳理和研究论证，对合理意见予以采纳，并在后续审查结论中说明意见采纳情况及理由。</w:t>
      </w:r>
    </w:p>
    <w:p w14:paraId="6FE03AAE">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有关本项目公平竞争审查的疑问，可致电[联系电话]咨询，咨询时间：工作日9:00-11:30、14:00-17:00。</w:t>
      </w:r>
    </w:p>
    <w:p w14:paraId="385DEC24">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五、附件</w:t>
      </w:r>
    </w:p>
    <w:p w14:paraId="4A53E193">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900" w:firstLineChars="3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1、项目招标（采购）文件、招标（采购）公告；</w:t>
      </w:r>
    </w:p>
    <w:p w14:paraId="748690CE">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900" w:firstLineChars="3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2、</w:t>
      </w:r>
      <w:r>
        <w:rPr>
          <w:rFonts w:hint="eastAsia" w:ascii="仿宋" w:hAnsi="仿宋" w:eastAsia="仿宋" w:cs="仿宋"/>
          <w:sz w:val="30"/>
          <w:szCs w:val="30"/>
        </w:rPr>
        <w:t>项目制定依据：</w:t>
      </w:r>
      <w:r>
        <w:rPr>
          <w:rFonts w:hint="eastAsia" w:ascii="仿宋" w:hAnsi="仿宋" w:eastAsia="仿宋" w:cs="仿宋"/>
          <w:sz w:val="30"/>
          <w:szCs w:val="30"/>
          <w:highlight w:val="none"/>
          <w:lang w:val="en-US" w:eastAsia="zh-CN"/>
        </w:rPr>
        <w:t>文旅集团党委会纪要</w:t>
      </w:r>
      <w:r>
        <w:rPr>
          <w:rFonts w:ascii="方正仿宋_GBK" w:hAnsi="方正仿宋_GBK" w:eastAsia="方正仿宋_GBK" w:cs="方正仿宋_GBK"/>
          <w:color w:val="000000"/>
          <w:kern w:val="0"/>
          <w:sz w:val="31"/>
          <w:szCs w:val="31"/>
          <w:highlight w:val="none"/>
          <w:lang w:val="en-US" w:eastAsia="zh-CN" w:bidi="ar"/>
        </w:rPr>
        <w:t>〔</w:t>
      </w:r>
      <w:r>
        <w:rPr>
          <w:rFonts w:hint="default" w:ascii="Times New Roman" w:hAnsi="Times New Roman" w:eastAsia="宋体" w:cs="Times New Roman"/>
          <w:color w:val="000000"/>
          <w:kern w:val="0"/>
          <w:sz w:val="31"/>
          <w:szCs w:val="31"/>
          <w:highlight w:val="none"/>
          <w:lang w:val="en-US" w:eastAsia="zh-CN" w:bidi="ar"/>
        </w:rPr>
        <w:t>2</w:t>
      </w:r>
      <w:r>
        <w:rPr>
          <w:rFonts w:hint="default" w:ascii="Times New Roman" w:hAnsi="Times New Roman" w:eastAsia="宋体" w:cs="Times New Roman"/>
          <w:color w:val="000000"/>
          <w:kern w:val="0"/>
          <w:sz w:val="31"/>
          <w:szCs w:val="31"/>
          <w:lang w:val="en-US" w:eastAsia="zh-CN" w:bidi="ar"/>
        </w:rPr>
        <w:t>026</w:t>
      </w:r>
      <w:r>
        <w:rPr>
          <w:rFonts w:hint="eastAsia" w:ascii="方正仿宋_GBK" w:hAnsi="方正仿宋_GBK" w:eastAsia="方正仿宋_GBK" w:cs="方正仿宋_GBK"/>
          <w:color w:val="000000"/>
          <w:kern w:val="0"/>
          <w:sz w:val="31"/>
          <w:szCs w:val="31"/>
          <w:lang w:val="en-US" w:eastAsia="zh-CN" w:bidi="ar"/>
        </w:rPr>
        <w:t>〕第 6 期</w:t>
      </w:r>
    </w:p>
    <w:p w14:paraId="3A25912E">
      <w:pPr>
        <w:keepNext w:val="0"/>
        <w:keepLines w:val="0"/>
        <w:pageBreakBefore w:val="0"/>
        <w:widowControl w:val="0"/>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30"/>
          <w:szCs w:val="30"/>
          <w:lang w:val="en-US" w:eastAsia="zh-CN"/>
        </w:rPr>
      </w:pPr>
    </w:p>
    <w:p w14:paraId="6ABF43AE">
      <w:pPr>
        <w:keepNext w:val="0"/>
        <w:keepLines w:val="0"/>
        <w:pageBreakBefore w:val="0"/>
        <w:widowControl w:val="0"/>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30"/>
          <w:szCs w:val="30"/>
          <w:lang w:val="en-US" w:eastAsia="zh-CN"/>
        </w:rPr>
      </w:pPr>
    </w:p>
    <w:p w14:paraId="6E34B134">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r>
        <w:rPr>
          <w:rFonts w:hint="default" w:ascii="仿宋" w:hAnsi="仿宋" w:eastAsia="仿宋" w:cs="仿宋"/>
          <w:sz w:val="30"/>
          <w:szCs w:val="30"/>
          <w:woUserID w:val="1"/>
        </w:rPr>
        <w:t xml:space="preserve">  </w:t>
      </w:r>
      <w:r>
        <w:rPr>
          <w:rFonts w:hint="default" w:ascii="仿宋" w:hAnsi="仿宋" w:eastAsia="仿宋" w:cs="仿宋"/>
          <w:sz w:val="30"/>
          <w:szCs w:val="30"/>
          <w:lang w:eastAsia="zh-CN"/>
          <w:woUserID w:val="1"/>
        </w:rPr>
        <w:t>重庆大足石刻国际文化旅游集团有限公司</w:t>
      </w:r>
      <w:r>
        <w:rPr>
          <w:rFonts w:hint="default" w:ascii="仿宋" w:hAnsi="仿宋" w:eastAsia="仿宋" w:cs="仿宋"/>
          <w:sz w:val="30"/>
          <w:szCs w:val="30"/>
          <w:woUserID w:val="1"/>
        </w:rPr>
        <w:t xml:space="preserve">                                      </w:t>
      </w:r>
      <w:r>
        <w:rPr>
          <w:rFonts w:hint="eastAsia" w:ascii="仿宋" w:hAnsi="仿宋" w:eastAsia="仿宋" w:cs="仿宋"/>
          <w:sz w:val="30"/>
          <w:szCs w:val="30"/>
          <w:lang w:val="en-US" w:eastAsia="zh-CN"/>
          <w:woUserID w:val="1"/>
        </w:rPr>
        <w:t>2026</w:t>
      </w:r>
      <w:r>
        <w:rPr>
          <w:rFonts w:hint="default" w:ascii="仿宋" w:hAnsi="仿宋" w:eastAsia="仿宋" w:cs="仿宋"/>
          <w:sz w:val="30"/>
          <w:szCs w:val="30"/>
          <w:woUserID w:val="1"/>
        </w:rPr>
        <w:t xml:space="preserve">年 </w:t>
      </w:r>
      <w:r>
        <w:rPr>
          <w:rFonts w:hint="eastAsia" w:ascii="仿宋" w:hAnsi="仿宋" w:eastAsia="仿宋" w:cs="仿宋"/>
          <w:sz w:val="30"/>
          <w:szCs w:val="30"/>
          <w:lang w:val="en-US" w:eastAsia="zh-CN"/>
          <w:woUserID w:val="1"/>
        </w:rPr>
        <w:t>5</w:t>
      </w:r>
      <w:r>
        <w:rPr>
          <w:rFonts w:hint="default" w:ascii="仿宋" w:hAnsi="仿宋" w:eastAsia="仿宋" w:cs="仿宋"/>
          <w:sz w:val="30"/>
          <w:szCs w:val="30"/>
          <w:woUserID w:val="1"/>
        </w:rPr>
        <w:t>月</w:t>
      </w:r>
      <w:r>
        <w:rPr>
          <w:rFonts w:hint="eastAsia" w:ascii="仿宋" w:hAnsi="仿宋" w:eastAsia="仿宋" w:cs="仿宋"/>
          <w:sz w:val="30"/>
          <w:szCs w:val="30"/>
          <w:lang w:val="en-US" w:eastAsia="zh-CN"/>
          <w:woUserID w:val="1"/>
        </w:rPr>
        <w:t>8</w:t>
      </w:r>
      <w:r>
        <w:rPr>
          <w:rFonts w:hint="default" w:ascii="仿宋" w:hAnsi="仿宋" w:eastAsia="仿宋" w:cs="仿宋"/>
          <w:sz w:val="30"/>
          <w:szCs w:val="30"/>
          <w:woUserID w:val="1"/>
        </w:rPr>
        <w:t xml:space="preserve"> 日</w:t>
      </w:r>
      <w:r>
        <w:rPr>
          <w:rFonts w:hint="default" w:ascii="仿宋" w:hAnsi="仿宋" w:eastAsia="仿宋" w:cs="仿宋"/>
          <w:sz w:val="30"/>
          <w:szCs w:val="30"/>
          <w:woUserID w:val="2"/>
        </w:rPr>
        <w:t xml:space="preserve">  </w:t>
      </w:r>
    </w:p>
    <w:p w14:paraId="5E79F297">
      <w:pPr>
        <w:pStyle w:val="2"/>
        <w:rPr>
          <w:rFonts w:hint="default" w:ascii="仿宋" w:hAnsi="仿宋" w:eastAsia="仿宋" w:cs="仿宋"/>
          <w:sz w:val="30"/>
          <w:szCs w:val="30"/>
          <w:woUserID w:val="2"/>
        </w:rPr>
      </w:pPr>
    </w:p>
    <w:p w14:paraId="635988AD">
      <w:pPr>
        <w:rPr>
          <w:rFonts w:hint="default" w:ascii="仿宋" w:hAnsi="仿宋" w:eastAsia="仿宋" w:cs="仿宋"/>
          <w:sz w:val="30"/>
          <w:szCs w:val="30"/>
          <w:woUserID w:val="2"/>
        </w:rPr>
      </w:pPr>
    </w:p>
    <w:p w14:paraId="47A9CF22">
      <w:pPr>
        <w:pStyle w:val="2"/>
        <w:rPr>
          <w:rFonts w:hint="default" w:ascii="仿宋" w:hAnsi="仿宋" w:eastAsia="仿宋" w:cs="仿宋"/>
          <w:sz w:val="30"/>
          <w:szCs w:val="30"/>
          <w:woUserID w:val="2"/>
        </w:rPr>
      </w:pPr>
    </w:p>
    <w:p w14:paraId="3D317E7D">
      <w:pPr>
        <w:rPr>
          <w:rFonts w:hint="default" w:ascii="仿宋" w:hAnsi="仿宋" w:eastAsia="仿宋" w:cs="仿宋"/>
          <w:sz w:val="30"/>
          <w:szCs w:val="30"/>
          <w:woUserID w:val="2"/>
        </w:rPr>
      </w:pPr>
    </w:p>
    <w:p w14:paraId="3542163D">
      <w:pPr>
        <w:pStyle w:val="2"/>
        <w:rPr>
          <w:rFonts w:hint="default" w:ascii="仿宋" w:hAnsi="仿宋" w:eastAsia="仿宋" w:cs="仿宋"/>
          <w:sz w:val="30"/>
          <w:szCs w:val="30"/>
          <w:woUserID w:val="2"/>
        </w:rPr>
      </w:pPr>
    </w:p>
    <w:p w14:paraId="0B6A7706">
      <w:pPr>
        <w:rPr>
          <w:rFonts w:hint="default" w:ascii="仿宋" w:hAnsi="仿宋" w:eastAsia="仿宋" w:cs="仿宋"/>
          <w:sz w:val="30"/>
          <w:szCs w:val="30"/>
          <w:woUserID w:val="2"/>
        </w:rPr>
      </w:pPr>
    </w:p>
    <w:p w14:paraId="47D24688">
      <w:pPr>
        <w:pStyle w:val="2"/>
        <w:rPr>
          <w:rFonts w:hint="default" w:ascii="仿宋" w:hAnsi="仿宋" w:eastAsia="仿宋" w:cs="仿宋"/>
          <w:sz w:val="30"/>
          <w:szCs w:val="30"/>
          <w:woUserID w:val="2"/>
        </w:rPr>
      </w:pPr>
    </w:p>
    <w:p w14:paraId="03338653">
      <w:pPr>
        <w:rPr>
          <w:rFonts w:hint="default" w:ascii="仿宋" w:hAnsi="仿宋" w:eastAsia="仿宋" w:cs="仿宋"/>
          <w:sz w:val="30"/>
          <w:szCs w:val="30"/>
          <w:woUserID w:val="2"/>
        </w:rPr>
      </w:pPr>
    </w:p>
    <w:p w14:paraId="69AE79F1">
      <w:pPr>
        <w:pStyle w:val="2"/>
        <w:rPr>
          <w:rFonts w:hint="default" w:ascii="仿宋" w:hAnsi="仿宋" w:eastAsia="仿宋" w:cs="仿宋"/>
          <w:sz w:val="30"/>
          <w:szCs w:val="30"/>
          <w:woUserID w:val="2"/>
        </w:rPr>
      </w:pPr>
    </w:p>
    <w:p w14:paraId="5640B05A">
      <w:pPr>
        <w:rPr>
          <w:rFonts w:hint="default" w:ascii="仿宋" w:hAnsi="仿宋" w:eastAsia="仿宋" w:cs="仿宋"/>
          <w:sz w:val="30"/>
          <w:szCs w:val="30"/>
          <w:woUserID w:val="2"/>
        </w:rPr>
      </w:pPr>
    </w:p>
    <w:p w14:paraId="35E36042">
      <w:pPr>
        <w:pStyle w:val="2"/>
        <w:rPr>
          <w:rFonts w:hint="default" w:ascii="仿宋" w:hAnsi="仿宋" w:eastAsia="仿宋" w:cs="仿宋"/>
          <w:sz w:val="30"/>
          <w:szCs w:val="30"/>
          <w:woUserID w:val="2"/>
        </w:rPr>
      </w:pPr>
    </w:p>
    <w:p w14:paraId="4E3AAD6F">
      <w:pPr>
        <w:rPr>
          <w:rFonts w:hint="eastAsia" w:ascii="仿宋" w:hAnsi="仿宋" w:eastAsia="仿宋" w:cs="仿宋"/>
          <w:sz w:val="30"/>
          <w:szCs w:val="30"/>
          <w:lang w:val="en-US" w:eastAsia="zh-CN"/>
          <w:woUserID w:val="2"/>
        </w:rPr>
      </w:pPr>
    </w:p>
    <w:p w14:paraId="2C9165F4">
      <w:pPr>
        <w:rPr>
          <w:rFonts w:hint="eastAsia" w:ascii="仿宋" w:hAnsi="仿宋" w:eastAsia="仿宋" w:cs="仿宋"/>
          <w:sz w:val="30"/>
          <w:szCs w:val="30"/>
          <w:lang w:val="en-US" w:eastAsia="zh-CN"/>
          <w:woUserID w:val="2"/>
        </w:rPr>
      </w:pPr>
    </w:p>
    <w:p w14:paraId="73425FB7">
      <w:pPr>
        <w:rPr>
          <w:rFonts w:hint="eastAsia" w:ascii="仿宋" w:hAnsi="仿宋" w:eastAsia="仿宋" w:cs="仿宋"/>
          <w:sz w:val="30"/>
          <w:szCs w:val="30"/>
          <w:lang w:val="en-US" w:eastAsia="zh-CN"/>
          <w:woUserID w:val="2"/>
        </w:rPr>
      </w:pPr>
    </w:p>
    <w:p w14:paraId="716E79FD">
      <w:pPr>
        <w:rPr>
          <w:rFonts w:hint="eastAsia" w:ascii="仿宋" w:hAnsi="仿宋" w:eastAsia="仿宋" w:cs="仿宋"/>
          <w:sz w:val="30"/>
          <w:szCs w:val="30"/>
          <w:lang w:val="en-US" w:eastAsia="zh-CN"/>
          <w:woUserID w:val="2"/>
        </w:rPr>
      </w:pPr>
    </w:p>
    <w:p w14:paraId="6D3D7D46">
      <w:pPr>
        <w:rPr>
          <w:rFonts w:hint="eastAsia" w:ascii="仿宋" w:hAnsi="仿宋" w:eastAsia="仿宋" w:cs="仿宋"/>
          <w:sz w:val="30"/>
          <w:szCs w:val="30"/>
          <w:lang w:val="en-US" w:eastAsia="zh-CN"/>
          <w:woUserID w:val="2"/>
        </w:rPr>
      </w:pPr>
    </w:p>
    <w:p w14:paraId="569F2F70">
      <w:pPr>
        <w:rPr>
          <w:rFonts w:hint="eastAsia" w:ascii="仿宋" w:hAnsi="仿宋" w:eastAsia="仿宋" w:cs="仿宋"/>
          <w:sz w:val="30"/>
          <w:szCs w:val="30"/>
          <w:lang w:val="en-US" w:eastAsia="zh-CN"/>
          <w:woUserID w:val="2"/>
        </w:rPr>
      </w:pPr>
    </w:p>
    <w:p w14:paraId="5AD6F4B6">
      <w:pPr>
        <w:rPr>
          <w:rFonts w:hint="eastAsia" w:ascii="仿宋" w:hAnsi="仿宋" w:eastAsia="仿宋" w:cs="仿宋"/>
          <w:sz w:val="30"/>
          <w:szCs w:val="30"/>
          <w:lang w:val="en-US" w:eastAsia="zh-CN"/>
          <w:woUserID w:val="2"/>
        </w:rPr>
      </w:pPr>
    </w:p>
    <w:p w14:paraId="552A435D">
      <w:pPr>
        <w:rPr>
          <w:rFonts w:hint="eastAsia" w:ascii="仿宋" w:hAnsi="仿宋" w:eastAsia="仿宋" w:cs="仿宋"/>
          <w:sz w:val="30"/>
          <w:szCs w:val="30"/>
          <w:lang w:val="en-US" w:eastAsia="zh-CN"/>
          <w:woUserID w:val="2"/>
        </w:rPr>
      </w:pPr>
    </w:p>
    <w:p w14:paraId="6B51FBF4">
      <w:pPr>
        <w:rPr>
          <w:rFonts w:hint="eastAsia" w:ascii="仿宋" w:hAnsi="仿宋" w:eastAsia="仿宋" w:cs="仿宋"/>
          <w:sz w:val="30"/>
          <w:szCs w:val="30"/>
          <w:lang w:val="en-US" w:eastAsia="zh-CN"/>
          <w:woUserID w:val="2"/>
        </w:rPr>
      </w:pPr>
    </w:p>
    <w:p w14:paraId="440C0E71">
      <w:pPr>
        <w:rPr>
          <w:rFonts w:hint="eastAsia" w:ascii="仿宋" w:hAnsi="仿宋" w:eastAsia="仿宋" w:cs="仿宋"/>
          <w:sz w:val="30"/>
          <w:szCs w:val="30"/>
          <w:lang w:val="en-US" w:eastAsia="zh-CN"/>
          <w:woUserID w:val="2"/>
        </w:rPr>
      </w:pPr>
    </w:p>
    <w:p w14:paraId="2B63AAEA">
      <w:pPr>
        <w:rPr>
          <w:rFonts w:hint="eastAsia" w:ascii="仿宋" w:hAnsi="仿宋" w:eastAsia="仿宋" w:cs="仿宋"/>
          <w:sz w:val="30"/>
          <w:szCs w:val="30"/>
          <w:lang w:val="en-US" w:eastAsia="zh-CN"/>
          <w:woUserID w:val="2"/>
        </w:rPr>
      </w:pPr>
    </w:p>
    <w:p w14:paraId="7EA4B1F3">
      <w:pPr>
        <w:rPr>
          <w:rFonts w:hint="eastAsia" w:ascii="仿宋" w:hAnsi="仿宋" w:eastAsia="仿宋" w:cs="仿宋"/>
          <w:sz w:val="30"/>
          <w:szCs w:val="30"/>
          <w:lang w:val="en-US" w:eastAsia="zh-CN"/>
          <w:woUserID w:val="2"/>
        </w:rPr>
      </w:pPr>
    </w:p>
    <w:p w14:paraId="7FC1E97A">
      <w:pPr>
        <w:rPr>
          <w:rFonts w:hint="eastAsia" w:ascii="仿宋" w:hAnsi="仿宋" w:eastAsia="仿宋" w:cs="仿宋"/>
          <w:sz w:val="30"/>
          <w:szCs w:val="30"/>
          <w:lang w:val="en-US" w:eastAsia="zh-CN"/>
          <w:woUserID w:val="2"/>
        </w:rPr>
      </w:pPr>
    </w:p>
    <w:p w14:paraId="73F38BCD">
      <w:pPr>
        <w:rPr>
          <w:rFonts w:hint="eastAsia" w:ascii="仿宋" w:hAnsi="仿宋" w:eastAsia="仿宋" w:cs="仿宋"/>
          <w:sz w:val="30"/>
          <w:szCs w:val="30"/>
          <w:lang w:val="en-US" w:eastAsia="zh-CN"/>
          <w:woUserID w:val="2"/>
        </w:rPr>
      </w:pPr>
    </w:p>
    <w:p w14:paraId="6828C488">
      <w:pPr>
        <w:rPr>
          <w:rFonts w:hint="eastAsia" w:ascii="仿宋" w:hAnsi="仿宋" w:eastAsia="仿宋" w:cs="仿宋"/>
          <w:sz w:val="30"/>
          <w:szCs w:val="30"/>
          <w:lang w:val="en-US" w:eastAsia="zh-CN"/>
          <w:woUserID w:val="2"/>
        </w:rPr>
      </w:pPr>
    </w:p>
    <w:p w14:paraId="3150F0AD">
      <w:pPr>
        <w:rPr>
          <w:rFonts w:hint="default" w:ascii="仿宋" w:hAnsi="仿宋" w:eastAsia="仿宋" w:cs="仿宋"/>
          <w:color w:val="auto"/>
          <w:sz w:val="30"/>
          <w:szCs w:val="30"/>
          <w:woUserID w:val="2"/>
        </w:rPr>
      </w:pPr>
      <w:r>
        <w:rPr>
          <w:rFonts w:hint="eastAsia" w:ascii="仿宋" w:hAnsi="仿宋" w:eastAsia="仿宋" w:cs="仿宋"/>
          <w:color w:val="auto"/>
          <w:sz w:val="30"/>
          <w:szCs w:val="30"/>
          <w:lang w:val="en-US" w:eastAsia="zh-CN"/>
          <w:woUserID w:val="2"/>
        </w:rPr>
        <w:t>附件1：</w:t>
      </w:r>
    </w:p>
    <w:p w14:paraId="59BB2DDD">
      <w:pPr>
        <w:suppressAutoHyphens/>
        <w:jc w:val="center"/>
        <w:rPr>
          <w:rFonts w:hint="eastAsia" w:ascii="仿宋" w:hAnsi="仿宋" w:eastAsia="仿宋" w:cs="仿宋"/>
          <w:b/>
          <w:bCs/>
          <w:color w:val="auto"/>
          <w:sz w:val="44"/>
          <w:szCs w:val="44"/>
          <w:highlight w:val="none"/>
          <w:lang w:eastAsia="zh-CN"/>
        </w:rPr>
      </w:pPr>
      <w:r>
        <w:rPr>
          <w:rFonts w:hint="eastAsia" w:ascii="仿宋" w:hAnsi="仿宋" w:eastAsia="仿宋" w:cs="仿宋"/>
          <w:b/>
          <w:bCs/>
          <w:color w:val="auto"/>
          <w:sz w:val="44"/>
          <w:szCs w:val="44"/>
          <w:highlight w:val="none"/>
          <w:lang w:eastAsia="zh-CN"/>
        </w:rPr>
        <w:t>项目名称：文旅集团职工食堂鲜货类食材配送服务</w:t>
      </w:r>
    </w:p>
    <w:p w14:paraId="0F19E8F8">
      <w:pPr>
        <w:spacing w:line="360" w:lineRule="auto"/>
        <w:jc w:val="center"/>
        <w:rPr>
          <w:rFonts w:hint="eastAsia" w:ascii="仿宋" w:hAnsi="仿宋" w:eastAsia="仿宋" w:cs="仿宋"/>
          <w:color w:val="auto"/>
          <w:sz w:val="22"/>
          <w:szCs w:val="16"/>
        </w:rPr>
      </w:pPr>
    </w:p>
    <w:p w14:paraId="0E0832B6">
      <w:pPr>
        <w:spacing w:line="360" w:lineRule="auto"/>
        <w:jc w:val="center"/>
        <w:rPr>
          <w:rFonts w:hint="eastAsia" w:ascii="仿宋" w:hAnsi="仿宋" w:eastAsia="仿宋" w:cs="仿宋"/>
          <w:color w:val="auto"/>
          <w:sz w:val="22"/>
          <w:szCs w:val="16"/>
        </w:rPr>
      </w:pPr>
    </w:p>
    <w:p w14:paraId="3B1B726E">
      <w:pPr>
        <w:spacing w:line="360" w:lineRule="auto"/>
        <w:jc w:val="center"/>
        <w:outlineLvl w:val="0"/>
        <w:rPr>
          <w:rFonts w:hint="eastAsia" w:ascii="仿宋" w:hAnsi="仿宋" w:eastAsia="仿宋" w:cs="仿宋"/>
          <w:color w:val="auto"/>
          <w:spacing w:val="80"/>
          <w:sz w:val="72"/>
          <w:szCs w:val="72"/>
        </w:rPr>
      </w:pPr>
    </w:p>
    <w:p w14:paraId="6B4DDB93">
      <w:pPr>
        <w:pStyle w:val="2"/>
        <w:rPr>
          <w:rFonts w:hint="eastAsia" w:ascii="仿宋" w:hAnsi="仿宋" w:eastAsia="仿宋" w:cs="仿宋"/>
          <w:color w:val="auto"/>
          <w:spacing w:val="80"/>
          <w:sz w:val="72"/>
          <w:szCs w:val="72"/>
        </w:rPr>
      </w:pPr>
    </w:p>
    <w:p w14:paraId="0F68EA56">
      <w:pPr>
        <w:rPr>
          <w:rFonts w:hint="eastAsia"/>
          <w:color w:val="auto"/>
        </w:rPr>
      </w:pPr>
    </w:p>
    <w:p w14:paraId="6C816E01">
      <w:pPr>
        <w:pStyle w:val="2"/>
        <w:rPr>
          <w:rFonts w:hint="eastAsia" w:ascii="仿宋" w:hAnsi="仿宋" w:eastAsia="仿宋" w:cs="仿宋"/>
          <w:color w:val="auto"/>
        </w:rPr>
      </w:pPr>
    </w:p>
    <w:p w14:paraId="22C7DC95">
      <w:pPr>
        <w:spacing w:line="360" w:lineRule="auto"/>
        <w:jc w:val="center"/>
        <w:outlineLvl w:val="0"/>
        <w:rPr>
          <w:rFonts w:hint="eastAsia" w:ascii="仿宋" w:hAnsi="仿宋" w:eastAsia="仿宋" w:cs="仿宋"/>
          <w:b/>
          <w:bCs/>
          <w:color w:val="auto"/>
          <w:spacing w:val="80"/>
          <w:sz w:val="72"/>
          <w:szCs w:val="72"/>
        </w:rPr>
      </w:pPr>
      <w:r>
        <w:rPr>
          <w:rFonts w:hint="eastAsia" w:ascii="仿宋" w:hAnsi="仿宋" w:eastAsia="仿宋" w:cs="仿宋"/>
          <w:b/>
          <w:bCs/>
          <w:color w:val="auto"/>
          <w:spacing w:val="80"/>
          <w:sz w:val="72"/>
          <w:szCs w:val="72"/>
          <w:lang w:eastAsia="zh-CN"/>
        </w:rPr>
        <w:t>询比采购</w:t>
      </w:r>
      <w:r>
        <w:rPr>
          <w:rFonts w:hint="eastAsia" w:ascii="仿宋" w:hAnsi="仿宋" w:eastAsia="仿宋" w:cs="仿宋"/>
          <w:b/>
          <w:bCs/>
          <w:color w:val="auto"/>
          <w:spacing w:val="80"/>
          <w:sz w:val="72"/>
          <w:szCs w:val="72"/>
        </w:rPr>
        <w:t>文件</w:t>
      </w:r>
    </w:p>
    <w:p w14:paraId="13723F3B">
      <w:pPr>
        <w:spacing w:line="360" w:lineRule="auto"/>
        <w:jc w:val="center"/>
        <w:rPr>
          <w:rFonts w:hint="eastAsia" w:ascii="仿宋" w:hAnsi="仿宋" w:eastAsia="仿宋" w:cs="仿宋"/>
          <w:color w:val="auto"/>
          <w:sz w:val="24"/>
          <w:szCs w:val="16"/>
        </w:rPr>
      </w:pPr>
    </w:p>
    <w:p w14:paraId="270EC543">
      <w:pPr>
        <w:spacing w:line="360" w:lineRule="auto"/>
        <w:rPr>
          <w:rFonts w:hint="eastAsia" w:ascii="仿宋" w:hAnsi="仿宋" w:eastAsia="仿宋" w:cs="仿宋"/>
          <w:color w:val="auto"/>
          <w:sz w:val="24"/>
          <w:szCs w:val="16"/>
        </w:rPr>
      </w:pPr>
    </w:p>
    <w:p w14:paraId="7B6F7DE8">
      <w:pPr>
        <w:spacing w:line="360" w:lineRule="auto"/>
        <w:jc w:val="center"/>
        <w:rPr>
          <w:rFonts w:hint="eastAsia" w:ascii="仿宋" w:hAnsi="仿宋" w:eastAsia="仿宋" w:cs="仿宋"/>
          <w:color w:val="auto"/>
          <w:sz w:val="24"/>
          <w:szCs w:val="16"/>
        </w:rPr>
      </w:pPr>
    </w:p>
    <w:p w14:paraId="4E453021">
      <w:pPr>
        <w:spacing w:line="360" w:lineRule="auto"/>
        <w:jc w:val="center"/>
        <w:rPr>
          <w:rFonts w:hint="eastAsia" w:ascii="仿宋" w:hAnsi="仿宋" w:eastAsia="仿宋" w:cs="仿宋"/>
          <w:color w:val="auto"/>
          <w:sz w:val="24"/>
          <w:szCs w:val="16"/>
        </w:rPr>
      </w:pPr>
    </w:p>
    <w:p w14:paraId="19EBAB57">
      <w:pPr>
        <w:pStyle w:val="2"/>
        <w:spacing w:line="360" w:lineRule="auto"/>
        <w:rPr>
          <w:rFonts w:hint="eastAsia" w:ascii="仿宋" w:hAnsi="仿宋" w:eastAsia="仿宋" w:cs="仿宋"/>
          <w:color w:val="auto"/>
          <w:kern w:val="2"/>
          <w:sz w:val="28"/>
          <w:szCs w:val="24"/>
          <w:lang w:val="en-US" w:eastAsia="zh-CN" w:bidi="ar-SA"/>
        </w:rPr>
      </w:pPr>
      <w:r>
        <w:rPr>
          <w:rFonts w:hint="eastAsia" w:ascii="仿宋" w:hAnsi="仿宋" w:eastAsia="仿宋" w:cs="仿宋"/>
          <w:color w:val="auto"/>
        </w:rPr>
        <w:t xml:space="preserve"> </w:t>
      </w:r>
    </w:p>
    <w:p w14:paraId="55D63E38">
      <w:pPr>
        <w:spacing w:line="360" w:lineRule="auto"/>
        <w:ind w:firstLine="1360" w:firstLineChars="486"/>
        <w:rPr>
          <w:rFonts w:hint="eastAsia" w:ascii="仿宋" w:hAnsi="仿宋" w:eastAsia="仿宋" w:cs="仿宋"/>
          <w:color w:val="auto"/>
          <w:kern w:val="2"/>
          <w:sz w:val="28"/>
          <w:szCs w:val="24"/>
          <w:lang w:val="en-US" w:eastAsia="zh-CN" w:bidi="ar-SA"/>
        </w:rPr>
      </w:pPr>
    </w:p>
    <w:p w14:paraId="7DC46C39">
      <w:pPr>
        <w:spacing w:line="360" w:lineRule="auto"/>
        <w:ind w:firstLine="1020" w:firstLineChars="486"/>
        <w:rPr>
          <w:rFonts w:hint="eastAsia" w:ascii="仿宋" w:hAnsi="仿宋" w:eastAsia="仿宋" w:cs="仿宋"/>
          <w:color w:val="auto"/>
          <w:szCs w:val="24"/>
        </w:rPr>
      </w:pPr>
    </w:p>
    <w:p w14:paraId="080B998E">
      <w:pPr>
        <w:spacing w:line="360" w:lineRule="auto"/>
        <w:jc w:val="center"/>
        <w:rPr>
          <w:rFonts w:hint="eastAsia" w:ascii="仿宋" w:hAnsi="仿宋" w:eastAsia="仿宋" w:cs="仿宋"/>
          <w:b/>
          <w:color w:val="auto"/>
          <w:sz w:val="24"/>
          <w:szCs w:val="24"/>
        </w:rPr>
      </w:pPr>
    </w:p>
    <w:p w14:paraId="67FAFAA5">
      <w:pPr>
        <w:spacing w:line="700" w:lineRule="exact"/>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采 购 人：</w:t>
      </w:r>
      <w:r>
        <w:rPr>
          <w:rFonts w:hint="eastAsia" w:ascii="仿宋" w:hAnsi="仿宋" w:eastAsia="仿宋" w:cs="仿宋"/>
          <w:b/>
          <w:bCs/>
          <w:color w:val="auto"/>
          <w:sz w:val="36"/>
          <w:szCs w:val="36"/>
          <w:highlight w:val="none"/>
          <w:lang w:eastAsia="zh-CN"/>
        </w:rPr>
        <w:t>重庆大足石刻国际文化旅游集团有限公司</w:t>
      </w:r>
    </w:p>
    <w:p w14:paraId="5C2C61BB">
      <w:pPr>
        <w:spacing w:line="700" w:lineRule="exact"/>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采购代理机构：</w:t>
      </w:r>
      <w:r>
        <w:rPr>
          <w:rFonts w:hint="eastAsia" w:ascii="仿宋" w:hAnsi="仿宋" w:eastAsia="仿宋" w:cs="Times New Roman"/>
          <w:b/>
          <w:bCs/>
          <w:color w:val="auto"/>
          <w:sz w:val="36"/>
          <w:szCs w:val="36"/>
          <w:lang w:val="en-US" w:eastAsia="zh-CN"/>
        </w:rPr>
        <w:t>重庆修为工程咨询有限公司</w:t>
      </w:r>
    </w:p>
    <w:p w14:paraId="300A176D">
      <w:pPr>
        <w:spacing w:line="720" w:lineRule="exact"/>
        <w:jc w:val="center"/>
        <w:outlineLvl w:val="0"/>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二〇二</w:t>
      </w:r>
      <w:r>
        <w:rPr>
          <w:rFonts w:hint="eastAsia" w:ascii="仿宋" w:hAnsi="仿宋" w:eastAsia="仿宋" w:cs="仿宋"/>
          <w:b/>
          <w:bCs/>
          <w:color w:val="auto"/>
          <w:sz w:val="36"/>
          <w:szCs w:val="36"/>
          <w:highlight w:val="none"/>
          <w:lang w:eastAsia="zh-CN"/>
        </w:rPr>
        <w:t>六</w:t>
      </w:r>
      <w:r>
        <w:rPr>
          <w:rFonts w:hint="eastAsia" w:ascii="仿宋" w:hAnsi="仿宋" w:eastAsia="仿宋" w:cs="仿宋"/>
          <w:b/>
          <w:bCs/>
          <w:color w:val="auto"/>
          <w:sz w:val="36"/>
          <w:szCs w:val="36"/>
          <w:highlight w:val="none"/>
        </w:rPr>
        <w:t>年</w:t>
      </w:r>
      <w:r>
        <w:rPr>
          <w:rFonts w:hint="eastAsia" w:ascii="仿宋" w:hAnsi="仿宋" w:eastAsia="仿宋" w:cs="仿宋"/>
          <w:b/>
          <w:bCs/>
          <w:color w:val="auto"/>
          <w:sz w:val="36"/>
          <w:szCs w:val="36"/>
          <w:highlight w:val="none"/>
          <w:lang w:val="en-US" w:eastAsia="zh-CN"/>
        </w:rPr>
        <w:t>五</w:t>
      </w:r>
      <w:r>
        <w:rPr>
          <w:rFonts w:hint="eastAsia" w:ascii="仿宋" w:hAnsi="仿宋" w:eastAsia="仿宋" w:cs="仿宋"/>
          <w:b/>
          <w:bCs/>
          <w:color w:val="auto"/>
          <w:sz w:val="36"/>
          <w:szCs w:val="36"/>
          <w:highlight w:val="none"/>
        </w:rPr>
        <w:t>月</w:t>
      </w:r>
    </w:p>
    <w:p w14:paraId="7795D3C3">
      <w:pPr>
        <w:spacing w:line="360" w:lineRule="auto"/>
        <w:jc w:val="center"/>
        <w:outlineLvl w:val="0"/>
        <w:rPr>
          <w:rFonts w:hint="eastAsia" w:ascii="仿宋" w:hAnsi="仿宋" w:eastAsia="仿宋" w:cs="仿宋"/>
          <w:color w:val="auto"/>
          <w:sz w:val="44"/>
          <w:szCs w:val="28"/>
        </w:rPr>
        <w:sectPr>
          <w:headerReference r:id="rId4" w:type="first"/>
          <w:footerReference r:id="rId6" w:type="first"/>
          <w:headerReference r:id="rId3" w:type="default"/>
          <w:footerReference r:id="rId5" w:type="even"/>
          <w:pgSz w:w="11907" w:h="16840"/>
          <w:pgMar w:top="1440" w:right="1080" w:bottom="1440" w:left="1080" w:header="851" w:footer="992" w:gutter="0"/>
          <w:pgNumType w:fmt="numberInDash" w:start="1"/>
          <w:cols w:space="720" w:num="1"/>
          <w:docGrid w:linePitch="380" w:charSpace="-5735"/>
        </w:sectPr>
      </w:pPr>
    </w:p>
    <w:p w14:paraId="0E380797">
      <w:pPr>
        <w:spacing w:line="360" w:lineRule="auto"/>
        <w:jc w:val="center"/>
        <w:outlineLvl w:val="0"/>
        <w:rPr>
          <w:rFonts w:hint="eastAsia" w:ascii="仿宋" w:hAnsi="仿宋" w:eastAsia="仿宋" w:cs="仿宋"/>
          <w:color w:val="auto"/>
          <w:sz w:val="44"/>
          <w:szCs w:val="28"/>
        </w:rPr>
      </w:pPr>
      <w:r>
        <w:rPr>
          <w:rFonts w:hint="eastAsia" w:ascii="仿宋" w:hAnsi="仿宋" w:eastAsia="仿宋" w:cs="仿宋"/>
          <w:color w:val="auto"/>
          <w:sz w:val="44"/>
          <w:szCs w:val="28"/>
        </w:rPr>
        <w:t>目   录</w:t>
      </w:r>
    </w:p>
    <w:p w14:paraId="1309D765">
      <w:pPr>
        <w:pStyle w:val="13"/>
        <w:tabs>
          <w:tab w:val="right" w:leader="dot" w:pos="9412"/>
        </w:tabs>
        <w:rPr>
          <w:color w:val="auto"/>
        </w:rPr>
      </w:pPr>
      <w:r>
        <w:rPr>
          <w:rFonts w:hint="eastAsia" w:ascii="仿宋" w:hAnsi="仿宋" w:eastAsia="仿宋" w:cs="仿宋"/>
          <w:color w:val="auto"/>
          <w:sz w:val="21"/>
          <w:szCs w:val="21"/>
        </w:rPr>
        <w:fldChar w:fldCharType="begin"/>
      </w:r>
      <w:r>
        <w:rPr>
          <w:rFonts w:hint="eastAsia" w:ascii="仿宋" w:hAnsi="仿宋" w:eastAsia="仿宋" w:cs="仿宋"/>
          <w:color w:val="auto"/>
          <w:sz w:val="21"/>
          <w:szCs w:val="21"/>
        </w:rPr>
        <w:instrText xml:space="preserve"> TOC \o "1-3" \h \z </w:instrText>
      </w:r>
      <w:r>
        <w:rPr>
          <w:rFonts w:hint="eastAsia" w:ascii="仿宋" w:hAnsi="仿宋" w:eastAsia="仿宋" w:cs="仿宋"/>
          <w:color w:val="auto"/>
          <w:sz w:val="21"/>
          <w:szCs w:val="21"/>
        </w:rPr>
        <w:fldChar w:fldCharType="separate"/>
      </w: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_Toc17257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第一篇  采购邀请书</w:t>
      </w:r>
      <w:r>
        <w:rPr>
          <w:color w:val="auto"/>
        </w:rPr>
        <w:tab/>
      </w:r>
      <w:r>
        <w:rPr>
          <w:color w:val="auto"/>
        </w:rPr>
        <w:fldChar w:fldCharType="begin"/>
      </w:r>
      <w:r>
        <w:rPr>
          <w:color w:val="auto"/>
        </w:rPr>
        <w:instrText xml:space="preserve"> PAGEREF _Toc17257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6131F6D9">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_Toc14347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w:t>
      </w:r>
      <w:r>
        <w:rPr>
          <w:rFonts w:hint="eastAsia" w:ascii="仿宋" w:hAnsi="仿宋" w:eastAsia="仿宋" w:cs="仿宋"/>
          <w:color w:val="auto"/>
          <w:szCs w:val="24"/>
          <w:lang w:eastAsia="zh-CN"/>
        </w:rPr>
        <w:t>询比</w:t>
      </w:r>
      <w:r>
        <w:rPr>
          <w:rFonts w:hint="eastAsia" w:ascii="仿宋" w:hAnsi="仿宋" w:eastAsia="仿宋" w:cs="仿宋"/>
          <w:color w:val="auto"/>
          <w:szCs w:val="24"/>
        </w:rPr>
        <w:t>内容</w:t>
      </w:r>
      <w:r>
        <w:rPr>
          <w:color w:val="auto"/>
        </w:rPr>
        <w:tab/>
      </w:r>
      <w:r>
        <w:rPr>
          <w:color w:val="auto"/>
        </w:rPr>
        <w:fldChar w:fldCharType="begin"/>
      </w:r>
      <w:r>
        <w:rPr>
          <w:color w:val="auto"/>
        </w:rPr>
        <w:instrText xml:space="preserve"> PAGEREF _Toc14347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1F39126E">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_Toc11990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二、资金来源</w:t>
      </w:r>
      <w:r>
        <w:rPr>
          <w:color w:val="auto"/>
        </w:rPr>
        <w:tab/>
      </w:r>
      <w:r>
        <w:rPr>
          <w:color w:val="auto"/>
        </w:rPr>
        <w:fldChar w:fldCharType="begin"/>
      </w:r>
      <w:r>
        <w:rPr>
          <w:color w:val="auto"/>
        </w:rPr>
        <w:instrText xml:space="preserve"> PAGEREF _Toc11990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2333DA18">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_Toc13443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三、供应商资格条件</w:t>
      </w:r>
      <w:r>
        <w:rPr>
          <w:color w:val="auto"/>
        </w:rPr>
        <w:tab/>
      </w:r>
      <w:r>
        <w:rPr>
          <w:color w:val="auto"/>
        </w:rPr>
        <w:fldChar w:fldCharType="begin"/>
      </w:r>
      <w:r>
        <w:rPr>
          <w:color w:val="auto"/>
        </w:rPr>
        <w:instrText xml:space="preserve"> PAGEREF _Toc13443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6AB62755">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_Toc21748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四、询比有关说明</w:t>
      </w:r>
      <w:r>
        <w:rPr>
          <w:color w:val="auto"/>
        </w:rPr>
        <w:tab/>
      </w:r>
      <w:r>
        <w:rPr>
          <w:color w:val="auto"/>
        </w:rPr>
        <w:fldChar w:fldCharType="begin"/>
      </w:r>
      <w:r>
        <w:rPr>
          <w:color w:val="auto"/>
        </w:rPr>
        <w:instrText xml:space="preserve"> PAGEREF _Toc21748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1DBDA5CA">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_Toc22453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五、询比保证金</w:t>
      </w:r>
      <w:r>
        <w:rPr>
          <w:color w:val="auto"/>
        </w:rPr>
        <w:tab/>
      </w:r>
      <w:r>
        <w:rPr>
          <w:color w:val="auto"/>
        </w:rPr>
        <w:fldChar w:fldCharType="begin"/>
      </w:r>
      <w:r>
        <w:rPr>
          <w:color w:val="auto"/>
        </w:rPr>
        <w:instrText xml:space="preserve"> PAGEREF _Toc22453 \h </w:instrText>
      </w:r>
      <w:r>
        <w:rPr>
          <w:color w:val="auto"/>
        </w:rPr>
        <w:fldChar w:fldCharType="separate"/>
      </w:r>
      <w:r>
        <w:rPr>
          <w:color w:val="auto"/>
        </w:rPr>
        <w:t>- 4 -</w:t>
      </w:r>
      <w:r>
        <w:rPr>
          <w:color w:val="auto"/>
        </w:rPr>
        <w:fldChar w:fldCharType="end"/>
      </w:r>
      <w:r>
        <w:rPr>
          <w:rFonts w:hint="eastAsia" w:ascii="仿宋" w:hAnsi="仿宋" w:eastAsia="仿宋" w:cs="仿宋"/>
          <w:color w:val="auto"/>
          <w:szCs w:val="21"/>
        </w:rPr>
        <w:fldChar w:fldCharType="end"/>
      </w:r>
    </w:p>
    <w:p w14:paraId="6C1AE87B">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_Toc20833 </w:instrText>
      </w:r>
      <w:r>
        <w:rPr>
          <w:rFonts w:hint="eastAsia" w:ascii="仿宋" w:hAnsi="仿宋" w:eastAsia="仿宋" w:cs="仿宋"/>
          <w:color w:val="auto"/>
          <w:szCs w:val="21"/>
        </w:rPr>
        <w:fldChar w:fldCharType="separate"/>
      </w:r>
      <w:r>
        <w:rPr>
          <w:rFonts w:hint="eastAsia" w:ascii="仿宋" w:hAnsi="仿宋" w:eastAsia="仿宋" w:cs="仿宋"/>
          <w:color w:val="auto"/>
          <w:kern w:val="2"/>
          <w:szCs w:val="24"/>
          <w:lang w:val="en-US" w:eastAsia="zh-CN" w:bidi="ar-SA"/>
        </w:rPr>
        <w:t>六、投标有关规定</w:t>
      </w:r>
      <w:r>
        <w:rPr>
          <w:color w:val="auto"/>
        </w:rPr>
        <w:tab/>
      </w:r>
      <w:r>
        <w:rPr>
          <w:color w:val="auto"/>
        </w:rPr>
        <w:fldChar w:fldCharType="begin"/>
      </w:r>
      <w:r>
        <w:rPr>
          <w:color w:val="auto"/>
        </w:rPr>
        <w:instrText xml:space="preserve"> PAGEREF _Toc20833 \h </w:instrText>
      </w:r>
      <w:r>
        <w:rPr>
          <w:color w:val="auto"/>
        </w:rPr>
        <w:fldChar w:fldCharType="separate"/>
      </w:r>
      <w:r>
        <w:rPr>
          <w:color w:val="auto"/>
        </w:rPr>
        <w:t>- 4 -</w:t>
      </w:r>
      <w:r>
        <w:rPr>
          <w:color w:val="auto"/>
        </w:rPr>
        <w:fldChar w:fldCharType="end"/>
      </w:r>
      <w:r>
        <w:rPr>
          <w:rFonts w:hint="eastAsia" w:ascii="仿宋" w:hAnsi="仿宋" w:eastAsia="仿宋" w:cs="仿宋"/>
          <w:color w:val="auto"/>
          <w:szCs w:val="21"/>
        </w:rPr>
        <w:fldChar w:fldCharType="end"/>
      </w:r>
    </w:p>
    <w:p w14:paraId="02A7030F">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_Toc5123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eastAsia="zh-CN"/>
        </w:rPr>
        <w:t>七</w:t>
      </w:r>
      <w:r>
        <w:rPr>
          <w:rFonts w:hint="eastAsia" w:ascii="仿宋" w:hAnsi="仿宋" w:eastAsia="仿宋" w:cs="仿宋"/>
          <w:color w:val="auto"/>
          <w:szCs w:val="24"/>
        </w:rPr>
        <w:t>、联系方式</w:t>
      </w:r>
      <w:r>
        <w:rPr>
          <w:color w:val="auto"/>
        </w:rPr>
        <w:tab/>
      </w:r>
      <w:r>
        <w:rPr>
          <w:color w:val="auto"/>
        </w:rPr>
        <w:fldChar w:fldCharType="begin"/>
      </w:r>
      <w:r>
        <w:rPr>
          <w:color w:val="auto"/>
        </w:rPr>
        <w:instrText xml:space="preserve"> PAGEREF _Toc5123 \h </w:instrText>
      </w:r>
      <w:r>
        <w:rPr>
          <w:color w:val="auto"/>
        </w:rPr>
        <w:fldChar w:fldCharType="separate"/>
      </w:r>
      <w:r>
        <w:rPr>
          <w:color w:val="auto"/>
        </w:rPr>
        <w:t>- 5 -</w:t>
      </w:r>
      <w:r>
        <w:rPr>
          <w:color w:val="auto"/>
        </w:rPr>
        <w:fldChar w:fldCharType="end"/>
      </w:r>
      <w:r>
        <w:rPr>
          <w:rFonts w:hint="eastAsia" w:ascii="仿宋" w:hAnsi="仿宋" w:eastAsia="仿宋" w:cs="仿宋"/>
          <w:color w:val="auto"/>
          <w:szCs w:val="21"/>
        </w:rPr>
        <w:fldChar w:fldCharType="end"/>
      </w:r>
    </w:p>
    <w:p w14:paraId="1C29707E">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_Toc23776 </w:instrText>
      </w:r>
      <w:r>
        <w:rPr>
          <w:rFonts w:hint="eastAsia" w:ascii="仿宋" w:hAnsi="仿宋" w:eastAsia="仿宋" w:cs="仿宋"/>
          <w:color w:val="auto"/>
          <w:szCs w:val="21"/>
        </w:rPr>
        <w:fldChar w:fldCharType="separate"/>
      </w:r>
      <w:r>
        <w:rPr>
          <w:rFonts w:hint="eastAsia" w:ascii="仿宋" w:hAnsi="仿宋" w:eastAsia="仿宋" w:cs="仿宋"/>
          <w:color w:val="auto"/>
          <w:szCs w:val="30"/>
          <w:lang w:val="en-US" w:eastAsia="zh-CN"/>
        </w:rPr>
        <w:t>第二篇  项目服务需求</w:t>
      </w:r>
      <w:r>
        <w:rPr>
          <w:color w:val="auto"/>
        </w:rPr>
        <w:tab/>
      </w:r>
      <w:r>
        <w:rPr>
          <w:color w:val="auto"/>
        </w:rPr>
        <w:fldChar w:fldCharType="begin"/>
      </w:r>
      <w:r>
        <w:rPr>
          <w:color w:val="auto"/>
        </w:rPr>
        <w:instrText xml:space="preserve"> PAGEREF _Toc23776 \h </w:instrText>
      </w:r>
      <w:r>
        <w:rPr>
          <w:color w:val="auto"/>
        </w:rPr>
        <w:fldChar w:fldCharType="separate"/>
      </w:r>
      <w:r>
        <w:rPr>
          <w:color w:val="auto"/>
        </w:rPr>
        <w:t>- 6 -</w:t>
      </w:r>
      <w:r>
        <w:rPr>
          <w:color w:val="auto"/>
        </w:rPr>
        <w:fldChar w:fldCharType="end"/>
      </w:r>
      <w:r>
        <w:rPr>
          <w:rFonts w:hint="eastAsia" w:ascii="仿宋" w:hAnsi="仿宋" w:eastAsia="仿宋" w:cs="仿宋"/>
          <w:color w:val="auto"/>
          <w:szCs w:val="21"/>
        </w:rPr>
        <w:fldChar w:fldCharType="end"/>
      </w:r>
    </w:p>
    <w:p w14:paraId="21AFD000">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_Toc12525 </w:instrText>
      </w:r>
      <w:r>
        <w:rPr>
          <w:rFonts w:hint="eastAsia" w:ascii="仿宋" w:hAnsi="仿宋" w:eastAsia="仿宋" w:cs="仿宋"/>
          <w:color w:val="auto"/>
          <w:szCs w:val="21"/>
        </w:rPr>
        <w:fldChar w:fldCharType="separate"/>
      </w:r>
      <w:r>
        <w:rPr>
          <w:rFonts w:hint="eastAsia" w:ascii="仿宋" w:hAnsi="仿宋" w:eastAsia="仿宋" w:cs="仿宋"/>
          <w:color w:val="auto"/>
        </w:rPr>
        <w:t>一、采购内容</w:t>
      </w:r>
      <w:r>
        <w:rPr>
          <w:color w:val="auto"/>
        </w:rPr>
        <w:tab/>
      </w:r>
      <w:r>
        <w:rPr>
          <w:color w:val="auto"/>
        </w:rPr>
        <w:fldChar w:fldCharType="begin"/>
      </w:r>
      <w:r>
        <w:rPr>
          <w:color w:val="auto"/>
        </w:rPr>
        <w:instrText xml:space="preserve"> PAGEREF _Toc12525 \h </w:instrText>
      </w:r>
      <w:r>
        <w:rPr>
          <w:color w:val="auto"/>
        </w:rPr>
        <w:fldChar w:fldCharType="separate"/>
      </w:r>
      <w:r>
        <w:rPr>
          <w:color w:val="auto"/>
        </w:rPr>
        <w:t>- 6 -</w:t>
      </w:r>
      <w:r>
        <w:rPr>
          <w:color w:val="auto"/>
        </w:rPr>
        <w:fldChar w:fldCharType="end"/>
      </w:r>
      <w:r>
        <w:rPr>
          <w:rFonts w:hint="eastAsia" w:ascii="仿宋" w:hAnsi="仿宋" w:eastAsia="仿宋" w:cs="仿宋"/>
          <w:color w:val="auto"/>
          <w:szCs w:val="21"/>
        </w:rPr>
        <w:fldChar w:fldCharType="end"/>
      </w:r>
    </w:p>
    <w:p w14:paraId="5719DE11">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_Toc15216 </w:instrText>
      </w:r>
      <w:r>
        <w:rPr>
          <w:rFonts w:hint="eastAsia" w:ascii="仿宋" w:hAnsi="仿宋" w:eastAsia="仿宋" w:cs="仿宋"/>
          <w:color w:val="auto"/>
          <w:szCs w:val="21"/>
        </w:rPr>
        <w:fldChar w:fldCharType="separate"/>
      </w:r>
      <w:r>
        <w:rPr>
          <w:rFonts w:hint="eastAsia" w:ascii="仿宋" w:hAnsi="仿宋" w:eastAsia="仿宋" w:cs="仿宋"/>
          <w:color w:val="auto"/>
          <w:lang w:eastAsia="zh-CN"/>
        </w:rPr>
        <w:t>二、</w:t>
      </w:r>
      <w:r>
        <w:rPr>
          <w:rFonts w:hint="eastAsia" w:ascii="仿宋" w:hAnsi="仿宋" w:eastAsia="仿宋" w:cs="仿宋"/>
          <w:color w:val="auto"/>
        </w:rPr>
        <w:t>服务</w:t>
      </w:r>
      <w:r>
        <w:rPr>
          <w:rFonts w:hint="eastAsia" w:ascii="仿宋" w:hAnsi="仿宋" w:eastAsia="仿宋" w:cs="仿宋"/>
          <w:color w:val="auto"/>
          <w:lang w:eastAsia="zh-CN"/>
        </w:rPr>
        <w:t>要求</w:t>
      </w:r>
      <w:r>
        <w:rPr>
          <w:color w:val="auto"/>
        </w:rPr>
        <w:tab/>
      </w:r>
      <w:r>
        <w:rPr>
          <w:color w:val="auto"/>
        </w:rPr>
        <w:fldChar w:fldCharType="begin"/>
      </w:r>
      <w:r>
        <w:rPr>
          <w:color w:val="auto"/>
        </w:rPr>
        <w:instrText xml:space="preserve"> PAGEREF _Toc15216 \h </w:instrText>
      </w:r>
      <w:r>
        <w:rPr>
          <w:color w:val="auto"/>
        </w:rPr>
        <w:fldChar w:fldCharType="separate"/>
      </w:r>
      <w:r>
        <w:rPr>
          <w:color w:val="auto"/>
        </w:rPr>
        <w:t>- 6 -</w:t>
      </w:r>
      <w:r>
        <w:rPr>
          <w:color w:val="auto"/>
        </w:rPr>
        <w:fldChar w:fldCharType="end"/>
      </w:r>
      <w:r>
        <w:rPr>
          <w:rFonts w:hint="eastAsia" w:ascii="仿宋" w:hAnsi="仿宋" w:eastAsia="仿宋" w:cs="仿宋"/>
          <w:color w:val="auto"/>
          <w:szCs w:val="21"/>
        </w:rPr>
        <w:fldChar w:fldCharType="end"/>
      </w:r>
    </w:p>
    <w:p w14:paraId="493C0C2E">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_Toc17354 </w:instrText>
      </w:r>
      <w:r>
        <w:rPr>
          <w:rFonts w:hint="eastAsia" w:ascii="仿宋" w:hAnsi="仿宋" w:eastAsia="仿宋" w:cs="仿宋"/>
          <w:color w:val="auto"/>
          <w:szCs w:val="21"/>
        </w:rPr>
        <w:fldChar w:fldCharType="separate"/>
      </w:r>
      <w:r>
        <w:rPr>
          <w:rFonts w:hint="eastAsia" w:ascii="仿宋" w:hAnsi="仿宋" w:eastAsia="仿宋" w:cs="仿宋"/>
          <w:color w:val="auto"/>
          <w:lang w:eastAsia="zh-CN"/>
        </w:rPr>
        <w:t>三、其他要求</w:t>
      </w:r>
      <w:r>
        <w:rPr>
          <w:color w:val="auto"/>
        </w:rPr>
        <w:tab/>
      </w:r>
      <w:r>
        <w:rPr>
          <w:color w:val="auto"/>
        </w:rPr>
        <w:fldChar w:fldCharType="begin"/>
      </w:r>
      <w:r>
        <w:rPr>
          <w:color w:val="auto"/>
        </w:rPr>
        <w:instrText xml:space="preserve"> PAGEREF _Toc17354 \h </w:instrText>
      </w:r>
      <w:r>
        <w:rPr>
          <w:color w:val="auto"/>
        </w:rPr>
        <w:fldChar w:fldCharType="separate"/>
      </w:r>
      <w:r>
        <w:rPr>
          <w:color w:val="auto"/>
        </w:rPr>
        <w:t>- 7 -</w:t>
      </w:r>
      <w:r>
        <w:rPr>
          <w:color w:val="auto"/>
        </w:rPr>
        <w:fldChar w:fldCharType="end"/>
      </w:r>
      <w:r>
        <w:rPr>
          <w:rFonts w:hint="eastAsia" w:ascii="仿宋" w:hAnsi="仿宋" w:eastAsia="仿宋" w:cs="仿宋"/>
          <w:color w:val="auto"/>
          <w:szCs w:val="21"/>
        </w:rPr>
        <w:fldChar w:fldCharType="end"/>
      </w:r>
    </w:p>
    <w:p w14:paraId="229F06AD">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_Toc7388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第三篇  项目商务需求</w:t>
      </w:r>
      <w:r>
        <w:rPr>
          <w:color w:val="auto"/>
        </w:rPr>
        <w:tab/>
      </w:r>
      <w:r>
        <w:rPr>
          <w:color w:val="auto"/>
        </w:rPr>
        <w:fldChar w:fldCharType="begin"/>
      </w:r>
      <w:r>
        <w:rPr>
          <w:color w:val="auto"/>
        </w:rPr>
        <w:instrText xml:space="preserve"> PAGEREF _Toc7388 \h </w:instrText>
      </w:r>
      <w:r>
        <w:rPr>
          <w:color w:val="auto"/>
        </w:rPr>
        <w:fldChar w:fldCharType="separate"/>
      </w:r>
      <w:r>
        <w:rPr>
          <w:color w:val="auto"/>
        </w:rPr>
        <w:t>- 9 -</w:t>
      </w:r>
      <w:r>
        <w:rPr>
          <w:color w:val="auto"/>
        </w:rPr>
        <w:fldChar w:fldCharType="end"/>
      </w:r>
      <w:r>
        <w:rPr>
          <w:rFonts w:hint="eastAsia" w:ascii="仿宋" w:hAnsi="仿宋" w:eastAsia="仿宋" w:cs="仿宋"/>
          <w:color w:val="auto"/>
          <w:szCs w:val="21"/>
        </w:rPr>
        <w:fldChar w:fldCharType="end"/>
      </w:r>
    </w:p>
    <w:p w14:paraId="3852905B">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_Toc30580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一、服务期、地点及验收方式</w:t>
      </w:r>
      <w:r>
        <w:rPr>
          <w:color w:val="auto"/>
        </w:rPr>
        <w:tab/>
      </w:r>
      <w:r>
        <w:rPr>
          <w:color w:val="auto"/>
        </w:rPr>
        <w:fldChar w:fldCharType="begin"/>
      </w:r>
      <w:r>
        <w:rPr>
          <w:color w:val="auto"/>
        </w:rPr>
        <w:instrText xml:space="preserve"> PAGEREF _Toc30580 \h </w:instrText>
      </w:r>
      <w:r>
        <w:rPr>
          <w:color w:val="auto"/>
        </w:rPr>
        <w:fldChar w:fldCharType="separate"/>
      </w:r>
      <w:r>
        <w:rPr>
          <w:color w:val="auto"/>
        </w:rPr>
        <w:t>- 9 -</w:t>
      </w:r>
      <w:r>
        <w:rPr>
          <w:color w:val="auto"/>
        </w:rPr>
        <w:fldChar w:fldCharType="end"/>
      </w:r>
      <w:r>
        <w:rPr>
          <w:rFonts w:hint="eastAsia" w:ascii="仿宋" w:hAnsi="仿宋" w:eastAsia="仿宋" w:cs="仿宋"/>
          <w:color w:val="auto"/>
          <w:szCs w:val="21"/>
        </w:rPr>
        <w:fldChar w:fldCharType="end"/>
      </w:r>
    </w:p>
    <w:p w14:paraId="384646B3">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_Toc16824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二、报价要求</w:t>
      </w:r>
      <w:r>
        <w:rPr>
          <w:color w:val="auto"/>
        </w:rPr>
        <w:tab/>
      </w:r>
      <w:r>
        <w:rPr>
          <w:color w:val="auto"/>
        </w:rPr>
        <w:fldChar w:fldCharType="begin"/>
      </w:r>
      <w:r>
        <w:rPr>
          <w:color w:val="auto"/>
        </w:rPr>
        <w:instrText xml:space="preserve"> PAGEREF _Toc16824 \h </w:instrText>
      </w:r>
      <w:r>
        <w:rPr>
          <w:color w:val="auto"/>
        </w:rPr>
        <w:fldChar w:fldCharType="separate"/>
      </w:r>
      <w:r>
        <w:rPr>
          <w:color w:val="auto"/>
        </w:rPr>
        <w:t>- 9 -</w:t>
      </w:r>
      <w:r>
        <w:rPr>
          <w:color w:val="auto"/>
        </w:rPr>
        <w:fldChar w:fldCharType="end"/>
      </w:r>
      <w:r>
        <w:rPr>
          <w:rFonts w:hint="eastAsia" w:ascii="仿宋" w:hAnsi="仿宋" w:eastAsia="仿宋" w:cs="仿宋"/>
          <w:color w:val="auto"/>
          <w:szCs w:val="21"/>
        </w:rPr>
        <w:fldChar w:fldCharType="end"/>
      </w:r>
    </w:p>
    <w:p w14:paraId="0D334EEE">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_Toc29304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三、质量保证及售后服务</w:t>
      </w:r>
      <w:r>
        <w:rPr>
          <w:color w:val="auto"/>
        </w:rPr>
        <w:tab/>
      </w:r>
      <w:r>
        <w:rPr>
          <w:color w:val="auto"/>
        </w:rPr>
        <w:fldChar w:fldCharType="begin"/>
      </w:r>
      <w:r>
        <w:rPr>
          <w:color w:val="auto"/>
        </w:rPr>
        <w:instrText xml:space="preserve"> PAGEREF _Toc29304 \h </w:instrText>
      </w:r>
      <w:r>
        <w:rPr>
          <w:color w:val="auto"/>
        </w:rPr>
        <w:fldChar w:fldCharType="separate"/>
      </w:r>
      <w:r>
        <w:rPr>
          <w:color w:val="auto"/>
        </w:rPr>
        <w:t>- 9 -</w:t>
      </w:r>
      <w:r>
        <w:rPr>
          <w:color w:val="auto"/>
        </w:rPr>
        <w:fldChar w:fldCharType="end"/>
      </w:r>
      <w:r>
        <w:rPr>
          <w:rFonts w:hint="eastAsia" w:ascii="仿宋" w:hAnsi="仿宋" w:eastAsia="仿宋" w:cs="仿宋"/>
          <w:color w:val="auto"/>
          <w:szCs w:val="21"/>
        </w:rPr>
        <w:fldChar w:fldCharType="end"/>
      </w:r>
    </w:p>
    <w:p w14:paraId="278AEA6D">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_Toc6272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 xml:space="preserve">四、 </w:t>
      </w:r>
      <w:r>
        <w:rPr>
          <w:rFonts w:hint="eastAsia" w:ascii="仿宋" w:hAnsi="仿宋" w:eastAsia="仿宋" w:cs="仿宋"/>
          <w:color w:val="auto"/>
          <w:szCs w:val="24"/>
          <w:highlight w:val="none"/>
          <w:lang w:val="en-US" w:eastAsia="zh-CN"/>
        </w:rPr>
        <w:t>考核要求</w:t>
      </w:r>
      <w:r>
        <w:rPr>
          <w:color w:val="auto"/>
        </w:rPr>
        <w:tab/>
      </w:r>
      <w:r>
        <w:rPr>
          <w:color w:val="auto"/>
        </w:rPr>
        <w:fldChar w:fldCharType="begin"/>
      </w:r>
      <w:r>
        <w:rPr>
          <w:color w:val="auto"/>
        </w:rPr>
        <w:instrText xml:space="preserve"> PAGEREF _Toc6272 \h </w:instrText>
      </w:r>
      <w:r>
        <w:rPr>
          <w:color w:val="auto"/>
        </w:rPr>
        <w:fldChar w:fldCharType="separate"/>
      </w:r>
      <w:r>
        <w:rPr>
          <w:color w:val="auto"/>
        </w:rPr>
        <w:t>- 10 -</w:t>
      </w:r>
      <w:r>
        <w:rPr>
          <w:color w:val="auto"/>
        </w:rPr>
        <w:fldChar w:fldCharType="end"/>
      </w:r>
      <w:r>
        <w:rPr>
          <w:rFonts w:hint="eastAsia" w:ascii="仿宋" w:hAnsi="仿宋" w:eastAsia="仿宋" w:cs="仿宋"/>
          <w:color w:val="auto"/>
          <w:szCs w:val="21"/>
        </w:rPr>
        <w:fldChar w:fldCharType="end"/>
      </w:r>
    </w:p>
    <w:p w14:paraId="74858721">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_Toc2238 </w:instrText>
      </w:r>
      <w:r>
        <w:rPr>
          <w:rFonts w:hint="eastAsia" w:ascii="仿宋" w:hAnsi="仿宋" w:eastAsia="仿宋" w:cs="仿宋"/>
          <w:color w:val="auto"/>
          <w:szCs w:val="21"/>
        </w:rPr>
        <w:fldChar w:fldCharType="separate"/>
      </w:r>
      <w:r>
        <w:rPr>
          <w:rFonts w:hint="eastAsia" w:ascii="仿宋" w:hAnsi="仿宋" w:eastAsia="仿宋" w:cs="仿宋"/>
          <w:color w:val="auto"/>
          <w:szCs w:val="24"/>
          <w:highlight w:val="none"/>
          <w:lang w:val="en-US" w:eastAsia="zh-CN"/>
        </w:rPr>
        <w:t>五</w:t>
      </w:r>
      <w:r>
        <w:rPr>
          <w:rFonts w:hint="eastAsia" w:ascii="仿宋" w:hAnsi="仿宋" w:eastAsia="仿宋" w:cs="仿宋"/>
          <w:color w:val="auto"/>
          <w:szCs w:val="24"/>
          <w:highlight w:val="none"/>
        </w:rPr>
        <w:t>、履约保证金</w:t>
      </w:r>
      <w:r>
        <w:rPr>
          <w:color w:val="auto"/>
        </w:rPr>
        <w:tab/>
      </w:r>
      <w:r>
        <w:rPr>
          <w:color w:val="auto"/>
        </w:rPr>
        <w:fldChar w:fldCharType="begin"/>
      </w:r>
      <w:r>
        <w:rPr>
          <w:color w:val="auto"/>
        </w:rPr>
        <w:instrText xml:space="preserve"> PAGEREF _Toc2238 \h </w:instrText>
      </w:r>
      <w:r>
        <w:rPr>
          <w:color w:val="auto"/>
        </w:rPr>
        <w:fldChar w:fldCharType="separate"/>
      </w:r>
      <w:r>
        <w:rPr>
          <w:color w:val="auto"/>
        </w:rPr>
        <w:t>- 12 -</w:t>
      </w:r>
      <w:r>
        <w:rPr>
          <w:color w:val="auto"/>
        </w:rPr>
        <w:fldChar w:fldCharType="end"/>
      </w:r>
      <w:r>
        <w:rPr>
          <w:rFonts w:hint="eastAsia" w:ascii="仿宋" w:hAnsi="仿宋" w:eastAsia="仿宋" w:cs="仿宋"/>
          <w:color w:val="auto"/>
          <w:szCs w:val="21"/>
        </w:rPr>
        <w:fldChar w:fldCharType="end"/>
      </w:r>
    </w:p>
    <w:p w14:paraId="6E135949">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_Toc12148 </w:instrText>
      </w:r>
      <w:r>
        <w:rPr>
          <w:rFonts w:hint="eastAsia" w:ascii="仿宋" w:hAnsi="仿宋" w:eastAsia="仿宋" w:cs="仿宋"/>
          <w:color w:val="auto"/>
          <w:szCs w:val="21"/>
        </w:rPr>
        <w:fldChar w:fldCharType="separate"/>
      </w:r>
      <w:r>
        <w:rPr>
          <w:rFonts w:hint="eastAsia" w:ascii="仿宋" w:hAnsi="仿宋" w:eastAsia="仿宋" w:cs="仿宋"/>
          <w:color w:val="auto"/>
          <w:szCs w:val="24"/>
          <w:highlight w:val="none"/>
          <w:lang w:eastAsia="zh-CN"/>
        </w:rPr>
        <w:t>六</w:t>
      </w:r>
      <w:r>
        <w:rPr>
          <w:rFonts w:hint="eastAsia" w:ascii="仿宋" w:hAnsi="仿宋" w:eastAsia="仿宋" w:cs="仿宋"/>
          <w:color w:val="auto"/>
          <w:szCs w:val="24"/>
          <w:highlight w:val="none"/>
        </w:rPr>
        <w:t>、食材询定价与结算</w:t>
      </w:r>
      <w:r>
        <w:rPr>
          <w:color w:val="auto"/>
        </w:rPr>
        <w:tab/>
      </w:r>
      <w:r>
        <w:rPr>
          <w:color w:val="auto"/>
        </w:rPr>
        <w:fldChar w:fldCharType="begin"/>
      </w:r>
      <w:r>
        <w:rPr>
          <w:color w:val="auto"/>
        </w:rPr>
        <w:instrText xml:space="preserve"> PAGEREF _Toc12148 \h </w:instrText>
      </w:r>
      <w:r>
        <w:rPr>
          <w:color w:val="auto"/>
        </w:rPr>
        <w:fldChar w:fldCharType="separate"/>
      </w:r>
      <w:r>
        <w:rPr>
          <w:color w:val="auto"/>
        </w:rPr>
        <w:t>- 12 -</w:t>
      </w:r>
      <w:r>
        <w:rPr>
          <w:color w:val="auto"/>
        </w:rPr>
        <w:fldChar w:fldCharType="end"/>
      </w:r>
      <w:r>
        <w:rPr>
          <w:rFonts w:hint="eastAsia" w:ascii="仿宋" w:hAnsi="仿宋" w:eastAsia="仿宋" w:cs="仿宋"/>
          <w:color w:val="auto"/>
          <w:szCs w:val="21"/>
        </w:rPr>
        <w:fldChar w:fldCharType="end"/>
      </w:r>
    </w:p>
    <w:p w14:paraId="4A7E2034">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_Toc14766 </w:instrText>
      </w:r>
      <w:r>
        <w:rPr>
          <w:rFonts w:hint="eastAsia" w:ascii="仿宋" w:hAnsi="仿宋" w:eastAsia="仿宋" w:cs="仿宋"/>
          <w:color w:val="auto"/>
          <w:szCs w:val="21"/>
        </w:rPr>
        <w:fldChar w:fldCharType="separate"/>
      </w:r>
      <w:r>
        <w:rPr>
          <w:rFonts w:hint="eastAsia" w:ascii="仿宋" w:hAnsi="仿宋" w:eastAsia="仿宋" w:cs="仿宋"/>
          <w:color w:val="auto"/>
          <w:szCs w:val="24"/>
          <w:highlight w:val="none"/>
          <w:lang w:eastAsia="zh-CN"/>
        </w:rPr>
        <w:t>七</w:t>
      </w:r>
      <w:r>
        <w:rPr>
          <w:rFonts w:hint="eastAsia" w:ascii="仿宋" w:hAnsi="仿宋" w:eastAsia="仿宋" w:cs="仿宋"/>
          <w:color w:val="auto"/>
          <w:szCs w:val="24"/>
          <w:highlight w:val="none"/>
        </w:rPr>
        <w:t>、付款方式</w:t>
      </w:r>
      <w:r>
        <w:rPr>
          <w:color w:val="auto"/>
        </w:rPr>
        <w:tab/>
      </w:r>
      <w:r>
        <w:rPr>
          <w:color w:val="auto"/>
        </w:rPr>
        <w:fldChar w:fldCharType="begin"/>
      </w:r>
      <w:r>
        <w:rPr>
          <w:color w:val="auto"/>
        </w:rPr>
        <w:instrText xml:space="preserve"> PAGEREF _Toc14766 \h </w:instrText>
      </w:r>
      <w:r>
        <w:rPr>
          <w:color w:val="auto"/>
        </w:rPr>
        <w:fldChar w:fldCharType="separate"/>
      </w:r>
      <w:r>
        <w:rPr>
          <w:color w:val="auto"/>
        </w:rPr>
        <w:t>- 13 -</w:t>
      </w:r>
      <w:r>
        <w:rPr>
          <w:color w:val="auto"/>
        </w:rPr>
        <w:fldChar w:fldCharType="end"/>
      </w:r>
      <w:r>
        <w:rPr>
          <w:rFonts w:hint="eastAsia" w:ascii="仿宋" w:hAnsi="仿宋" w:eastAsia="仿宋" w:cs="仿宋"/>
          <w:color w:val="auto"/>
          <w:szCs w:val="21"/>
        </w:rPr>
        <w:fldChar w:fldCharType="end"/>
      </w:r>
    </w:p>
    <w:p w14:paraId="2A70ACCD">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_Toc12766 </w:instrText>
      </w:r>
      <w:r>
        <w:rPr>
          <w:rFonts w:hint="eastAsia" w:ascii="仿宋" w:hAnsi="仿宋" w:eastAsia="仿宋" w:cs="仿宋"/>
          <w:color w:val="auto"/>
          <w:szCs w:val="21"/>
        </w:rPr>
        <w:fldChar w:fldCharType="separate"/>
      </w:r>
      <w:r>
        <w:rPr>
          <w:rFonts w:hint="eastAsia" w:ascii="仿宋" w:hAnsi="仿宋" w:eastAsia="仿宋" w:cs="仿宋"/>
          <w:color w:val="auto"/>
          <w:szCs w:val="24"/>
          <w:highlight w:val="none"/>
          <w:lang w:val="en-US" w:eastAsia="zh-CN"/>
        </w:rPr>
        <w:t>八</w:t>
      </w:r>
      <w:r>
        <w:rPr>
          <w:rFonts w:hint="eastAsia" w:ascii="仿宋" w:hAnsi="仿宋" w:eastAsia="仿宋" w:cs="仿宋"/>
          <w:color w:val="auto"/>
          <w:szCs w:val="24"/>
          <w:highlight w:val="none"/>
        </w:rPr>
        <w:t>、其他</w:t>
      </w:r>
      <w:r>
        <w:rPr>
          <w:color w:val="auto"/>
        </w:rPr>
        <w:tab/>
      </w:r>
      <w:r>
        <w:rPr>
          <w:color w:val="auto"/>
        </w:rPr>
        <w:fldChar w:fldCharType="begin"/>
      </w:r>
      <w:r>
        <w:rPr>
          <w:color w:val="auto"/>
        </w:rPr>
        <w:instrText xml:space="preserve"> PAGEREF _Toc12766 \h </w:instrText>
      </w:r>
      <w:r>
        <w:rPr>
          <w:color w:val="auto"/>
        </w:rPr>
        <w:fldChar w:fldCharType="separate"/>
      </w:r>
      <w:r>
        <w:rPr>
          <w:color w:val="auto"/>
        </w:rPr>
        <w:t>- 14 -</w:t>
      </w:r>
      <w:r>
        <w:rPr>
          <w:color w:val="auto"/>
        </w:rPr>
        <w:fldChar w:fldCharType="end"/>
      </w:r>
      <w:r>
        <w:rPr>
          <w:rFonts w:hint="eastAsia" w:ascii="仿宋" w:hAnsi="仿宋" w:eastAsia="仿宋" w:cs="仿宋"/>
          <w:color w:val="auto"/>
          <w:szCs w:val="21"/>
        </w:rPr>
        <w:fldChar w:fldCharType="end"/>
      </w:r>
    </w:p>
    <w:p w14:paraId="42ADE4CB">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_Toc3815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 xml:space="preserve">第四篇  </w:t>
      </w:r>
      <w:r>
        <w:rPr>
          <w:rFonts w:hint="eastAsia" w:ascii="仿宋" w:hAnsi="仿宋" w:eastAsia="仿宋" w:cs="仿宋"/>
          <w:color w:val="auto"/>
          <w:szCs w:val="30"/>
          <w:lang w:eastAsia="zh-CN"/>
        </w:rPr>
        <w:t>评审</w:t>
      </w:r>
      <w:r>
        <w:rPr>
          <w:rFonts w:hint="eastAsia" w:ascii="仿宋" w:hAnsi="仿宋" w:eastAsia="仿宋" w:cs="仿宋"/>
          <w:color w:val="auto"/>
          <w:szCs w:val="30"/>
        </w:rPr>
        <w:t>程序及方法、评审标准、无效响应和</w:t>
      </w:r>
      <w:r>
        <w:rPr>
          <w:rFonts w:hint="eastAsia" w:ascii="仿宋" w:hAnsi="仿宋" w:eastAsia="仿宋" w:cs="仿宋"/>
          <w:color w:val="auto"/>
          <w:szCs w:val="36"/>
        </w:rPr>
        <w:t>采购终止</w:t>
      </w:r>
      <w:r>
        <w:rPr>
          <w:color w:val="auto"/>
        </w:rPr>
        <w:tab/>
      </w:r>
      <w:r>
        <w:rPr>
          <w:color w:val="auto"/>
        </w:rPr>
        <w:fldChar w:fldCharType="begin"/>
      </w:r>
      <w:r>
        <w:rPr>
          <w:color w:val="auto"/>
        </w:rPr>
        <w:instrText xml:space="preserve"> PAGEREF _Toc3815 \h </w:instrText>
      </w:r>
      <w:r>
        <w:rPr>
          <w:color w:val="auto"/>
        </w:rPr>
        <w:fldChar w:fldCharType="separate"/>
      </w:r>
      <w:r>
        <w:rPr>
          <w:color w:val="auto"/>
        </w:rPr>
        <w:t>- 15 -</w:t>
      </w:r>
      <w:r>
        <w:rPr>
          <w:color w:val="auto"/>
        </w:rPr>
        <w:fldChar w:fldCharType="end"/>
      </w:r>
      <w:r>
        <w:rPr>
          <w:rFonts w:hint="eastAsia" w:ascii="仿宋" w:hAnsi="仿宋" w:eastAsia="仿宋" w:cs="仿宋"/>
          <w:color w:val="auto"/>
          <w:szCs w:val="21"/>
        </w:rPr>
        <w:fldChar w:fldCharType="end"/>
      </w:r>
    </w:p>
    <w:p w14:paraId="077CA93E">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_Toc18542 </w:instrText>
      </w:r>
      <w:r>
        <w:rPr>
          <w:rFonts w:hint="eastAsia" w:ascii="仿宋" w:hAnsi="仿宋" w:eastAsia="仿宋" w:cs="仿宋"/>
          <w:color w:val="auto"/>
          <w:szCs w:val="21"/>
        </w:rPr>
        <w:fldChar w:fldCharType="separate"/>
      </w:r>
      <w:r>
        <w:rPr>
          <w:rFonts w:hint="eastAsia" w:ascii="仿宋" w:hAnsi="仿宋" w:eastAsia="仿宋" w:cs="仿宋"/>
          <w:color w:val="auto"/>
        </w:rPr>
        <w:t>一、</w:t>
      </w:r>
      <w:r>
        <w:rPr>
          <w:rFonts w:hint="eastAsia" w:ascii="仿宋" w:hAnsi="仿宋" w:eastAsia="仿宋" w:cs="仿宋"/>
          <w:color w:val="auto"/>
          <w:lang w:eastAsia="zh-CN"/>
        </w:rPr>
        <w:t>评审</w:t>
      </w:r>
      <w:r>
        <w:rPr>
          <w:rFonts w:hint="eastAsia" w:ascii="仿宋" w:hAnsi="仿宋" w:eastAsia="仿宋" w:cs="仿宋"/>
          <w:color w:val="auto"/>
        </w:rPr>
        <w:t>程序及方法</w:t>
      </w:r>
      <w:r>
        <w:rPr>
          <w:color w:val="auto"/>
        </w:rPr>
        <w:tab/>
      </w:r>
      <w:r>
        <w:rPr>
          <w:color w:val="auto"/>
        </w:rPr>
        <w:fldChar w:fldCharType="begin"/>
      </w:r>
      <w:r>
        <w:rPr>
          <w:color w:val="auto"/>
        </w:rPr>
        <w:instrText xml:space="preserve"> PAGEREF _Toc18542 \h </w:instrText>
      </w:r>
      <w:r>
        <w:rPr>
          <w:color w:val="auto"/>
        </w:rPr>
        <w:fldChar w:fldCharType="separate"/>
      </w:r>
      <w:r>
        <w:rPr>
          <w:color w:val="auto"/>
        </w:rPr>
        <w:t>- 15 -</w:t>
      </w:r>
      <w:r>
        <w:rPr>
          <w:color w:val="auto"/>
        </w:rPr>
        <w:fldChar w:fldCharType="end"/>
      </w:r>
      <w:r>
        <w:rPr>
          <w:rFonts w:hint="eastAsia" w:ascii="仿宋" w:hAnsi="仿宋" w:eastAsia="仿宋" w:cs="仿宋"/>
          <w:color w:val="auto"/>
          <w:szCs w:val="21"/>
        </w:rPr>
        <w:fldChar w:fldCharType="end"/>
      </w:r>
    </w:p>
    <w:p w14:paraId="72326B74">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_Toc1441 </w:instrText>
      </w:r>
      <w:r>
        <w:rPr>
          <w:rFonts w:hint="eastAsia" w:ascii="仿宋" w:hAnsi="仿宋" w:eastAsia="仿宋" w:cs="仿宋"/>
          <w:color w:val="auto"/>
          <w:szCs w:val="21"/>
        </w:rPr>
        <w:fldChar w:fldCharType="separate"/>
      </w:r>
      <w:r>
        <w:rPr>
          <w:rFonts w:hint="eastAsia" w:ascii="仿宋" w:hAnsi="仿宋" w:eastAsia="仿宋" w:cs="仿宋"/>
          <w:color w:val="auto"/>
        </w:rPr>
        <w:t>二、评审标准</w:t>
      </w:r>
      <w:r>
        <w:rPr>
          <w:color w:val="auto"/>
        </w:rPr>
        <w:tab/>
      </w:r>
      <w:r>
        <w:rPr>
          <w:color w:val="auto"/>
        </w:rPr>
        <w:fldChar w:fldCharType="begin"/>
      </w:r>
      <w:r>
        <w:rPr>
          <w:color w:val="auto"/>
        </w:rPr>
        <w:instrText xml:space="preserve"> PAGEREF _Toc1441 \h </w:instrText>
      </w:r>
      <w:r>
        <w:rPr>
          <w:color w:val="auto"/>
        </w:rPr>
        <w:fldChar w:fldCharType="separate"/>
      </w:r>
      <w:r>
        <w:rPr>
          <w:color w:val="auto"/>
        </w:rPr>
        <w:t>- 17 -</w:t>
      </w:r>
      <w:r>
        <w:rPr>
          <w:color w:val="auto"/>
        </w:rPr>
        <w:fldChar w:fldCharType="end"/>
      </w:r>
      <w:r>
        <w:rPr>
          <w:rFonts w:hint="eastAsia" w:ascii="仿宋" w:hAnsi="仿宋" w:eastAsia="仿宋" w:cs="仿宋"/>
          <w:color w:val="auto"/>
          <w:szCs w:val="21"/>
        </w:rPr>
        <w:fldChar w:fldCharType="end"/>
      </w:r>
    </w:p>
    <w:p w14:paraId="5698BCB7">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_Toc15780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三、无效响应</w:t>
      </w:r>
      <w:r>
        <w:rPr>
          <w:color w:val="auto"/>
        </w:rPr>
        <w:tab/>
      </w:r>
      <w:r>
        <w:rPr>
          <w:color w:val="auto"/>
        </w:rPr>
        <w:fldChar w:fldCharType="begin"/>
      </w:r>
      <w:r>
        <w:rPr>
          <w:color w:val="auto"/>
        </w:rPr>
        <w:instrText xml:space="preserve"> PAGEREF _Toc15780 \h </w:instrText>
      </w:r>
      <w:r>
        <w:rPr>
          <w:color w:val="auto"/>
        </w:rPr>
        <w:fldChar w:fldCharType="separate"/>
      </w:r>
      <w:r>
        <w:rPr>
          <w:color w:val="auto"/>
        </w:rPr>
        <w:t>- 17 -</w:t>
      </w:r>
      <w:r>
        <w:rPr>
          <w:color w:val="auto"/>
        </w:rPr>
        <w:fldChar w:fldCharType="end"/>
      </w:r>
      <w:r>
        <w:rPr>
          <w:rFonts w:hint="eastAsia" w:ascii="仿宋" w:hAnsi="仿宋" w:eastAsia="仿宋" w:cs="仿宋"/>
          <w:color w:val="auto"/>
          <w:szCs w:val="21"/>
        </w:rPr>
        <w:fldChar w:fldCharType="end"/>
      </w:r>
    </w:p>
    <w:p w14:paraId="4F2D4ED4">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_Toc32758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四、采购终止</w:t>
      </w:r>
      <w:r>
        <w:rPr>
          <w:color w:val="auto"/>
        </w:rPr>
        <w:tab/>
      </w:r>
      <w:r>
        <w:rPr>
          <w:color w:val="auto"/>
        </w:rPr>
        <w:fldChar w:fldCharType="begin"/>
      </w:r>
      <w:r>
        <w:rPr>
          <w:color w:val="auto"/>
        </w:rPr>
        <w:instrText xml:space="preserve"> PAGEREF _Toc32758 \h </w:instrText>
      </w:r>
      <w:r>
        <w:rPr>
          <w:color w:val="auto"/>
        </w:rPr>
        <w:fldChar w:fldCharType="separate"/>
      </w:r>
      <w:r>
        <w:rPr>
          <w:color w:val="auto"/>
        </w:rPr>
        <w:t>- 18 -</w:t>
      </w:r>
      <w:r>
        <w:rPr>
          <w:color w:val="auto"/>
        </w:rPr>
        <w:fldChar w:fldCharType="end"/>
      </w:r>
      <w:r>
        <w:rPr>
          <w:rFonts w:hint="eastAsia" w:ascii="仿宋" w:hAnsi="仿宋" w:eastAsia="仿宋" w:cs="仿宋"/>
          <w:color w:val="auto"/>
          <w:szCs w:val="21"/>
        </w:rPr>
        <w:fldChar w:fldCharType="end"/>
      </w:r>
    </w:p>
    <w:p w14:paraId="315399F3">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_Toc3680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第五篇  供应商须知</w:t>
      </w:r>
      <w:r>
        <w:rPr>
          <w:color w:val="auto"/>
        </w:rPr>
        <w:tab/>
      </w:r>
      <w:r>
        <w:rPr>
          <w:color w:val="auto"/>
        </w:rPr>
        <w:fldChar w:fldCharType="begin"/>
      </w:r>
      <w:r>
        <w:rPr>
          <w:color w:val="auto"/>
        </w:rPr>
        <w:instrText xml:space="preserve"> PAGEREF _Toc3680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09BC5BE9">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_Toc26030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w:t>
      </w:r>
      <w:r>
        <w:rPr>
          <w:rFonts w:hint="eastAsia" w:ascii="仿宋" w:hAnsi="仿宋" w:eastAsia="仿宋" w:cs="仿宋"/>
          <w:color w:val="auto"/>
          <w:szCs w:val="24"/>
          <w:lang w:eastAsia="zh-CN"/>
        </w:rPr>
        <w:t>询比</w:t>
      </w:r>
      <w:r>
        <w:rPr>
          <w:rFonts w:hint="eastAsia" w:ascii="仿宋" w:hAnsi="仿宋" w:eastAsia="仿宋" w:cs="仿宋"/>
          <w:color w:val="auto"/>
          <w:szCs w:val="24"/>
        </w:rPr>
        <w:t>费用</w:t>
      </w:r>
      <w:r>
        <w:rPr>
          <w:color w:val="auto"/>
        </w:rPr>
        <w:tab/>
      </w:r>
      <w:r>
        <w:rPr>
          <w:color w:val="auto"/>
        </w:rPr>
        <w:fldChar w:fldCharType="begin"/>
      </w:r>
      <w:r>
        <w:rPr>
          <w:color w:val="auto"/>
        </w:rPr>
        <w:instrText xml:space="preserve"> PAGEREF _Toc26030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3B8552CB">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_Toc4109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w:t>
      </w:r>
      <w:r>
        <w:rPr>
          <w:rFonts w:hint="eastAsia" w:ascii="仿宋" w:hAnsi="仿宋" w:eastAsia="仿宋" w:cs="仿宋"/>
          <w:color w:val="auto"/>
          <w:szCs w:val="24"/>
          <w:lang w:eastAsia="zh-CN"/>
        </w:rPr>
        <w:t>询比文件</w:t>
      </w:r>
      <w:r>
        <w:rPr>
          <w:color w:val="auto"/>
        </w:rPr>
        <w:tab/>
      </w:r>
      <w:r>
        <w:rPr>
          <w:color w:val="auto"/>
        </w:rPr>
        <w:fldChar w:fldCharType="begin"/>
      </w:r>
      <w:r>
        <w:rPr>
          <w:color w:val="auto"/>
        </w:rPr>
        <w:instrText xml:space="preserve"> PAGEREF _Toc4109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303CBA0B">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_Toc6217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w:t>
      </w:r>
      <w:r>
        <w:rPr>
          <w:rFonts w:hint="eastAsia" w:ascii="仿宋" w:hAnsi="仿宋" w:eastAsia="仿宋" w:cs="仿宋"/>
          <w:color w:val="auto"/>
          <w:szCs w:val="24"/>
          <w:lang w:eastAsia="zh-CN"/>
        </w:rPr>
        <w:t>询比</w:t>
      </w:r>
      <w:r>
        <w:rPr>
          <w:rFonts w:hint="eastAsia" w:ascii="仿宋" w:hAnsi="仿宋" w:eastAsia="仿宋" w:cs="仿宋"/>
          <w:color w:val="auto"/>
          <w:szCs w:val="24"/>
        </w:rPr>
        <w:t>要求</w:t>
      </w:r>
      <w:r>
        <w:rPr>
          <w:color w:val="auto"/>
        </w:rPr>
        <w:tab/>
      </w:r>
      <w:r>
        <w:rPr>
          <w:color w:val="auto"/>
        </w:rPr>
        <w:fldChar w:fldCharType="begin"/>
      </w:r>
      <w:r>
        <w:rPr>
          <w:color w:val="auto"/>
        </w:rPr>
        <w:instrText xml:space="preserve"> PAGEREF _Toc6217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2507D8A6">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_Toc24831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四、成交供应商的确认和变更</w:t>
      </w:r>
      <w:r>
        <w:rPr>
          <w:color w:val="auto"/>
        </w:rPr>
        <w:tab/>
      </w:r>
      <w:r>
        <w:rPr>
          <w:color w:val="auto"/>
        </w:rPr>
        <w:fldChar w:fldCharType="begin"/>
      </w:r>
      <w:r>
        <w:rPr>
          <w:color w:val="auto"/>
        </w:rPr>
        <w:instrText xml:space="preserve"> PAGEREF _Toc24831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5B09DD0E">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_Toc15436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五、成交通知</w:t>
      </w:r>
      <w:r>
        <w:rPr>
          <w:color w:val="auto"/>
        </w:rPr>
        <w:tab/>
      </w:r>
      <w:r>
        <w:rPr>
          <w:color w:val="auto"/>
        </w:rPr>
        <w:fldChar w:fldCharType="begin"/>
      </w:r>
      <w:r>
        <w:rPr>
          <w:color w:val="auto"/>
        </w:rPr>
        <w:instrText xml:space="preserve"> PAGEREF _Toc15436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6188FAC1">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_Toc15621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六</w:t>
      </w:r>
      <w:r>
        <w:rPr>
          <w:rFonts w:hint="eastAsia" w:ascii="仿宋" w:hAnsi="仿宋" w:eastAsia="仿宋" w:cs="仿宋"/>
          <w:color w:val="auto"/>
          <w:szCs w:val="24"/>
        </w:rPr>
        <w:t>、采购代理服务费</w:t>
      </w:r>
      <w:r>
        <w:rPr>
          <w:color w:val="auto"/>
        </w:rPr>
        <w:tab/>
      </w:r>
      <w:r>
        <w:rPr>
          <w:color w:val="auto"/>
        </w:rPr>
        <w:fldChar w:fldCharType="begin"/>
      </w:r>
      <w:r>
        <w:rPr>
          <w:color w:val="auto"/>
        </w:rPr>
        <w:instrText xml:space="preserve"> PAGEREF _Toc15621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04A944FC">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_Toc24376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七</w:t>
      </w:r>
      <w:r>
        <w:rPr>
          <w:rFonts w:hint="eastAsia" w:ascii="仿宋" w:hAnsi="仿宋" w:eastAsia="仿宋" w:cs="仿宋"/>
          <w:color w:val="auto"/>
          <w:szCs w:val="24"/>
        </w:rPr>
        <w:t>、签订合同</w:t>
      </w:r>
      <w:r>
        <w:rPr>
          <w:color w:val="auto"/>
        </w:rPr>
        <w:tab/>
      </w:r>
      <w:r>
        <w:rPr>
          <w:color w:val="auto"/>
        </w:rPr>
        <w:fldChar w:fldCharType="begin"/>
      </w:r>
      <w:r>
        <w:rPr>
          <w:color w:val="auto"/>
        </w:rPr>
        <w:instrText xml:space="preserve"> PAGEREF _Toc24376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42ECC451">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_Toc11072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 xml:space="preserve">第六篇  </w:t>
      </w:r>
      <w:r>
        <w:rPr>
          <w:rFonts w:hint="eastAsia" w:ascii="仿宋" w:hAnsi="仿宋" w:eastAsia="仿宋" w:cs="仿宋"/>
          <w:color w:val="auto"/>
          <w:szCs w:val="30"/>
          <w:lang w:eastAsia="zh-CN"/>
        </w:rPr>
        <w:t>采购合同</w:t>
      </w:r>
      <w:r>
        <w:rPr>
          <w:color w:val="auto"/>
        </w:rPr>
        <w:tab/>
      </w:r>
      <w:r>
        <w:rPr>
          <w:color w:val="auto"/>
        </w:rPr>
        <w:fldChar w:fldCharType="begin"/>
      </w:r>
      <w:r>
        <w:rPr>
          <w:color w:val="auto"/>
        </w:rPr>
        <w:instrText xml:space="preserve"> PAGEREF _Toc11072 \h </w:instrText>
      </w:r>
      <w:r>
        <w:rPr>
          <w:color w:val="auto"/>
        </w:rPr>
        <w:fldChar w:fldCharType="separate"/>
      </w:r>
      <w:r>
        <w:rPr>
          <w:color w:val="auto"/>
        </w:rPr>
        <w:t>- 22 -</w:t>
      </w:r>
      <w:r>
        <w:rPr>
          <w:color w:val="auto"/>
        </w:rPr>
        <w:fldChar w:fldCharType="end"/>
      </w:r>
      <w:r>
        <w:rPr>
          <w:rFonts w:hint="eastAsia" w:ascii="仿宋" w:hAnsi="仿宋" w:eastAsia="仿宋" w:cs="仿宋"/>
          <w:color w:val="auto"/>
          <w:szCs w:val="21"/>
        </w:rPr>
        <w:fldChar w:fldCharType="end"/>
      </w:r>
    </w:p>
    <w:p w14:paraId="2D77153C">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_Toc9102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第七篇  响应文件编制要求</w:t>
      </w:r>
      <w:r>
        <w:rPr>
          <w:color w:val="auto"/>
        </w:rPr>
        <w:tab/>
      </w:r>
      <w:r>
        <w:rPr>
          <w:color w:val="auto"/>
        </w:rPr>
        <w:fldChar w:fldCharType="begin"/>
      </w:r>
      <w:r>
        <w:rPr>
          <w:color w:val="auto"/>
        </w:rPr>
        <w:instrText xml:space="preserve"> PAGEREF _Toc9102 \h </w:instrText>
      </w:r>
      <w:r>
        <w:rPr>
          <w:color w:val="auto"/>
        </w:rPr>
        <w:fldChar w:fldCharType="separate"/>
      </w:r>
      <w:r>
        <w:rPr>
          <w:color w:val="auto"/>
        </w:rPr>
        <w:t>- 22 -</w:t>
      </w:r>
      <w:r>
        <w:rPr>
          <w:color w:val="auto"/>
        </w:rPr>
        <w:fldChar w:fldCharType="end"/>
      </w:r>
      <w:r>
        <w:rPr>
          <w:rFonts w:hint="eastAsia" w:ascii="仿宋" w:hAnsi="仿宋" w:eastAsia="仿宋" w:cs="仿宋"/>
          <w:color w:val="auto"/>
          <w:szCs w:val="21"/>
        </w:rPr>
        <w:fldChar w:fldCharType="end"/>
      </w:r>
    </w:p>
    <w:p w14:paraId="245D28A6">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_Toc2985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一、经济部分</w:t>
      </w:r>
      <w:r>
        <w:rPr>
          <w:color w:val="auto"/>
        </w:rPr>
        <w:tab/>
      </w:r>
      <w:r>
        <w:rPr>
          <w:color w:val="auto"/>
        </w:rPr>
        <w:fldChar w:fldCharType="begin"/>
      </w:r>
      <w:r>
        <w:rPr>
          <w:color w:val="auto"/>
        </w:rPr>
        <w:instrText xml:space="preserve"> PAGEREF _Toc2985 \h </w:instrText>
      </w:r>
      <w:r>
        <w:rPr>
          <w:color w:val="auto"/>
        </w:rPr>
        <w:fldChar w:fldCharType="separate"/>
      </w:r>
      <w:r>
        <w:rPr>
          <w:color w:val="auto"/>
        </w:rPr>
        <w:t>- 24 -</w:t>
      </w:r>
      <w:r>
        <w:rPr>
          <w:color w:val="auto"/>
        </w:rPr>
        <w:fldChar w:fldCharType="end"/>
      </w:r>
      <w:r>
        <w:rPr>
          <w:rFonts w:hint="eastAsia" w:ascii="仿宋" w:hAnsi="仿宋" w:eastAsia="仿宋" w:cs="仿宋"/>
          <w:color w:val="auto"/>
          <w:szCs w:val="21"/>
        </w:rPr>
        <w:fldChar w:fldCharType="end"/>
      </w:r>
    </w:p>
    <w:p w14:paraId="4FA9A111">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_Toc28090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二、服务部分</w:t>
      </w:r>
      <w:r>
        <w:rPr>
          <w:color w:val="auto"/>
        </w:rPr>
        <w:tab/>
      </w:r>
      <w:r>
        <w:rPr>
          <w:color w:val="auto"/>
        </w:rPr>
        <w:fldChar w:fldCharType="begin"/>
      </w:r>
      <w:r>
        <w:rPr>
          <w:color w:val="auto"/>
        </w:rPr>
        <w:instrText xml:space="preserve"> PAGEREF _Toc28090 \h </w:instrText>
      </w:r>
      <w:r>
        <w:rPr>
          <w:color w:val="auto"/>
        </w:rPr>
        <w:fldChar w:fldCharType="separate"/>
      </w:r>
      <w:r>
        <w:rPr>
          <w:color w:val="auto"/>
        </w:rPr>
        <w:t>- 25 -</w:t>
      </w:r>
      <w:r>
        <w:rPr>
          <w:color w:val="auto"/>
        </w:rPr>
        <w:fldChar w:fldCharType="end"/>
      </w:r>
      <w:r>
        <w:rPr>
          <w:rFonts w:hint="eastAsia" w:ascii="仿宋" w:hAnsi="仿宋" w:eastAsia="仿宋" w:cs="仿宋"/>
          <w:color w:val="auto"/>
          <w:szCs w:val="21"/>
        </w:rPr>
        <w:fldChar w:fldCharType="end"/>
      </w:r>
    </w:p>
    <w:p w14:paraId="3F43DC44">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_Toc4112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三、商务部分</w:t>
      </w:r>
      <w:r>
        <w:rPr>
          <w:color w:val="auto"/>
        </w:rPr>
        <w:tab/>
      </w:r>
      <w:r>
        <w:rPr>
          <w:color w:val="auto"/>
        </w:rPr>
        <w:fldChar w:fldCharType="begin"/>
      </w:r>
      <w:r>
        <w:rPr>
          <w:color w:val="auto"/>
        </w:rPr>
        <w:instrText xml:space="preserve"> PAGEREF _Toc4112 \h </w:instrText>
      </w:r>
      <w:r>
        <w:rPr>
          <w:color w:val="auto"/>
        </w:rPr>
        <w:fldChar w:fldCharType="separate"/>
      </w:r>
      <w:r>
        <w:rPr>
          <w:color w:val="auto"/>
        </w:rPr>
        <w:t>- 27 -</w:t>
      </w:r>
      <w:r>
        <w:rPr>
          <w:color w:val="auto"/>
        </w:rPr>
        <w:fldChar w:fldCharType="end"/>
      </w:r>
      <w:r>
        <w:rPr>
          <w:rFonts w:hint="eastAsia" w:ascii="仿宋" w:hAnsi="仿宋" w:eastAsia="仿宋" w:cs="仿宋"/>
          <w:color w:val="auto"/>
          <w:szCs w:val="21"/>
        </w:rPr>
        <w:fldChar w:fldCharType="end"/>
      </w:r>
    </w:p>
    <w:p w14:paraId="7E551C21">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_Toc18530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四、资格条件及其他</w:t>
      </w:r>
      <w:r>
        <w:rPr>
          <w:color w:val="auto"/>
        </w:rPr>
        <w:tab/>
      </w:r>
      <w:r>
        <w:rPr>
          <w:color w:val="auto"/>
        </w:rPr>
        <w:fldChar w:fldCharType="begin"/>
      </w:r>
      <w:r>
        <w:rPr>
          <w:color w:val="auto"/>
        </w:rPr>
        <w:instrText xml:space="preserve"> PAGEREF _Toc18530 \h </w:instrText>
      </w:r>
      <w:r>
        <w:rPr>
          <w:color w:val="auto"/>
        </w:rPr>
        <w:fldChar w:fldCharType="separate"/>
      </w:r>
      <w:r>
        <w:rPr>
          <w:color w:val="auto"/>
        </w:rPr>
        <w:t>- 29 -</w:t>
      </w:r>
      <w:r>
        <w:rPr>
          <w:color w:val="auto"/>
        </w:rPr>
        <w:fldChar w:fldCharType="end"/>
      </w:r>
      <w:r>
        <w:rPr>
          <w:rFonts w:hint="eastAsia" w:ascii="仿宋" w:hAnsi="仿宋" w:eastAsia="仿宋" w:cs="仿宋"/>
          <w:color w:val="auto"/>
          <w:szCs w:val="21"/>
        </w:rPr>
        <w:fldChar w:fldCharType="end"/>
      </w:r>
    </w:p>
    <w:p w14:paraId="0974A55B">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_Toc5793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五、其他资料</w:t>
      </w:r>
      <w:r>
        <w:rPr>
          <w:color w:val="auto"/>
        </w:rPr>
        <w:tab/>
      </w:r>
      <w:r>
        <w:rPr>
          <w:color w:val="auto"/>
        </w:rPr>
        <w:fldChar w:fldCharType="begin"/>
      </w:r>
      <w:r>
        <w:rPr>
          <w:color w:val="auto"/>
        </w:rPr>
        <w:instrText xml:space="preserve"> PAGEREF _Toc5793 \h </w:instrText>
      </w:r>
      <w:r>
        <w:rPr>
          <w:color w:val="auto"/>
        </w:rPr>
        <w:fldChar w:fldCharType="separate"/>
      </w:r>
      <w:r>
        <w:rPr>
          <w:color w:val="auto"/>
        </w:rPr>
        <w:t>- 34 -</w:t>
      </w:r>
      <w:r>
        <w:rPr>
          <w:color w:val="auto"/>
        </w:rPr>
        <w:fldChar w:fldCharType="end"/>
      </w:r>
      <w:r>
        <w:rPr>
          <w:rFonts w:hint="eastAsia" w:ascii="仿宋" w:hAnsi="仿宋" w:eastAsia="仿宋" w:cs="仿宋"/>
          <w:color w:val="auto"/>
          <w:szCs w:val="21"/>
        </w:rPr>
        <w:fldChar w:fldCharType="end"/>
      </w:r>
    </w:p>
    <w:p w14:paraId="307B136D">
      <w:pPr>
        <w:pStyle w:val="13"/>
        <w:tabs>
          <w:tab w:val="right" w:leader="dot" w:pos="9402"/>
        </w:tabs>
        <w:spacing w:line="360" w:lineRule="auto"/>
        <w:ind w:left="560"/>
        <w:jc w:val="center"/>
        <w:rPr>
          <w:rFonts w:hint="eastAsia" w:ascii="仿宋" w:hAnsi="仿宋" w:eastAsia="仿宋" w:cs="仿宋"/>
          <w:color w:val="auto"/>
          <w:sz w:val="18"/>
          <w:szCs w:val="22"/>
        </w:rPr>
        <w:sectPr>
          <w:footerReference r:id="rId7" w:type="default"/>
          <w:pgSz w:w="11907" w:h="16840"/>
          <w:pgMar w:top="1134" w:right="1191" w:bottom="1134" w:left="1304" w:header="851" w:footer="992" w:gutter="0"/>
          <w:pgNumType w:fmt="numberInDash" w:start="1"/>
          <w:cols w:space="720" w:num="1"/>
          <w:docGrid w:linePitch="380" w:charSpace="-5735"/>
        </w:sectPr>
      </w:pPr>
      <w:r>
        <w:rPr>
          <w:rFonts w:hint="eastAsia" w:ascii="仿宋" w:hAnsi="仿宋" w:eastAsia="仿宋" w:cs="仿宋"/>
          <w:color w:val="auto"/>
          <w:szCs w:val="21"/>
        </w:rPr>
        <w:fldChar w:fldCharType="end"/>
      </w:r>
    </w:p>
    <w:p w14:paraId="0E7017B8">
      <w:pPr>
        <w:pStyle w:val="4"/>
        <w:spacing w:line="360" w:lineRule="auto"/>
        <w:jc w:val="center"/>
        <w:rPr>
          <w:rFonts w:hint="eastAsia" w:ascii="仿宋" w:hAnsi="仿宋" w:eastAsia="仿宋" w:cs="仿宋"/>
          <w:b w:val="0"/>
          <w:color w:val="auto"/>
          <w:szCs w:val="30"/>
        </w:rPr>
      </w:pPr>
      <w:bookmarkStart w:id="1" w:name="_Toc11641050"/>
      <w:bookmarkStart w:id="2" w:name="_Toc12789052"/>
      <w:bookmarkStart w:id="3" w:name="_Toc17257"/>
      <w:r>
        <w:rPr>
          <w:rFonts w:hint="eastAsia" w:ascii="仿宋" w:hAnsi="仿宋" w:eastAsia="仿宋" w:cs="仿宋"/>
          <w:b w:val="0"/>
          <w:color w:val="auto"/>
          <w:sz w:val="36"/>
          <w:szCs w:val="30"/>
        </w:rPr>
        <w:t>第一篇  采购邀请书</w:t>
      </w:r>
      <w:bookmarkEnd w:id="1"/>
      <w:bookmarkEnd w:id="2"/>
      <w:bookmarkEnd w:id="3"/>
    </w:p>
    <w:p w14:paraId="3239E20B">
      <w:pPr>
        <w:spacing w:line="360" w:lineRule="auto"/>
        <w:ind w:firstLine="48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重庆修为工程咨询有限公司</w:t>
      </w:r>
      <w:r>
        <w:rPr>
          <w:rFonts w:hint="eastAsia" w:ascii="仿宋" w:hAnsi="仿宋" w:eastAsia="仿宋" w:cs="仿宋"/>
          <w:color w:val="auto"/>
          <w:sz w:val="24"/>
          <w:szCs w:val="24"/>
        </w:rPr>
        <w:t>（以下简称：采购代理机构）接受</w:t>
      </w:r>
      <w:r>
        <w:rPr>
          <w:rFonts w:hint="eastAsia" w:ascii="仿宋" w:hAnsi="仿宋" w:eastAsia="仿宋" w:cs="仿宋"/>
          <w:color w:val="auto"/>
          <w:sz w:val="24"/>
          <w:szCs w:val="24"/>
          <w:lang w:eastAsia="zh-CN"/>
        </w:rPr>
        <w:t>重庆大足石刻国际文化旅游集团有限公司</w:t>
      </w:r>
      <w:r>
        <w:rPr>
          <w:rFonts w:hint="eastAsia" w:ascii="仿宋" w:hAnsi="仿宋" w:eastAsia="仿宋" w:cs="仿宋"/>
          <w:color w:val="auto"/>
          <w:sz w:val="24"/>
          <w:szCs w:val="24"/>
        </w:rPr>
        <w:t>的委托，对</w:t>
      </w:r>
      <w:r>
        <w:rPr>
          <w:rFonts w:hint="eastAsia" w:ascii="仿宋" w:hAnsi="仿宋" w:eastAsia="仿宋" w:cs="仿宋"/>
          <w:color w:val="auto"/>
          <w:sz w:val="24"/>
          <w:szCs w:val="24"/>
          <w:lang w:eastAsia="zh-CN"/>
        </w:rPr>
        <w:t>文旅集团职工食堂鲜货类食材配送服务</w:t>
      </w:r>
      <w:r>
        <w:rPr>
          <w:rFonts w:hint="eastAsia" w:ascii="仿宋" w:hAnsi="仿宋" w:eastAsia="仿宋" w:cs="仿宋"/>
          <w:color w:val="auto"/>
          <w:sz w:val="24"/>
          <w:szCs w:val="24"/>
        </w:rPr>
        <w:t>进行采购。欢迎有资格的供应商前来参与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w:t>
      </w:r>
    </w:p>
    <w:p w14:paraId="08ED50D0">
      <w:pPr>
        <w:pStyle w:val="5"/>
        <w:spacing w:before="120" w:beforeLines="50" w:after="120" w:afterLines="50" w:line="360" w:lineRule="auto"/>
        <w:ind w:firstLine="241" w:firstLineChars="100"/>
        <w:rPr>
          <w:rFonts w:hint="eastAsia" w:ascii="仿宋" w:hAnsi="仿宋" w:eastAsia="仿宋" w:cs="仿宋"/>
          <w:color w:val="auto"/>
          <w:sz w:val="24"/>
          <w:szCs w:val="24"/>
        </w:rPr>
      </w:pPr>
      <w:bookmarkStart w:id="4" w:name="_Toc313893526"/>
      <w:bookmarkStart w:id="5" w:name="_Toc14347"/>
      <w:bookmarkStart w:id="6" w:name="_Toc317775175"/>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内容</w:t>
      </w:r>
      <w:bookmarkEnd w:id="4"/>
      <w:bookmarkEnd w:id="5"/>
      <w:bookmarkEnd w:id="6"/>
    </w:p>
    <w:tbl>
      <w:tblPr>
        <w:tblStyle w:val="15"/>
        <w:tblW w:w="89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01"/>
        <w:gridCol w:w="1663"/>
        <w:gridCol w:w="1596"/>
        <w:gridCol w:w="1596"/>
      </w:tblGrid>
      <w:tr w14:paraId="2C0DB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4101" w:type="dxa"/>
            <w:tcBorders>
              <w:top w:val="single" w:color="auto" w:sz="4" w:space="0"/>
              <w:left w:val="single" w:color="auto" w:sz="4" w:space="0"/>
              <w:right w:val="single" w:color="auto" w:sz="4" w:space="0"/>
            </w:tcBorders>
            <w:noWrap w:val="0"/>
            <w:vAlign w:val="center"/>
          </w:tcPr>
          <w:p w14:paraId="1B98F5D1">
            <w:pPr>
              <w:widowControl/>
              <w:jc w:val="center"/>
              <w:rPr>
                <w:rFonts w:hint="eastAsia" w:ascii="仿宋" w:hAnsi="仿宋" w:eastAsia="仿宋" w:cs="仿宋"/>
                <w:b/>
                <w:bCs/>
                <w:color w:val="auto"/>
                <w:kern w:val="0"/>
                <w:sz w:val="21"/>
                <w:szCs w:val="24"/>
                <w:lang w:val="en-US" w:eastAsia="zh-CN"/>
              </w:rPr>
            </w:pPr>
            <w:bookmarkStart w:id="7" w:name="_Toc373860293"/>
            <w:bookmarkStart w:id="8" w:name="_Toc317775178"/>
            <w:r>
              <w:rPr>
                <w:rFonts w:hint="eastAsia" w:ascii="仿宋" w:hAnsi="仿宋" w:eastAsia="仿宋" w:cs="仿宋"/>
                <w:b/>
                <w:bCs/>
                <w:color w:val="auto"/>
                <w:kern w:val="0"/>
                <w:sz w:val="21"/>
                <w:szCs w:val="24"/>
                <w:lang w:eastAsia="zh-CN"/>
              </w:rPr>
              <w:t>项目</w:t>
            </w:r>
            <w:r>
              <w:rPr>
                <w:rFonts w:hint="eastAsia" w:ascii="仿宋" w:hAnsi="仿宋" w:eastAsia="仿宋" w:cs="仿宋"/>
                <w:b/>
                <w:bCs/>
                <w:color w:val="auto"/>
                <w:kern w:val="0"/>
                <w:sz w:val="21"/>
                <w:szCs w:val="24"/>
              </w:rPr>
              <w:t>名称</w:t>
            </w:r>
          </w:p>
        </w:tc>
        <w:tc>
          <w:tcPr>
            <w:tcW w:w="1663" w:type="dxa"/>
            <w:tcBorders>
              <w:top w:val="single" w:color="auto" w:sz="4" w:space="0"/>
              <w:left w:val="single" w:color="auto" w:sz="4" w:space="0"/>
              <w:right w:val="single" w:color="auto" w:sz="4" w:space="0"/>
            </w:tcBorders>
            <w:noWrap w:val="0"/>
            <w:vAlign w:val="center"/>
          </w:tcPr>
          <w:p w14:paraId="6E3FE9C3">
            <w:pPr>
              <w:jc w:val="center"/>
              <w:rPr>
                <w:rFonts w:hint="eastAsia" w:ascii="仿宋" w:hAnsi="仿宋" w:eastAsia="仿宋" w:cs="仿宋"/>
                <w:b/>
                <w:bCs/>
                <w:color w:val="auto"/>
                <w:kern w:val="0"/>
                <w:sz w:val="21"/>
                <w:szCs w:val="24"/>
              </w:rPr>
            </w:pPr>
            <w:r>
              <w:rPr>
                <w:rFonts w:hint="eastAsia" w:ascii="仿宋" w:hAnsi="仿宋" w:eastAsia="仿宋" w:cs="仿宋"/>
                <w:b/>
                <w:bCs/>
                <w:color w:val="auto"/>
                <w:kern w:val="0"/>
                <w:sz w:val="21"/>
                <w:szCs w:val="24"/>
                <w:lang w:val="en-US" w:eastAsia="zh-CN"/>
              </w:rPr>
              <w:t>最高折扣限价</w:t>
            </w:r>
          </w:p>
        </w:tc>
        <w:tc>
          <w:tcPr>
            <w:tcW w:w="1596" w:type="dxa"/>
            <w:tcBorders>
              <w:top w:val="single" w:color="auto" w:sz="4" w:space="0"/>
              <w:left w:val="single" w:color="auto" w:sz="4" w:space="0"/>
              <w:right w:val="single" w:color="auto" w:sz="4" w:space="0"/>
            </w:tcBorders>
            <w:noWrap w:val="0"/>
            <w:vAlign w:val="center"/>
          </w:tcPr>
          <w:p w14:paraId="17352F41">
            <w:pPr>
              <w:jc w:val="center"/>
              <w:rPr>
                <w:rFonts w:hint="eastAsia" w:ascii="仿宋" w:hAnsi="仿宋" w:eastAsia="仿宋" w:cs="仿宋"/>
                <w:b/>
                <w:bCs/>
                <w:color w:val="auto"/>
                <w:kern w:val="0"/>
                <w:sz w:val="21"/>
                <w:szCs w:val="24"/>
              </w:rPr>
            </w:pPr>
            <w:r>
              <w:rPr>
                <w:rFonts w:hint="eastAsia" w:ascii="仿宋" w:hAnsi="仿宋" w:eastAsia="仿宋" w:cs="仿宋"/>
                <w:b/>
                <w:bCs/>
                <w:color w:val="auto"/>
                <w:kern w:val="0"/>
                <w:sz w:val="21"/>
                <w:szCs w:val="24"/>
              </w:rPr>
              <w:t>成交供应商数量（名）</w:t>
            </w:r>
          </w:p>
        </w:tc>
        <w:tc>
          <w:tcPr>
            <w:tcW w:w="1596" w:type="dxa"/>
            <w:tcBorders>
              <w:top w:val="single" w:color="auto" w:sz="4" w:space="0"/>
              <w:left w:val="single" w:color="auto" w:sz="4" w:space="0"/>
              <w:right w:val="single" w:color="auto" w:sz="4" w:space="0"/>
            </w:tcBorders>
            <w:noWrap w:val="0"/>
            <w:vAlign w:val="center"/>
          </w:tcPr>
          <w:p w14:paraId="30FC9E08">
            <w:pPr>
              <w:widowControl/>
              <w:jc w:val="center"/>
              <w:rPr>
                <w:rFonts w:hint="eastAsia" w:ascii="仿宋" w:hAnsi="仿宋" w:eastAsia="仿宋" w:cs="仿宋"/>
                <w:b/>
                <w:bCs/>
                <w:color w:val="auto"/>
                <w:kern w:val="0"/>
                <w:sz w:val="21"/>
                <w:szCs w:val="24"/>
              </w:rPr>
            </w:pPr>
            <w:r>
              <w:rPr>
                <w:rFonts w:hint="eastAsia" w:ascii="仿宋" w:hAnsi="仿宋" w:eastAsia="仿宋" w:cs="仿宋"/>
                <w:b/>
                <w:bCs/>
                <w:color w:val="auto"/>
                <w:kern w:val="0"/>
                <w:sz w:val="21"/>
                <w:szCs w:val="24"/>
                <w:lang w:eastAsia="zh-CN"/>
              </w:rPr>
              <w:t>备注</w:t>
            </w:r>
          </w:p>
        </w:tc>
      </w:tr>
      <w:tr w14:paraId="7538B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4101" w:type="dxa"/>
            <w:tcBorders>
              <w:top w:val="single" w:color="auto" w:sz="4" w:space="0"/>
              <w:left w:val="single" w:color="auto" w:sz="4" w:space="0"/>
              <w:bottom w:val="single" w:color="auto" w:sz="4" w:space="0"/>
              <w:right w:val="single" w:color="auto" w:sz="4" w:space="0"/>
            </w:tcBorders>
            <w:noWrap w:val="0"/>
            <w:vAlign w:val="center"/>
          </w:tcPr>
          <w:p w14:paraId="666D9F0D">
            <w:pPr>
              <w:widowControl/>
              <w:jc w:val="left"/>
              <w:rPr>
                <w:rFonts w:hint="default" w:ascii="仿宋" w:hAnsi="仿宋" w:eastAsia="仿宋" w:cs="仿宋"/>
                <w:color w:val="auto"/>
                <w:kern w:val="0"/>
                <w:sz w:val="24"/>
                <w:szCs w:val="32"/>
                <w:lang w:val="en-US" w:eastAsia="zh-CN"/>
              </w:rPr>
            </w:pPr>
            <w:bookmarkStart w:id="9" w:name="_Hlk344477914"/>
            <w:r>
              <w:rPr>
                <w:rFonts w:hint="eastAsia" w:ascii="仿宋" w:hAnsi="仿宋" w:eastAsia="仿宋" w:cs="仿宋"/>
                <w:color w:val="auto"/>
                <w:kern w:val="0"/>
                <w:sz w:val="24"/>
                <w:szCs w:val="32"/>
                <w:lang w:val="en-US" w:eastAsia="zh-CN"/>
              </w:rPr>
              <w:t>文旅集团职工食堂鲜货类食材配送服务</w:t>
            </w:r>
          </w:p>
        </w:tc>
        <w:tc>
          <w:tcPr>
            <w:tcW w:w="1663" w:type="dxa"/>
            <w:tcBorders>
              <w:top w:val="single" w:color="auto" w:sz="4" w:space="0"/>
              <w:left w:val="single" w:color="auto" w:sz="4" w:space="0"/>
              <w:bottom w:val="single" w:color="auto" w:sz="4" w:space="0"/>
              <w:right w:val="single" w:color="auto" w:sz="4" w:space="0"/>
            </w:tcBorders>
            <w:noWrap w:val="0"/>
            <w:vAlign w:val="center"/>
          </w:tcPr>
          <w:p w14:paraId="5AFEAE4C">
            <w:pPr>
              <w:widowControl/>
              <w:jc w:val="center"/>
              <w:rPr>
                <w:rFonts w:hint="default" w:ascii="仿宋" w:hAnsi="仿宋" w:eastAsia="仿宋" w:cs="仿宋"/>
                <w:color w:val="auto"/>
                <w:kern w:val="0"/>
                <w:sz w:val="24"/>
                <w:szCs w:val="32"/>
                <w:lang w:val="en-US" w:eastAsia="zh-CN"/>
              </w:rPr>
            </w:pPr>
            <w:r>
              <w:rPr>
                <w:rFonts w:hint="eastAsia" w:ascii="仿宋" w:hAnsi="仿宋" w:eastAsia="仿宋" w:cs="仿宋"/>
                <w:color w:val="auto"/>
                <w:kern w:val="0"/>
                <w:sz w:val="24"/>
                <w:szCs w:val="32"/>
                <w:lang w:val="en-US" w:eastAsia="zh-CN"/>
              </w:rPr>
              <w:t>100%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4AF279B5">
            <w:pPr>
              <w:widowControl/>
              <w:jc w:val="center"/>
              <w:rPr>
                <w:rFonts w:hint="eastAsia" w:ascii="仿宋" w:hAnsi="仿宋" w:eastAsia="仿宋" w:cs="仿宋"/>
                <w:color w:val="auto"/>
                <w:kern w:val="0"/>
                <w:sz w:val="24"/>
                <w:szCs w:val="32"/>
                <w:lang w:val="en-US" w:eastAsia="zh-CN"/>
              </w:rPr>
            </w:pPr>
            <w:r>
              <w:rPr>
                <w:rFonts w:hint="eastAsia" w:ascii="仿宋" w:hAnsi="仿宋" w:eastAsia="仿宋" w:cs="仿宋"/>
                <w:color w:val="auto"/>
                <w:kern w:val="0"/>
                <w:sz w:val="24"/>
                <w:szCs w:val="32"/>
                <w:lang w:val="en-US" w:eastAsia="zh-CN"/>
              </w:rPr>
              <w:t>1</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082EB295">
            <w:pPr>
              <w:widowControl/>
              <w:jc w:val="center"/>
              <w:rPr>
                <w:rFonts w:hint="eastAsia" w:ascii="仿宋" w:hAnsi="仿宋" w:eastAsia="仿宋" w:cs="仿宋"/>
                <w:color w:val="auto"/>
                <w:kern w:val="0"/>
                <w:sz w:val="24"/>
                <w:szCs w:val="32"/>
                <w:lang w:val="en-US" w:eastAsia="zh-CN"/>
              </w:rPr>
            </w:pPr>
            <w:r>
              <w:rPr>
                <w:rFonts w:hint="eastAsia" w:ascii="仿宋" w:hAnsi="仿宋" w:eastAsia="仿宋" w:cs="仿宋"/>
                <w:color w:val="auto"/>
                <w:kern w:val="0"/>
                <w:sz w:val="24"/>
                <w:szCs w:val="32"/>
                <w:lang w:val="en-US" w:eastAsia="zh-CN"/>
              </w:rPr>
              <w:t>不接受联合体投标</w:t>
            </w:r>
          </w:p>
        </w:tc>
      </w:tr>
      <w:bookmarkEnd w:id="9"/>
    </w:tbl>
    <w:p w14:paraId="48FFCDCF">
      <w:pPr>
        <w:pStyle w:val="5"/>
        <w:spacing w:before="120" w:beforeLines="50" w:after="120" w:afterLines="50" w:line="360" w:lineRule="auto"/>
        <w:ind w:firstLine="241" w:firstLineChars="100"/>
        <w:rPr>
          <w:rFonts w:hint="eastAsia" w:ascii="仿宋" w:hAnsi="仿宋" w:eastAsia="仿宋" w:cs="仿宋"/>
          <w:color w:val="auto"/>
          <w:sz w:val="24"/>
          <w:szCs w:val="24"/>
        </w:rPr>
      </w:pPr>
      <w:bookmarkStart w:id="10" w:name="_Toc11990"/>
      <w:r>
        <w:rPr>
          <w:rFonts w:hint="eastAsia" w:ascii="仿宋" w:hAnsi="仿宋" w:eastAsia="仿宋" w:cs="仿宋"/>
          <w:color w:val="auto"/>
          <w:sz w:val="24"/>
          <w:szCs w:val="24"/>
        </w:rPr>
        <w:t>二、资金来源</w:t>
      </w:r>
      <w:bookmarkEnd w:id="10"/>
    </w:p>
    <w:p w14:paraId="63548BE4">
      <w:pPr>
        <w:pStyle w:val="5"/>
        <w:spacing w:before="120" w:beforeLines="50" w:after="120" w:afterLines="50" w:line="360" w:lineRule="auto"/>
        <w:ind w:firstLine="240" w:firstLineChars="100"/>
        <w:rPr>
          <w:rFonts w:hint="eastAsia" w:ascii="仿宋" w:hAnsi="仿宋" w:eastAsia="仿宋" w:cs="仿宋"/>
          <w:b w:val="0"/>
          <w:bCs/>
          <w:color w:val="auto"/>
          <w:sz w:val="24"/>
          <w:szCs w:val="24"/>
        </w:rPr>
      </w:pPr>
      <w:bookmarkStart w:id="11" w:name="_Toc19638"/>
      <w:bookmarkStart w:id="12" w:name="_Toc15248"/>
      <w:bookmarkStart w:id="13" w:name="_Toc25762"/>
      <w:r>
        <w:rPr>
          <w:rFonts w:hint="eastAsia" w:ascii="仿宋" w:hAnsi="仿宋" w:eastAsia="仿宋" w:cs="仿宋"/>
          <w:b w:val="0"/>
          <w:bCs/>
          <w:color w:val="auto"/>
          <w:sz w:val="24"/>
          <w:szCs w:val="24"/>
          <w:lang w:eastAsia="zh-CN"/>
        </w:rPr>
        <w:t>自筹</w:t>
      </w:r>
      <w:r>
        <w:rPr>
          <w:rFonts w:hint="eastAsia" w:ascii="仿宋" w:hAnsi="仿宋" w:eastAsia="仿宋" w:cs="仿宋"/>
          <w:b w:val="0"/>
          <w:bCs/>
          <w:color w:val="auto"/>
          <w:sz w:val="24"/>
          <w:szCs w:val="24"/>
        </w:rPr>
        <w:t>资金，预算金额</w:t>
      </w:r>
      <w:r>
        <w:rPr>
          <w:rFonts w:hint="eastAsia" w:ascii="仿宋" w:hAnsi="仿宋" w:eastAsia="仿宋" w:cs="仿宋"/>
          <w:b w:val="0"/>
          <w:bCs/>
          <w:color w:val="auto"/>
          <w:sz w:val="24"/>
          <w:szCs w:val="24"/>
          <w:lang w:eastAsia="zh-CN"/>
        </w:rPr>
        <w:t>约</w:t>
      </w:r>
      <w:r>
        <w:rPr>
          <w:rFonts w:hint="eastAsia" w:ascii="仿宋" w:hAnsi="仿宋" w:eastAsia="仿宋" w:cs="仿宋"/>
          <w:b w:val="0"/>
          <w:bCs/>
          <w:color w:val="auto"/>
          <w:sz w:val="24"/>
          <w:szCs w:val="24"/>
          <w:lang w:val="en-US" w:eastAsia="zh-CN"/>
        </w:rPr>
        <w:t>48.6</w:t>
      </w:r>
      <w:r>
        <w:rPr>
          <w:rFonts w:hint="eastAsia" w:ascii="仿宋" w:hAnsi="仿宋" w:eastAsia="仿宋" w:cs="仿宋"/>
          <w:b w:val="0"/>
          <w:bCs/>
          <w:color w:val="auto"/>
          <w:sz w:val="24"/>
          <w:szCs w:val="24"/>
        </w:rPr>
        <w:t>万元。</w:t>
      </w:r>
      <w:bookmarkEnd w:id="11"/>
      <w:bookmarkEnd w:id="12"/>
      <w:bookmarkEnd w:id="13"/>
    </w:p>
    <w:p w14:paraId="204C4016">
      <w:pPr>
        <w:pStyle w:val="5"/>
        <w:spacing w:before="120" w:beforeLines="50" w:after="120" w:afterLines="50" w:line="360" w:lineRule="auto"/>
        <w:ind w:firstLine="241" w:firstLineChars="100"/>
        <w:rPr>
          <w:rFonts w:hint="eastAsia" w:ascii="仿宋" w:hAnsi="仿宋" w:eastAsia="仿宋" w:cs="仿宋"/>
          <w:color w:val="auto"/>
          <w:sz w:val="24"/>
          <w:szCs w:val="24"/>
        </w:rPr>
      </w:pPr>
      <w:bookmarkStart w:id="14" w:name="_Toc13443"/>
      <w:r>
        <w:rPr>
          <w:rFonts w:hint="eastAsia" w:ascii="仿宋" w:hAnsi="仿宋" w:eastAsia="仿宋" w:cs="仿宋"/>
          <w:color w:val="auto"/>
          <w:sz w:val="24"/>
          <w:szCs w:val="24"/>
        </w:rPr>
        <w:t>三、供应商资格条件</w:t>
      </w:r>
      <w:bookmarkEnd w:id="14"/>
    </w:p>
    <w:p w14:paraId="5E1272F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（一）满足《中华人民共和国政府采购法》第二十二条规定；</w:t>
      </w:r>
    </w:p>
    <w:p w14:paraId="1D9A3314">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（二）落实政府采购政策需满足的资格要求：</w:t>
      </w:r>
      <w:r>
        <w:rPr>
          <w:rFonts w:hint="eastAsia" w:ascii="仿宋" w:hAnsi="仿宋" w:eastAsia="仿宋" w:cs="仿宋"/>
          <w:color w:val="auto"/>
          <w:sz w:val="24"/>
          <w:szCs w:val="24"/>
          <w:lang w:val="en-US" w:eastAsia="zh-CN"/>
        </w:rPr>
        <w:t>无。</w:t>
      </w:r>
    </w:p>
    <w:p w14:paraId="457F6337">
      <w:pPr>
        <w:spacing w:line="360" w:lineRule="auto"/>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（三）本项目的特定资格要求：</w:t>
      </w:r>
      <w:r>
        <w:rPr>
          <w:rFonts w:hint="eastAsia" w:ascii="仿宋" w:hAnsi="仿宋" w:eastAsia="仿宋" w:cs="仿宋"/>
          <w:color w:val="auto"/>
          <w:sz w:val="24"/>
          <w:szCs w:val="24"/>
          <w:lang w:val="en-US" w:eastAsia="zh-CN"/>
        </w:rPr>
        <w:t>供应商须具备市场监督管理部门颁发的有效的食品经营许可证或食品生产许可证。（提供有效的证书复印件并加盖供应商公章）</w:t>
      </w:r>
    </w:p>
    <w:bookmarkEnd w:id="7"/>
    <w:bookmarkEnd w:id="8"/>
    <w:p w14:paraId="5EA3D5A8">
      <w:pPr>
        <w:pStyle w:val="5"/>
        <w:spacing w:before="120" w:beforeLines="50" w:after="120" w:afterLines="50" w:line="360" w:lineRule="auto"/>
        <w:ind w:firstLine="241" w:firstLineChars="100"/>
        <w:rPr>
          <w:rFonts w:hint="eastAsia" w:ascii="仿宋" w:hAnsi="仿宋" w:eastAsia="仿宋" w:cs="仿宋"/>
          <w:b/>
          <w:color w:val="auto"/>
          <w:sz w:val="24"/>
          <w:szCs w:val="24"/>
          <w:lang w:val="en-US" w:eastAsia="zh-CN"/>
        </w:rPr>
      </w:pPr>
      <w:bookmarkStart w:id="15" w:name="_Toc1961"/>
      <w:bookmarkStart w:id="16" w:name="_Toc21748"/>
      <w:bookmarkStart w:id="17" w:name="_Toc531184286"/>
      <w:r>
        <w:rPr>
          <w:rFonts w:hint="eastAsia" w:ascii="仿宋" w:hAnsi="仿宋" w:eastAsia="仿宋" w:cs="仿宋"/>
          <w:b/>
          <w:color w:val="auto"/>
          <w:sz w:val="24"/>
          <w:szCs w:val="24"/>
          <w:lang w:val="en-US" w:eastAsia="zh-CN"/>
        </w:rPr>
        <w:t>四、询比有关说明</w:t>
      </w:r>
      <w:bookmarkEnd w:id="15"/>
      <w:bookmarkEnd w:id="16"/>
    </w:p>
    <w:p w14:paraId="3E9CB0DF">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（一）本项目</w:t>
      </w:r>
      <w:r>
        <w:rPr>
          <w:rFonts w:hint="eastAsia" w:ascii="仿宋" w:hAnsi="仿宋" w:eastAsia="仿宋" w:cs="仿宋"/>
          <w:color w:val="auto"/>
          <w:sz w:val="24"/>
          <w:szCs w:val="24"/>
          <w:lang w:eastAsia="zh-CN"/>
        </w:rPr>
        <w:t>采购公告</w:t>
      </w:r>
      <w:r>
        <w:rPr>
          <w:rFonts w:hint="eastAsia" w:ascii="仿宋" w:hAnsi="仿宋" w:eastAsia="仿宋" w:cs="仿宋"/>
          <w:color w:val="auto"/>
          <w:sz w:val="24"/>
          <w:szCs w:val="24"/>
        </w:rPr>
        <w:t>于</w:t>
      </w:r>
      <w:r>
        <w:rPr>
          <w:rFonts w:hint="eastAsia" w:ascii="仿宋" w:hAnsi="仿宋" w:eastAsia="仿宋" w:cs="仿宋"/>
          <w:color w:val="auto"/>
          <w:sz w:val="24"/>
          <w:szCs w:val="24"/>
          <w:lang w:eastAsia="zh-CN"/>
        </w:rPr>
        <w:t>2026</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日在行采家网（https://www.gec12</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.com/）发布。</w:t>
      </w:r>
    </w:p>
    <w:p w14:paraId="20332ADC">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供应商需通过行采家网（https://www.gec12</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.com/）在“供应商库”进行注册，成为正式供应商方能参与采购活动。</w:t>
      </w:r>
    </w:p>
    <w:p w14:paraId="7516B578">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仿宋" w:hAnsi="仿宋" w:eastAsia="仿宋" w:cs="仿宋"/>
          <w:color w:val="auto"/>
          <w:sz w:val="24"/>
          <w:szCs w:val="24"/>
          <w:lang w:eastAsia="zh-CN"/>
        </w:rPr>
        <w:t>采购公告</w:t>
      </w:r>
      <w:r>
        <w:rPr>
          <w:rFonts w:hint="eastAsia" w:ascii="仿宋" w:hAnsi="仿宋" w:eastAsia="仿宋" w:cs="仿宋"/>
          <w:color w:val="auto"/>
          <w:sz w:val="24"/>
          <w:szCs w:val="24"/>
        </w:rPr>
        <w:t>期限：自采购公告发布之日起</w:t>
      </w:r>
      <w:r>
        <w:rPr>
          <w:rFonts w:hint="eastAsia" w:ascii="仿宋" w:hAnsi="仿宋" w:eastAsia="仿宋" w:cs="仿宋"/>
          <w:color w:val="auto"/>
          <w:sz w:val="24"/>
          <w:szCs w:val="24"/>
          <w:lang w:eastAsia="zh-CN"/>
        </w:rPr>
        <w:t>三</w:t>
      </w:r>
      <w:r>
        <w:rPr>
          <w:rFonts w:hint="eastAsia" w:ascii="仿宋" w:hAnsi="仿宋" w:eastAsia="仿宋" w:cs="仿宋"/>
          <w:color w:val="auto"/>
          <w:sz w:val="24"/>
          <w:szCs w:val="24"/>
        </w:rPr>
        <w:t>个工作日。</w:t>
      </w:r>
    </w:p>
    <w:p w14:paraId="08DD2885">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 报名和递交投标文件时间、地点</w:t>
      </w:r>
    </w:p>
    <w:p w14:paraId="550F70C1">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1.</w:t>
      </w:r>
      <w:r>
        <w:rPr>
          <w:rFonts w:hint="eastAsia" w:ascii="仿宋" w:hAnsi="仿宋" w:eastAsia="仿宋" w:cs="仿宋"/>
          <w:color w:val="auto"/>
          <w:sz w:val="24"/>
          <w:szCs w:val="24"/>
          <w:lang w:val="en-US" w:eastAsia="zh-CN"/>
        </w:rPr>
        <w:t>请于2026年    月   日至2026年   月  日 17时前，将报名资料（发售登记表）加盖单位公章扫描后，发送至260050530@qq.com。</w:t>
      </w:r>
    </w:p>
    <w:p w14:paraId="4E737256">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售价：人民币500元/</w:t>
      </w:r>
      <w:r>
        <w:rPr>
          <w:rFonts w:hint="eastAsia" w:ascii="仿宋" w:hAnsi="仿宋" w:eastAsia="仿宋" w:cs="仿宋"/>
          <w:color w:val="auto"/>
          <w:sz w:val="24"/>
          <w:szCs w:val="24"/>
          <w:lang w:val="en-US" w:eastAsia="zh-CN"/>
        </w:rPr>
        <w:t>每分包</w:t>
      </w:r>
      <w:r>
        <w:rPr>
          <w:rFonts w:hint="eastAsia" w:ascii="仿宋" w:hAnsi="仿宋" w:eastAsia="仿宋" w:cs="仿宋"/>
          <w:color w:val="auto"/>
          <w:sz w:val="24"/>
          <w:szCs w:val="24"/>
        </w:rPr>
        <w:t>（售后不退）</w:t>
      </w:r>
    </w:p>
    <w:p w14:paraId="4317D8B6">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注：在规定的报名时间内，将报名表发送至指定邮箱的供应商，其报名和响应文件才能被接收。</w:t>
      </w:r>
    </w:p>
    <w:p w14:paraId="51B40B69">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3.线上报名</w:t>
      </w:r>
    </w:p>
    <w:p w14:paraId="792F3231">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3.1线上报名起止时间：公告发布后即可报名至2026年  月   日17时00分（北京时间）。</w:t>
      </w:r>
    </w:p>
    <w:p w14:paraId="0959E8E2">
      <w:pPr>
        <w:spacing w:line="360" w:lineRule="auto"/>
        <w:ind w:firstLine="480" w:firstLineChars="200"/>
        <w:rPr>
          <w:rFonts w:hint="eastAsia" w:ascii="仿宋" w:hAnsi="仿宋" w:eastAsia="仿宋" w:cs="仿宋"/>
          <w:color w:val="auto"/>
          <w:sz w:val="24"/>
          <w:szCs w:val="24"/>
          <w:lang w:val="en-US" w:eastAsia="zh-CN"/>
        </w:rPr>
      </w:pPr>
      <w:bookmarkStart w:id="18" w:name="_Toc15591"/>
      <w:bookmarkStart w:id="19" w:name="_Toc11459"/>
      <w:bookmarkStart w:id="20" w:name="_Toc4625"/>
      <w:bookmarkStart w:id="21" w:name="_Toc16654"/>
      <w:r>
        <w:rPr>
          <w:rFonts w:hint="eastAsia" w:ascii="仿宋" w:hAnsi="仿宋" w:eastAsia="仿宋" w:cs="仿宋"/>
          <w:color w:val="auto"/>
          <w:sz w:val="24"/>
          <w:szCs w:val="24"/>
          <w:lang w:val="en-US" w:eastAsia="zh-CN"/>
        </w:rPr>
        <w:t>3.2线上报价要求：</w:t>
      </w:r>
      <w:bookmarkEnd w:id="18"/>
      <w:bookmarkEnd w:id="19"/>
      <w:bookmarkEnd w:id="20"/>
      <w:r>
        <w:rPr>
          <w:rFonts w:hint="eastAsia" w:ascii="仿宋" w:hAnsi="仿宋" w:eastAsia="仿宋" w:cs="仿宋"/>
          <w:color w:val="auto"/>
          <w:sz w:val="24"/>
          <w:szCs w:val="24"/>
          <w:lang w:val="en-US" w:eastAsia="zh-CN"/>
        </w:rPr>
        <w:t>按本项目规定的时间在“行采家（https://www.gec123.com/）”进行网上报价，未在规定时间内报价的投标人不具备竞标资格；报价时须上传盖章后的响应文件正本扫描件一份。</w:t>
      </w:r>
    </w:p>
    <w:p w14:paraId="41C69873">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注：线上报价时，按平台要求进行报价和上传投标文件，平台会收取相应的平台保证金，平台保证金收取及退还相关问题请各潜在投标人报价前自行咨询平台客服，此费用与投标保证金无关。</w:t>
      </w:r>
    </w:p>
    <w:p w14:paraId="3555FA91">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4.线下投标</w:t>
      </w:r>
    </w:p>
    <w:p w14:paraId="64B5D6D7">
      <w:pPr>
        <w:spacing w:line="360" w:lineRule="auto"/>
        <w:ind w:firstLine="480" w:firstLineChars="200"/>
        <w:rPr>
          <w:rFonts w:hint="eastAsia" w:ascii="仿宋" w:hAnsi="仿宋" w:eastAsia="仿宋" w:cs="仿宋"/>
          <w:color w:val="auto"/>
          <w:sz w:val="24"/>
          <w:szCs w:val="24"/>
          <w:lang w:val="en-US" w:eastAsia="zh-CN"/>
        </w:rPr>
      </w:pPr>
      <w:bookmarkStart w:id="22" w:name="_Toc17982"/>
      <w:bookmarkStart w:id="23" w:name="_Toc25543"/>
      <w:bookmarkStart w:id="24" w:name="_Toc24480"/>
      <w:r>
        <w:rPr>
          <w:rFonts w:hint="eastAsia" w:ascii="仿宋" w:hAnsi="仿宋" w:eastAsia="仿宋" w:cs="仿宋"/>
          <w:color w:val="auto"/>
          <w:sz w:val="24"/>
          <w:szCs w:val="24"/>
          <w:lang w:val="en-US" w:eastAsia="zh-CN"/>
        </w:rPr>
        <w:t>4.1线下递交投标文件开始时间：2026年  月   日9 时00分（北京时间）</w:t>
      </w:r>
      <w:bookmarkEnd w:id="21"/>
      <w:r>
        <w:rPr>
          <w:rFonts w:hint="eastAsia" w:ascii="仿宋" w:hAnsi="仿宋" w:eastAsia="仿宋" w:cs="仿宋"/>
          <w:color w:val="auto"/>
          <w:sz w:val="24"/>
          <w:szCs w:val="24"/>
          <w:lang w:val="en-US" w:eastAsia="zh-CN"/>
        </w:rPr>
        <w:t>。</w:t>
      </w:r>
      <w:bookmarkEnd w:id="22"/>
      <w:bookmarkEnd w:id="23"/>
      <w:bookmarkEnd w:id="24"/>
    </w:p>
    <w:p w14:paraId="3D3ED4AA">
      <w:pPr>
        <w:spacing w:line="360" w:lineRule="auto"/>
        <w:ind w:firstLine="480" w:firstLineChars="200"/>
        <w:rPr>
          <w:rFonts w:hint="eastAsia" w:ascii="仿宋" w:hAnsi="仿宋" w:eastAsia="仿宋" w:cs="仿宋"/>
          <w:color w:val="auto"/>
          <w:sz w:val="24"/>
          <w:szCs w:val="24"/>
          <w:lang w:val="en-US" w:eastAsia="zh-CN"/>
        </w:rPr>
      </w:pPr>
      <w:bookmarkStart w:id="25" w:name="_Toc29361"/>
      <w:bookmarkStart w:id="26" w:name="_Toc15349"/>
      <w:bookmarkStart w:id="27" w:name="_Toc14504"/>
      <w:bookmarkStart w:id="28" w:name="_Toc535"/>
      <w:r>
        <w:rPr>
          <w:rFonts w:hint="eastAsia" w:ascii="仿宋" w:hAnsi="仿宋" w:eastAsia="仿宋" w:cs="仿宋"/>
          <w:color w:val="auto"/>
          <w:sz w:val="24"/>
          <w:szCs w:val="24"/>
          <w:lang w:val="en-US" w:eastAsia="zh-CN"/>
        </w:rPr>
        <w:t>4.2线下递交投标文件截止时间：2026年    月   日9时30分（北京时间）。</w:t>
      </w:r>
      <w:bookmarkEnd w:id="25"/>
      <w:bookmarkEnd w:id="26"/>
      <w:bookmarkEnd w:id="27"/>
      <w:bookmarkEnd w:id="28"/>
    </w:p>
    <w:p w14:paraId="4325E1BD">
      <w:pPr>
        <w:spacing w:line="360" w:lineRule="auto"/>
        <w:ind w:firstLine="480" w:firstLineChars="200"/>
        <w:rPr>
          <w:rFonts w:hint="eastAsia" w:ascii="仿宋" w:hAnsi="仿宋" w:eastAsia="仿宋" w:cs="仿宋"/>
          <w:color w:val="auto"/>
          <w:sz w:val="24"/>
          <w:szCs w:val="24"/>
          <w:lang w:val="en-US" w:eastAsia="zh-CN"/>
        </w:rPr>
      </w:pPr>
      <w:bookmarkStart w:id="29" w:name="_Toc2154"/>
      <w:bookmarkStart w:id="30" w:name="_Toc22533"/>
      <w:bookmarkStart w:id="31" w:name="_Toc10721"/>
      <w:bookmarkStart w:id="32" w:name="_Toc21759"/>
      <w:r>
        <w:rPr>
          <w:rFonts w:hint="eastAsia" w:ascii="仿宋" w:hAnsi="仿宋" w:eastAsia="仿宋" w:cs="仿宋"/>
          <w:color w:val="auto"/>
          <w:sz w:val="24"/>
          <w:szCs w:val="24"/>
          <w:lang w:val="en-US" w:eastAsia="zh-CN"/>
        </w:rPr>
        <w:t>4.3线下开标时间：2026年   月    日9时30分（北京时间）。</w:t>
      </w:r>
      <w:bookmarkEnd w:id="29"/>
      <w:bookmarkEnd w:id="30"/>
      <w:bookmarkEnd w:id="31"/>
      <w:bookmarkEnd w:id="32"/>
    </w:p>
    <w:p w14:paraId="359F2B9C">
      <w:pPr>
        <w:spacing w:line="360" w:lineRule="auto"/>
        <w:ind w:firstLine="480" w:firstLineChars="200"/>
        <w:rPr>
          <w:rFonts w:hint="eastAsia" w:ascii="仿宋" w:hAnsi="仿宋" w:eastAsia="仿宋" w:cs="仿宋"/>
          <w:color w:val="auto"/>
          <w:sz w:val="24"/>
          <w:szCs w:val="24"/>
          <w:lang w:val="en-US" w:eastAsia="zh-CN"/>
        </w:rPr>
      </w:pPr>
      <w:bookmarkStart w:id="33" w:name="_Toc12770"/>
      <w:bookmarkStart w:id="34" w:name="_Toc30776"/>
      <w:bookmarkStart w:id="35" w:name="_Toc10990"/>
      <w:bookmarkStart w:id="36" w:name="_Toc27602"/>
      <w:r>
        <w:rPr>
          <w:rFonts w:hint="eastAsia" w:ascii="仿宋" w:hAnsi="仿宋" w:eastAsia="仿宋" w:cs="仿宋"/>
          <w:color w:val="auto"/>
          <w:sz w:val="24"/>
          <w:szCs w:val="24"/>
          <w:lang w:val="en-US" w:eastAsia="zh-CN"/>
        </w:rPr>
        <w:t>4.4线下投标和开标地点：</w:t>
      </w:r>
      <w:bookmarkEnd w:id="33"/>
      <w:bookmarkEnd w:id="34"/>
      <w:bookmarkEnd w:id="35"/>
      <w:bookmarkEnd w:id="36"/>
      <w:r>
        <w:rPr>
          <w:rFonts w:hint="eastAsia" w:ascii="仿宋" w:hAnsi="仿宋" w:eastAsia="仿宋" w:cs="仿宋"/>
          <w:color w:val="auto"/>
          <w:sz w:val="24"/>
          <w:szCs w:val="24"/>
          <w:lang w:val="en-US" w:eastAsia="zh-CN"/>
        </w:rPr>
        <w:t>重庆市大足区豪洋名居1号门旁</w:t>
      </w:r>
    </w:p>
    <w:p w14:paraId="2779FE47">
      <w:pPr>
        <w:spacing w:line="360" w:lineRule="auto"/>
        <w:ind w:firstLine="480" w:firstLineChars="200"/>
        <w:rPr>
          <w:rFonts w:hint="eastAsia" w:ascii="仿宋" w:hAnsi="仿宋" w:eastAsia="仿宋" w:cs="仿宋"/>
          <w:color w:val="auto"/>
          <w:sz w:val="24"/>
          <w:szCs w:val="24"/>
          <w:lang w:val="en-US" w:eastAsia="zh-CN"/>
        </w:rPr>
      </w:pPr>
      <w:bookmarkStart w:id="37" w:name="_Toc6579"/>
      <w:bookmarkStart w:id="38" w:name="_Toc26863"/>
      <w:bookmarkStart w:id="39" w:name="_Toc29851"/>
      <w:bookmarkStart w:id="40" w:name="_Toc12131"/>
      <w:r>
        <w:rPr>
          <w:rFonts w:hint="eastAsia" w:ascii="仿宋" w:hAnsi="仿宋" w:eastAsia="仿宋" w:cs="仿宋"/>
          <w:color w:val="auto"/>
          <w:sz w:val="24"/>
          <w:szCs w:val="24"/>
          <w:lang w:val="en-US" w:eastAsia="zh-CN"/>
        </w:rPr>
        <w:t>逾期送达的、未送达指定地点的或者不按照招标文件要求密封的投标文件，招标人将予以拒收。</w:t>
      </w:r>
      <w:bookmarkEnd w:id="37"/>
      <w:bookmarkEnd w:id="38"/>
      <w:bookmarkEnd w:id="39"/>
      <w:bookmarkEnd w:id="40"/>
    </w:p>
    <w:p w14:paraId="50E65037">
      <w:pPr>
        <w:pStyle w:val="5"/>
        <w:spacing w:before="120" w:beforeLines="50" w:after="120" w:afterLines="50" w:line="360" w:lineRule="auto"/>
        <w:ind w:firstLine="241" w:firstLineChars="100"/>
        <w:rPr>
          <w:rFonts w:hint="eastAsia" w:ascii="仿宋" w:hAnsi="仿宋" w:eastAsia="仿宋" w:cs="仿宋"/>
          <w:b/>
          <w:color w:val="auto"/>
          <w:sz w:val="24"/>
          <w:szCs w:val="24"/>
          <w:lang w:val="en-US" w:eastAsia="zh-CN"/>
        </w:rPr>
      </w:pPr>
      <w:r>
        <w:rPr>
          <w:rFonts w:hint="eastAsia" w:ascii="仿宋" w:hAnsi="仿宋" w:eastAsia="仿宋" w:cs="仿宋"/>
          <w:b/>
          <w:color w:val="auto"/>
          <w:sz w:val="24"/>
          <w:szCs w:val="24"/>
          <w:lang w:val="en-US" w:eastAsia="zh-CN"/>
        </w:rPr>
        <w:t xml:space="preserve"> </w:t>
      </w:r>
      <w:bookmarkStart w:id="41" w:name="_Toc25529"/>
      <w:bookmarkStart w:id="42" w:name="_Toc19355"/>
      <w:bookmarkStart w:id="43" w:name="_Toc22453"/>
      <w:r>
        <w:rPr>
          <w:rFonts w:hint="eastAsia" w:ascii="仿宋" w:hAnsi="仿宋" w:eastAsia="仿宋" w:cs="仿宋"/>
          <w:b/>
          <w:color w:val="auto"/>
          <w:sz w:val="24"/>
          <w:szCs w:val="24"/>
          <w:lang w:val="en-US" w:eastAsia="zh-CN"/>
        </w:rPr>
        <w:t>五、询比保证金</w:t>
      </w:r>
      <w:bookmarkEnd w:id="41"/>
      <w:bookmarkEnd w:id="42"/>
      <w:bookmarkEnd w:id="43"/>
    </w:p>
    <w:bookmarkEnd w:id="17"/>
    <w:p w14:paraId="412149C7">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360" w:lineRule="auto"/>
        <w:ind w:left="0" w:right="0" w:firstLine="640"/>
        <w:jc w:val="left"/>
        <w:rPr>
          <w:rFonts w:hint="default" w:ascii="仿宋" w:hAnsi="仿宋" w:eastAsia="仿宋" w:cs="仿宋"/>
          <w:color w:val="auto"/>
          <w:kern w:val="2"/>
          <w:sz w:val="24"/>
          <w:szCs w:val="24"/>
          <w:lang w:val="en-US" w:eastAsia="zh-CN" w:bidi="ar-SA"/>
        </w:rPr>
      </w:pPr>
      <w:bookmarkStart w:id="44" w:name="_Toc531184287"/>
      <w:r>
        <w:rPr>
          <w:rFonts w:hint="eastAsia" w:ascii="仿宋" w:hAnsi="仿宋" w:eastAsia="仿宋" w:cs="仿宋"/>
          <w:color w:val="auto"/>
          <w:kern w:val="2"/>
          <w:sz w:val="24"/>
          <w:szCs w:val="24"/>
          <w:lang w:val="en-US" w:eastAsia="zh-CN" w:bidi="ar-SA"/>
        </w:rPr>
        <w:t>本项目不设置投标保证金。</w:t>
      </w:r>
    </w:p>
    <w:p w14:paraId="429DE7EF">
      <w:pPr>
        <w:pStyle w:val="4"/>
        <w:spacing w:before="48" w:after="48" w:line="360" w:lineRule="auto"/>
        <w:ind w:firstLine="422"/>
        <w:rPr>
          <w:rFonts w:hint="eastAsia" w:ascii="仿宋" w:hAnsi="仿宋" w:eastAsia="仿宋" w:cs="仿宋"/>
          <w:b/>
          <w:color w:val="auto"/>
          <w:kern w:val="2"/>
          <w:sz w:val="24"/>
          <w:szCs w:val="24"/>
          <w:lang w:val="en-US" w:eastAsia="zh-CN" w:bidi="ar-SA"/>
        </w:rPr>
      </w:pPr>
      <w:bookmarkStart w:id="45" w:name="_Toc20833"/>
      <w:r>
        <w:rPr>
          <w:rFonts w:hint="eastAsia" w:ascii="仿宋" w:hAnsi="仿宋" w:eastAsia="仿宋" w:cs="仿宋"/>
          <w:b/>
          <w:color w:val="auto"/>
          <w:kern w:val="2"/>
          <w:sz w:val="24"/>
          <w:szCs w:val="24"/>
          <w:lang w:val="en-US" w:eastAsia="zh-CN" w:bidi="ar-SA"/>
        </w:rPr>
        <w:t>六、投标有关规定</w:t>
      </w:r>
      <w:bookmarkEnd w:id="44"/>
      <w:bookmarkEnd w:id="45"/>
    </w:p>
    <w:p w14:paraId="4AF23690">
      <w:pPr>
        <w:spacing w:line="360" w:lineRule="auto"/>
        <w:ind w:firstLine="480" w:firstLineChars="200"/>
        <w:rPr>
          <w:rFonts w:hint="eastAsia" w:ascii="仿宋" w:hAnsi="仿宋" w:eastAsia="仿宋" w:cs="仿宋"/>
          <w:color w:val="auto"/>
          <w:sz w:val="24"/>
          <w:szCs w:val="24"/>
          <w:lang w:val="en-US" w:eastAsia="zh-CN"/>
        </w:rPr>
      </w:pPr>
      <w:bookmarkStart w:id="46" w:name="_Toc474603910"/>
      <w:bookmarkStart w:id="47" w:name="_Toc17427"/>
      <w:bookmarkStart w:id="48" w:name="_Toc531184289"/>
      <w:r>
        <w:rPr>
          <w:rFonts w:hint="eastAsia" w:ascii="仿宋" w:hAnsi="仿宋" w:eastAsia="仿宋" w:cs="仿宋"/>
          <w:color w:val="auto"/>
          <w:sz w:val="24"/>
          <w:szCs w:val="24"/>
          <w:lang w:val="en-US" w:eastAsia="zh-CN"/>
        </w:rPr>
        <w:t>（一）单位负责人为同一人或者存在直接控股、管理关系的不同供应商，不得参加同一合同项（分包）下的政府采购活动，否则均为无效响应。</w:t>
      </w:r>
    </w:p>
    <w:p w14:paraId="0E752D70">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（二）为采购项目提供整体设计、规范编制或者项目管理、监理、检测等服务的供应商，不得再参加该采购项目的其他采购活动。</w:t>
      </w:r>
    </w:p>
    <w:p w14:paraId="0E565F2E">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（三）本项目的补遗文件（如果有）一律在行采家网上发布，请各投标人注意下载或到采购代理机构领取；无论投标人下载或领取与否，均视同投标人已知晓本项目补遗文件的内容。</w:t>
      </w:r>
    </w:p>
    <w:p w14:paraId="6BFB093F">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（四）超过响应文件截止时间递交的响应文件，恕不接收。</w:t>
      </w:r>
    </w:p>
    <w:p w14:paraId="03CF8767">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（五）询比费用：无论询比结果如何，供应商参与本项目询比的所有费用均应由供应商自行承担。</w:t>
      </w:r>
    </w:p>
    <w:p w14:paraId="23C97FDE">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（六）列入失信被执行人、重大税收违法案件当事人名单、政府采购严重违法失信行为记录名单等及其他不符合《中华人民共和国政府采购法》第二十二条规定条件的供应商，将拒绝其参与政府采购活动。</w:t>
      </w:r>
    </w:p>
    <w:p w14:paraId="4306EFF6">
      <w:pPr>
        <w:pStyle w:val="4"/>
        <w:spacing w:before="48" w:after="48" w:line="360" w:lineRule="auto"/>
        <w:ind w:firstLine="422"/>
        <w:rPr>
          <w:rFonts w:hint="eastAsia" w:ascii="仿宋" w:hAnsi="仿宋" w:eastAsia="仿宋" w:cs="仿宋"/>
          <w:b/>
          <w:color w:val="auto"/>
          <w:sz w:val="24"/>
          <w:szCs w:val="24"/>
        </w:rPr>
      </w:pPr>
      <w:bookmarkStart w:id="49" w:name="_Toc5123"/>
      <w:r>
        <w:rPr>
          <w:rFonts w:hint="eastAsia" w:ascii="仿宋" w:hAnsi="仿宋" w:eastAsia="仿宋" w:cs="仿宋"/>
          <w:b/>
          <w:color w:val="auto"/>
          <w:sz w:val="24"/>
          <w:szCs w:val="24"/>
          <w:lang w:eastAsia="zh-CN"/>
        </w:rPr>
        <w:t>七</w:t>
      </w:r>
      <w:r>
        <w:rPr>
          <w:rFonts w:hint="eastAsia" w:ascii="仿宋" w:hAnsi="仿宋" w:eastAsia="仿宋" w:cs="仿宋"/>
          <w:b/>
          <w:color w:val="auto"/>
          <w:sz w:val="24"/>
          <w:szCs w:val="24"/>
        </w:rPr>
        <w:t>、联系方式</w:t>
      </w:r>
      <w:bookmarkEnd w:id="46"/>
      <w:bookmarkEnd w:id="47"/>
      <w:bookmarkEnd w:id="48"/>
      <w:bookmarkEnd w:id="49"/>
    </w:p>
    <w:p w14:paraId="6252E457">
      <w:pPr>
        <w:spacing w:line="360" w:lineRule="auto"/>
        <w:ind w:firstLine="482"/>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（一）采购人：</w:t>
      </w:r>
      <w:r>
        <w:rPr>
          <w:rFonts w:hint="eastAsia" w:ascii="仿宋" w:hAnsi="仿宋" w:eastAsia="仿宋" w:cs="仿宋"/>
          <w:color w:val="auto"/>
          <w:sz w:val="24"/>
          <w:szCs w:val="24"/>
          <w:lang w:eastAsia="zh-CN"/>
        </w:rPr>
        <w:t>重庆大足石刻国际文化旅游集团有限公司</w:t>
      </w:r>
    </w:p>
    <w:p w14:paraId="3469C4AA">
      <w:pPr>
        <w:spacing w:line="360" w:lineRule="auto"/>
        <w:ind w:firstLine="482"/>
        <w:rPr>
          <w:rFonts w:hint="eastAsia" w:ascii="仿宋" w:hAnsi="仿宋" w:eastAsia="仿宋" w:cs="仿宋"/>
          <w:color w:val="auto"/>
          <w:sz w:val="24"/>
          <w:szCs w:val="24"/>
        </w:rPr>
      </w:pPr>
      <w:r>
        <w:rPr>
          <w:rFonts w:hint="eastAsia" w:ascii="仿宋" w:hAnsi="仿宋" w:eastAsia="仿宋" w:cs="仿宋"/>
          <w:color w:val="auto"/>
          <w:sz w:val="24"/>
          <w:szCs w:val="24"/>
        </w:rPr>
        <w:t>联系人：</w:t>
      </w:r>
      <w:r>
        <w:rPr>
          <w:rFonts w:hint="eastAsia" w:ascii="仿宋" w:hAnsi="仿宋" w:eastAsia="仿宋" w:cs="仿宋"/>
          <w:color w:val="auto"/>
          <w:sz w:val="24"/>
          <w:szCs w:val="24"/>
          <w:lang w:eastAsia="zh-CN"/>
        </w:rPr>
        <w:t>杜</w:t>
      </w:r>
      <w:r>
        <w:rPr>
          <w:rFonts w:hint="eastAsia" w:ascii="仿宋" w:hAnsi="仿宋" w:eastAsia="仿宋" w:cs="仿宋"/>
          <w:color w:val="auto"/>
          <w:sz w:val="24"/>
          <w:szCs w:val="24"/>
          <w:lang w:val="en-US" w:eastAsia="zh-CN"/>
        </w:rPr>
        <w:t>老师</w:t>
      </w:r>
      <w:r>
        <w:rPr>
          <w:rFonts w:hint="eastAsia" w:ascii="仿宋" w:hAnsi="仿宋" w:eastAsia="仿宋" w:cs="仿宋"/>
          <w:color w:val="auto"/>
          <w:sz w:val="24"/>
          <w:szCs w:val="24"/>
        </w:rPr>
        <w:t xml:space="preserve">  </w:t>
      </w:r>
    </w:p>
    <w:p w14:paraId="34D1D6FD">
      <w:pPr>
        <w:spacing w:line="360" w:lineRule="auto"/>
        <w:ind w:firstLine="482"/>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rPr>
        <w:t>电  话：</w:t>
      </w:r>
      <w:r>
        <w:rPr>
          <w:rFonts w:hint="eastAsia" w:ascii="仿宋" w:hAnsi="仿宋" w:eastAsia="仿宋" w:cs="仿宋"/>
          <w:color w:val="auto"/>
          <w:sz w:val="24"/>
          <w:szCs w:val="24"/>
          <w:lang w:val="en-US" w:eastAsia="zh-CN"/>
        </w:rPr>
        <w:t>13650560343</w:t>
      </w:r>
    </w:p>
    <w:p w14:paraId="544206EA">
      <w:pPr>
        <w:spacing w:line="360" w:lineRule="auto"/>
        <w:ind w:firstLine="482"/>
        <w:rPr>
          <w:rFonts w:hint="eastAsia" w:ascii="仿宋" w:hAnsi="仿宋" w:eastAsia="仿宋" w:cs="仿宋"/>
          <w:color w:val="auto"/>
          <w:sz w:val="24"/>
          <w:szCs w:val="24"/>
        </w:rPr>
      </w:pPr>
      <w:r>
        <w:rPr>
          <w:rFonts w:hint="eastAsia" w:ascii="仿宋" w:hAnsi="仿宋" w:eastAsia="仿宋" w:cs="仿宋"/>
          <w:color w:val="auto"/>
          <w:sz w:val="24"/>
          <w:szCs w:val="24"/>
        </w:rPr>
        <w:t>联系地址：重庆市大足区棠香街道大铜路污水处理厂内</w:t>
      </w:r>
    </w:p>
    <w:p w14:paraId="0F50931E">
      <w:pPr>
        <w:spacing w:line="360" w:lineRule="auto"/>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（二）采购代理机构：</w:t>
      </w:r>
      <w:r>
        <w:rPr>
          <w:rFonts w:hint="eastAsia" w:ascii="仿宋" w:hAnsi="仿宋" w:eastAsia="仿宋" w:cs="仿宋"/>
          <w:color w:val="auto"/>
          <w:sz w:val="24"/>
          <w:szCs w:val="24"/>
          <w:lang w:val="en-US" w:eastAsia="zh-CN"/>
        </w:rPr>
        <w:t>重庆修为工程咨询有限公司</w:t>
      </w:r>
    </w:p>
    <w:p w14:paraId="3E45B15D">
      <w:pPr>
        <w:spacing w:line="360" w:lineRule="auto"/>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联系人：</w:t>
      </w:r>
      <w:r>
        <w:rPr>
          <w:rFonts w:hint="eastAsia" w:ascii="仿宋" w:hAnsi="仿宋" w:eastAsia="仿宋" w:cs="仿宋"/>
          <w:color w:val="auto"/>
          <w:sz w:val="24"/>
          <w:szCs w:val="24"/>
          <w:lang w:eastAsia="zh-CN"/>
        </w:rPr>
        <w:t>李老师</w:t>
      </w:r>
    </w:p>
    <w:p w14:paraId="33DB7698">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电  话：18375669701</w:t>
      </w:r>
    </w:p>
    <w:p w14:paraId="39680700">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地  址：重庆市两江新区天宫殿街道财富大道2号28-7</w:t>
      </w:r>
    </w:p>
    <w:p w14:paraId="00A595FA">
      <w:pPr>
        <w:spacing w:line="360" w:lineRule="auto"/>
        <w:ind w:firstLine="480" w:firstLineChars="200"/>
        <w:rPr>
          <w:rFonts w:hint="eastAsia" w:ascii="仿宋" w:hAnsi="仿宋" w:eastAsia="仿宋" w:cs="仿宋"/>
          <w:color w:val="auto"/>
          <w:sz w:val="24"/>
          <w:szCs w:val="24"/>
        </w:rPr>
      </w:pPr>
    </w:p>
    <w:p w14:paraId="4FCB0267">
      <w:pPr>
        <w:pStyle w:val="4"/>
        <w:spacing w:line="360" w:lineRule="auto"/>
        <w:jc w:val="center"/>
        <w:rPr>
          <w:rFonts w:hint="eastAsia" w:ascii="仿宋" w:hAnsi="仿宋" w:eastAsia="仿宋" w:cs="仿宋"/>
          <w:b/>
          <w:color w:val="auto"/>
          <w:sz w:val="36"/>
          <w:szCs w:val="30"/>
        </w:rPr>
      </w:pPr>
      <w:r>
        <w:rPr>
          <w:rFonts w:hint="eastAsia" w:ascii="仿宋" w:hAnsi="仿宋" w:eastAsia="仿宋" w:cs="仿宋"/>
          <w:color w:val="auto"/>
          <w:sz w:val="24"/>
          <w:szCs w:val="24"/>
        </w:rPr>
        <w:br w:type="page"/>
      </w:r>
      <w:bookmarkStart w:id="50" w:name="_Toc23776"/>
      <w:r>
        <w:rPr>
          <w:rFonts w:hint="eastAsia" w:ascii="仿宋" w:hAnsi="仿宋" w:eastAsia="仿宋" w:cs="仿宋"/>
          <w:b/>
          <w:color w:val="auto"/>
          <w:sz w:val="36"/>
          <w:szCs w:val="30"/>
          <w:lang w:val="en-US" w:eastAsia="zh-CN"/>
        </w:rPr>
        <w:t>第二篇  项目服务需求</w:t>
      </w:r>
      <w:bookmarkEnd w:id="50"/>
    </w:p>
    <w:p w14:paraId="0B20E5F9">
      <w:pPr>
        <w:pStyle w:val="4"/>
        <w:keepNext/>
        <w:keepLines/>
        <w:pageBreakBefore w:val="0"/>
        <w:widowControl w:val="0"/>
        <w:kinsoku/>
        <w:wordWrap/>
        <w:overflowPunct/>
        <w:topLinePunct w:val="0"/>
        <w:autoSpaceDE/>
        <w:autoSpaceDN/>
        <w:bidi w:val="0"/>
        <w:adjustRightInd w:val="0"/>
        <w:snapToGrid w:val="0"/>
        <w:spacing w:before="0" w:after="0" w:line="480" w:lineRule="exact"/>
        <w:textAlignment w:val="auto"/>
        <w:rPr>
          <w:rFonts w:hint="eastAsia" w:ascii="仿宋" w:hAnsi="仿宋" w:eastAsia="仿宋" w:cs="仿宋"/>
          <w:color w:val="auto"/>
          <w:sz w:val="24"/>
        </w:rPr>
      </w:pPr>
      <w:bookmarkStart w:id="51" w:name="_Toc8761"/>
      <w:bookmarkStart w:id="52" w:name="_Toc12525"/>
      <w:bookmarkStart w:id="53" w:name="_Toc12789058"/>
      <w:r>
        <w:rPr>
          <w:rFonts w:hint="eastAsia" w:ascii="仿宋" w:hAnsi="仿宋" w:eastAsia="仿宋" w:cs="仿宋"/>
          <w:color w:val="auto"/>
          <w:sz w:val="24"/>
        </w:rPr>
        <w:t>一、采购内容</w:t>
      </w:r>
      <w:bookmarkEnd w:id="51"/>
      <w:bookmarkEnd w:id="52"/>
    </w:p>
    <w:p w14:paraId="28EE55E4">
      <w:pPr>
        <w:pStyle w:val="4"/>
        <w:keepNext/>
        <w:keepLines/>
        <w:pageBreakBefore w:val="0"/>
        <w:widowControl w:val="0"/>
        <w:kinsoku/>
        <w:wordWrap/>
        <w:overflowPunct/>
        <w:topLinePunct w:val="0"/>
        <w:autoSpaceDE/>
        <w:autoSpaceDN/>
        <w:bidi w:val="0"/>
        <w:adjustRightInd w:val="0"/>
        <w:snapToGrid w:val="0"/>
        <w:spacing w:before="0" w:after="0" w:line="480" w:lineRule="exact"/>
        <w:ind w:firstLine="480" w:firstLineChars="200"/>
        <w:textAlignment w:val="auto"/>
        <w:rPr>
          <w:rFonts w:hint="eastAsia" w:ascii="仿宋" w:hAnsi="仿宋" w:eastAsia="仿宋" w:cs="仿宋"/>
          <w:b w:val="0"/>
          <w:color w:val="auto"/>
          <w:kern w:val="2"/>
          <w:sz w:val="24"/>
          <w:szCs w:val="24"/>
          <w:lang w:val="en-US" w:eastAsia="zh-CN" w:bidi="ar-SA"/>
        </w:rPr>
      </w:pPr>
      <w:bookmarkStart w:id="54" w:name="_Toc3395"/>
      <w:r>
        <w:rPr>
          <w:rFonts w:hint="eastAsia" w:ascii="仿宋" w:hAnsi="仿宋" w:eastAsia="仿宋" w:cs="仿宋"/>
          <w:b w:val="0"/>
          <w:color w:val="auto"/>
          <w:kern w:val="2"/>
          <w:sz w:val="24"/>
          <w:szCs w:val="24"/>
          <w:lang w:val="en-US" w:eastAsia="zh-CN" w:bidi="ar-SA"/>
        </w:rPr>
        <w:t>本次采购内容包括文旅集团职工食堂鲜货类食材配送服务，含蔬菜、水产、早餐、水果、鲜豆制品等；并按照采购人通知的时间(自然原因造成的人力不可抗拒因素除外)、数量、品种、品质要求准时送货到指定地点。</w:t>
      </w:r>
    </w:p>
    <w:p w14:paraId="55AE6292">
      <w:pPr>
        <w:pStyle w:val="4"/>
        <w:keepNext/>
        <w:keepLines/>
        <w:pageBreakBefore w:val="0"/>
        <w:widowControl w:val="0"/>
        <w:kinsoku/>
        <w:wordWrap/>
        <w:overflowPunct/>
        <w:topLinePunct w:val="0"/>
        <w:autoSpaceDE/>
        <w:autoSpaceDN/>
        <w:bidi w:val="0"/>
        <w:adjustRightInd w:val="0"/>
        <w:snapToGrid w:val="0"/>
        <w:spacing w:before="0" w:after="0" w:line="480" w:lineRule="exact"/>
        <w:textAlignment w:val="auto"/>
        <w:rPr>
          <w:rFonts w:hint="eastAsia" w:ascii="仿宋" w:hAnsi="仿宋" w:eastAsia="仿宋" w:cs="仿宋"/>
          <w:b/>
          <w:color w:val="auto"/>
          <w:sz w:val="24"/>
          <w:lang w:eastAsia="zh-CN"/>
        </w:rPr>
      </w:pPr>
      <w:bookmarkStart w:id="55" w:name="_Toc15216"/>
      <w:r>
        <w:rPr>
          <w:rFonts w:hint="eastAsia" w:ascii="仿宋" w:hAnsi="仿宋" w:eastAsia="仿宋" w:cs="仿宋"/>
          <w:b/>
          <w:color w:val="auto"/>
          <w:sz w:val="24"/>
          <w:lang w:eastAsia="zh-CN"/>
        </w:rPr>
        <w:t>二、</w:t>
      </w:r>
      <w:r>
        <w:rPr>
          <w:rFonts w:hint="eastAsia" w:ascii="仿宋" w:hAnsi="仿宋" w:eastAsia="仿宋" w:cs="仿宋"/>
          <w:b/>
          <w:color w:val="auto"/>
          <w:sz w:val="24"/>
        </w:rPr>
        <w:t>服务</w:t>
      </w:r>
      <w:bookmarkEnd w:id="54"/>
      <w:r>
        <w:rPr>
          <w:rFonts w:hint="eastAsia" w:ascii="仿宋" w:hAnsi="仿宋" w:eastAsia="仿宋" w:cs="仿宋"/>
          <w:b/>
          <w:color w:val="auto"/>
          <w:sz w:val="24"/>
          <w:lang w:eastAsia="zh-CN"/>
        </w:rPr>
        <w:t>要求</w:t>
      </w:r>
      <w:bookmarkEnd w:id="55"/>
    </w:p>
    <w:p w14:paraId="7ACACAFD">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bookmarkStart w:id="56" w:name="_Toc21912"/>
      <w:r>
        <w:rPr>
          <w:rFonts w:hint="eastAsia" w:ascii="仿宋" w:hAnsi="仿宋" w:eastAsia="仿宋" w:cs="仿宋"/>
          <w:b w:val="0"/>
          <w:color w:val="auto"/>
          <w:kern w:val="2"/>
          <w:sz w:val="24"/>
          <w:szCs w:val="24"/>
          <w:lang w:val="en-US" w:eastAsia="zh-CN" w:bidi="ar-SA"/>
        </w:rPr>
        <w:t>1、蔬菜类</w:t>
      </w:r>
    </w:p>
    <w:p w14:paraId="16441D1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80" w:firstLineChars="200"/>
        <w:jc w:val="left"/>
        <w:textAlignment w:val="center"/>
        <w:rPr>
          <w:rFonts w:hint="eastAsia" w:ascii="仿宋" w:hAnsi="仿宋" w:eastAsia="仿宋" w:cs="仿宋"/>
          <w:b w:val="0"/>
          <w:color w:val="auto"/>
          <w:kern w:val="2"/>
          <w:sz w:val="24"/>
          <w:szCs w:val="24"/>
          <w:lang w:val="en-US" w:eastAsia="zh-CN" w:bidi="ar-SA"/>
        </w:rPr>
      </w:pPr>
      <w:r>
        <w:rPr>
          <w:rFonts w:hint="default" w:ascii="仿宋" w:hAnsi="仿宋" w:eastAsia="仿宋" w:cs="仿宋"/>
          <w:b w:val="0"/>
          <w:color w:val="auto"/>
          <w:kern w:val="2"/>
          <w:sz w:val="24"/>
          <w:szCs w:val="24"/>
          <w:lang w:val="en-US" w:eastAsia="zh-CN" w:bidi="ar-SA"/>
        </w:rPr>
        <w:t>①</w:t>
      </w:r>
      <w:r>
        <w:rPr>
          <w:rFonts w:hint="eastAsia" w:ascii="仿宋" w:hAnsi="仿宋" w:eastAsia="仿宋" w:cs="仿宋"/>
          <w:b w:val="0"/>
          <w:color w:val="auto"/>
          <w:kern w:val="2"/>
          <w:sz w:val="24"/>
          <w:szCs w:val="24"/>
          <w:lang w:val="en-US" w:eastAsia="zh-CN" w:bidi="ar-SA"/>
        </w:rPr>
        <w:t>叶菜类（含食用菌）：外形正常，叶梗光滑幼嫩，不干瘪凋萎，叶片枯黄程度不能超过5%，色泽正常。去除根须，不含土，无虫害，大白菜、卷心菜切开芯不变黑，无腐烂情形，无明显浸水现象；农药残留不超标。</w:t>
      </w:r>
    </w:p>
    <w:p w14:paraId="173ADEF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80" w:firstLineChars="200"/>
        <w:jc w:val="left"/>
        <w:textAlignment w:val="center"/>
        <w:rPr>
          <w:rFonts w:hint="eastAsia" w:ascii="仿宋" w:hAnsi="仿宋" w:eastAsia="仿宋" w:cs="仿宋"/>
          <w:b w:val="0"/>
          <w:color w:val="auto"/>
          <w:kern w:val="2"/>
          <w:sz w:val="24"/>
          <w:szCs w:val="24"/>
          <w:lang w:val="en-US" w:eastAsia="zh-CN" w:bidi="ar-SA"/>
        </w:rPr>
      </w:pPr>
      <w:r>
        <w:rPr>
          <w:rFonts w:hint="default" w:ascii="仿宋" w:hAnsi="仿宋" w:eastAsia="仿宋" w:cs="仿宋"/>
          <w:b w:val="0"/>
          <w:color w:val="auto"/>
          <w:kern w:val="2"/>
          <w:sz w:val="24"/>
          <w:szCs w:val="24"/>
          <w:lang w:val="en-US" w:eastAsia="zh-CN" w:bidi="ar-SA"/>
        </w:rPr>
        <w:t>②</w:t>
      </w:r>
      <w:r>
        <w:rPr>
          <w:rFonts w:hint="eastAsia" w:ascii="仿宋" w:hAnsi="仿宋" w:eastAsia="仿宋" w:cs="仿宋"/>
          <w:b w:val="0"/>
          <w:color w:val="auto"/>
          <w:kern w:val="2"/>
          <w:sz w:val="24"/>
          <w:szCs w:val="24"/>
          <w:lang w:val="en-US" w:eastAsia="zh-CN" w:bidi="ar-SA"/>
        </w:rPr>
        <w:t>根茎类（如土豆、莴笋）：无虫咬、发芽、发霉现象，无异常斑点，农药残留不超标。</w:t>
      </w:r>
    </w:p>
    <w:p w14:paraId="315CA09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80" w:firstLineChars="200"/>
        <w:jc w:val="left"/>
        <w:textAlignment w:val="center"/>
        <w:rPr>
          <w:rFonts w:hint="eastAsia" w:ascii="仿宋" w:hAnsi="仿宋" w:eastAsia="仿宋" w:cs="仿宋"/>
          <w:b w:val="0"/>
          <w:color w:val="auto"/>
          <w:kern w:val="2"/>
          <w:sz w:val="24"/>
          <w:szCs w:val="24"/>
          <w:lang w:val="en-US" w:eastAsia="zh-CN" w:bidi="ar-SA"/>
        </w:rPr>
      </w:pPr>
      <w:r>
        <w:rPr>
          <w:rFonts w:hint="default" w:ascii="仿宋" w:hAnsi="仿宋" w:eastAsia="仿宋" w:cs="仿宋"/>
          <w:b w:val="0"/>
          <w:color w:val="auto"/>
          <w:kern w:val="2"/>
          <w:sz w:val="24"/>
          <w:szCs w:val="24"/>
          <w:lang w:val="en-US" w:eastAsia="zh-CN" w:bidi="ar-SA"/>
        </w:rPr>
        <w:t>③</w:t>
      </w:r>
      <w:r>
        <w:rPr>
          <w:rFonts w:hint="eastAsia" w:ascii="仿宋" w:hAnsi="仿宋" w:eastAsia="仿宋" w:cs="仿宋"/>
          <w:b w:val="0"/>
          <w:color w:val="auto"/>
          <w:kern w:val="2"/>
          <w:sz w:val="24"/>
          <w:szCs w:val="24"/>
          <w:lang w:val="en-US" w:eastAsia="zh-CN" w:bidi="ar-SA"/>
        </w:rPr>
        <w:t>花果类（如西兰花、白花菜）：无虫害，成熟度良好，新鲜固有的色泽鲜明，无发霉发黄，农药残留不超标。</w:t>
      </w:r>
    </w:p>
    <w:p w14:paraId="561841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80" w:firstLineChars="200"/>
        <w:jc w:val="left"/>
        <w:textAlignment w:val="center"/>
        <w:rPr>
          <w:rFonts w:hint="default"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④瓜果类：外表光亮无斑点，有新鲜连接的秧，形状正常、大小均匀，无软塌，成熟度适度。无腐烂，无污染，清洁、新鲜，无异味、无病虫损害；表面挤压损伤程度不超过5%；农药残留不超标。</w:t>
      </w:r>
    </w:p>
    <w:p w14:paraId="1113634A">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2、</w:t>
      </w:r>
      <w:bookmarkEnd w:id="56"/>
      <w:r>
        <w:rPr>
          <w:rFonts w:hint="eastAsia" w:ascii="仿宋" w:hAnsi="仿宋" w:eastAsia="仿宋" w:cs="仿宋"/>
          <w:b w:val="0"/>
          <w:color w:val="auto"/>
          <w:kern w:val="2"/>
          <w:sz w:val="24"/>
          <w:szCs w:val="24"/>
          <w:lang w:val="en-US" w:eastAsia="zh-CN" w:bidi="ar-SA"/>
        </w:rPr>
        <w:t>水产类</w:t>
      </w:r>
    </w:p>
    <w:p w14:paraId="10057AE1">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新鲜有弹性、鱼鳃鲜红、鱼鳞完整，鱼眼光亮透明等，产品质量必须符合食品卫生安全要求，且符合国家或地方标准。</w:t>
      </w:r>
    </w:p>
    <w:p w14:paraId="285A2446">
      <w:pPr>
        <w:keepNext w:val="0"/>
        <w:keepLines w:val="0"/>
        <w:pageBreakBefore w:val="0"/>
        <w:numPr>
          <w:ilvl w:val="0"/>
          <w:numId w:val="1"/>
        </w:numPr>
        <w:kinsoku/>
        <w:wordWrap/>
        <w:overflowPunct/>
        <w:topLinePunct w:val="0"/>
        <w:autoSpaceDE/>
        <w:autoSpaceDN/>
        <w:bidi w:val="0"/>
        <w:adjustRightInd/>
        <w:spacing w:line="360" w:lineRule="auto"/>
        <w:ind w:left="360" w:leftChars="0" w:firstLine="0" w:firstLineChars="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早餐类</w:t>
      </w:r>
    </w:p>
    <w:p w14:paraId="523854B7">
      <w:pPr>
        <w:pStyle w:val="2"/>
        <w:numPr>
          <w:ilvl w:val="0"/>
          <w:numId w:val="0"/>
        </w:numPr>
        <w:ind w:left="360" w:leftChars="0" w:firstLine="240" w:firstLineChars="100"/>
        <w:rPr>
          <w:rFonts w:hint="eastAsia" w:ascii="仿宋" w:hAnsi="仿宋" w:eastAsia="仿宋" w:cs="仿宋"/>
          <w:b w:val="0"/>
          <w:color w:val="auto"/>
          <w:kern w:val="2"/>
          <w:sz w:val="24"/>
          <w:szCs w:val="24"/>
          <w:lang w:val="en-US" w:eastAsia="zh-CN" w:bidi="ar-SA"/>
        </w:rPr>
      </w:pPr>
      <w:r>
        <w:rPr>
          <w:rFonts w:hint="default" w:ascii="仿宋" w:hAnsi="仿宋" w:eastAsia="仿宋" w:cs="仿宋"/>
          <w:b w:val="0"/>
          <w:color w:val="auto"/>
          <w:kern w:val="2"/>
          <w:sz w:val="24"/>
          <w:szCs w:val="24"/>
          <w:lang w:val="en-US" w:eastAsia="zh-CN" w:bidi="ar-SA"/>
        </w:rPr>
        <w:t>白糕、蛋糕、麻圆面条，米线，油条，饺子等</w:t>
      </w:r>
      <w:r>
        <w:rPr>
          <w:rFonts w:hint="eastAsia" w:ascii="仿宋" w:hAnsi="仿宋" w:eastAsia="仿宋" w:cs="仿宋"/>
          <w:b w:val="0"/>
          <w:color w:val="auto"/>
          <w:kern w:val="2"/>
          <w:sz w:val="24"/>
          <w:szCs w:val="24"/>
          <w:lang w:val="en-US" w:eastAsia="zh-CN" w:bidi="ar-SA"/>
        </w:rPr>
        <w:t>，必须取得《食品生产许可证》，在保质期内。包装完好，产品质量必须符合食品卫生安全要求，且符合国家或地方标准。</w:t>
      </w:r>
    </w:p>
    <w:p w14:paraId="477F9182">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4、水果类</w:t>
      </w:r>
    </w:p>
    <w:p w14:paraId="2C72298D">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色泽鲜艳，形体完整，个体均匀，无腐烂、霉变、异味、虫蛀、寄生虫等，产品质量必须符合食品卫生安全要求，且符合国家或地方标准。</w:t>
      </w:r>
    </w:p>
    <w:p w14:paraId="44047B34">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5、鲜豆制品</w:t>
      </w:r>
    </w:p>
    <w:p w14:paraId="589DADBD">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default"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豆腐要符合国家相关质量标准，呈均匀的白色或浅黄色，有光泽，块形完整，软硬适度，质地细嫩，有豆腐特有的香味，无酸、涩等不良气味。豆干要符合国家相关质量标准，呈均匀的黄色，有光泽，块形完整，质地细腻，边角整齐，有一定的弹性，切开处挤压不出水、无杂质，有豆腐干特有的香味，无酸、涩等不良气味，滋味纯正，咸淡适口。</w:t>
      </w:r>
    </w:p>
    <w:p w14:paraId="29A09B05">
      <w:pPr>
        <w:pStyle w:val="4"/>
        <w:keepNext/>
        <w:keepLines/>
        <w:pageBreakBefore w:val="0"/>
        <w:widowControl w:val="0"/>
        <w:kinsoku/>
        <w:wordWrap/>
        <w:overflowPunct/>
        <w:topLinePunct w:val="0"/>
        <w:autoSpaceDE/>
        <w:autoSpaceDN/>
        <w:bidi w:val="0"/>
        <w:adjustRightInd w:val="0"/>
        <w:snapToGrid w:val="0"/>
        <w:spacing w:before="0" w:after="0" w:line="480" w:lineRule="exact"/>
        <w:textAlignment w:val="auto"/>
        <w:rPr>
          <w:rFonts w:hint="eastAsia" w:ascii="仿宋" w:hAnsi="仿宋" w:eastAsia="仿宋" w:cs="仿宋"/>
          <w:b/>
          <w:color w:val="auto"/>
          <w:sz w:val="24"/>
          <w:lang w:eastAsia="zh-CN"/>
        </w:rPr>
      </w:pPr>
      <w:bookmarkStart w:id="57" w:name="_Toc17354"/>
      <w:r>
        <w:rPr>
          <w:rFonts w:hint="eastAsia" w:ascii="仿宋" w:hAnsi="仿宋" w:eastAsia="仿宋" w:cs="仿宋"/>
          <w:b/>
          <w:color w:val="auto"/>
          <w:sz w:val="24"/>
          <w:lang w:eastAsia="zh-CN"/>
        </w:rPr>
        <w:t>三、其他要求</w:t>
      </w:r>
      <w:bookmarkEnd w:id="57"/>
    </w:p>
    <w:p w14:paraId="0470FFDA">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1、具有外包装的食材，其外包装标识应标注清楚净含量、品名、执行标准号；生产者（或销售者）名称、地址、商标；生产日期、保质期和相应的质量等级。另外，外包装的图案、文字的印刷应清晰、端正、不褪色。</w:t>
      </w:r>
    </w:p>
    <w:p w14:paraId="5A5C4105">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2、所有预包装食品须保证规格品种完全符合采购人要求，包装规格、口味、种类齐全。保质期在3天以内的，必须是送货当天生产的货品；保质期在7天以内的，送货日不超过生产日两日；保质期在6个月以内的，送货日至保质期到期日的天数必须大于保质期天数的三分之二；保质期在6个月以上的，送货日至保质期到期日的天数必须大于保质期天数的二分之一。</w:t>
      </w:r>
    </w:p>
    <w:p w14:paraId="6D04BBD2">
      <w:pPr>
        <w:numPr>
          <w:ilvl w:val="0"/>
          <w:numId w:val="0"/>
        </w:numPr>
        <w:spacing w:line="440" w:lineRule="exact"/>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3、产品不得有腐败变质、油脂酸败、霉变、生虫、污秽不洁、混有异物或其他感官性状异常、对人体有害物质。</w:t>
      </w:r>
    </w:p>
    <w:p w14:paraId="0BD5AF34">
      <w:pPr>
        <w:numPr>
          <w:ilvl w:val="0"/>
          <w:numId w:val="0"/>
        </w:numPr>
        <w:spacing w:line="440" w:lineRule="exact"/>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4、产品不得含有致病性寄生虫、微生物，或者微生物含量超过国家限定标准。</w:t>
      </w:r>
    </w:p>
    <w:p w14:paraId="1C160E76">
      <w:pPr>
        <w:numPr>
          <w:ilvl w:val="0"/>
          <w:numId w:val="0"/>
        </w:numPr>
        <w:spacing w:line="440" w:lineRule="exact"/>
        <w:ind w:firstLine="480" w:firstLineChars="200"/>
        <w:rPr>
          <w:rFonts w:hint="eastAsia"/>
          <w:color w:val="auto"/>
          <w:lang w:val="en-US" w:eastAsia="zh-CN"/>
        </w:rPr>
      </w:pPr>
      <w:r>
        <w:rPr>
          <w:rFonts w:hint="eastAsia" w:ascii="仿宋" w:hAnsi="仿宋" w:eastAsia="仿宋" w:cs="仿宋"/>
          <w:color w:val="auto"/>
          <w:sz w:val="24"/>
          <w:szCs w:val="24"/>
          <w:lang w:val="en-US" w:eastAsia="zh-CN"/>
        </w:rPr>
        <w:t>5、产品不得掺假、掺杂、伪造、杜绝三无产品和临期产品。</w:t>
      </w:r>
    </w:p>
    <w:p w14:paraId="4B839512">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6、所有采购食材除达到上表中分类分项的标准外，均需达到以下要求：</w:t>
      </w:r>
    </w:p>
    <w:p w14:paraId="784552A3">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（1）GB2760-2011《食品安全国家标准 食品添加剂使用标准》</w:t>
      </w:r>
    </w:p>
    <w:p w14:paraId="5A60F901">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（2）GB2762-2012《食品安全国家标准 食品中污染物限量标准》</w:t>
      </w:r>
    </w:p>
    <w:p w14:paraId="08A64E61">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（3）GB2763-2012《食品安全国家标准 食品中农药最大残留限量》</w:t>
      </w:r>
    </w:p>
    <w:p w14:paraId="2A0E7FB4">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（4）GB31621-2014《食品安全国家标准食品经营过程卫生规范》</w:t>
      </w:r>
    </w:p>
    <w:p w14:paraId="0128750F">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（5）GB7718-2004《预包装食品标签通则》</w:t>
      </w:r>
    </w:p>
    <w:p w14:paraId="7920B74C">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（6）每种明细产品必须标明品名、规格、等级、生产厂家等内容。</w:t>
      </w:r>
    </w:p>
    <w:p w14:paraId="6C32A4C4">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（7）所有产品必须符合新颁布的《食品安全法》及其他相关法规要求。</w:t>
      </w:r>
    </w:p>
    <w:p w14:paraId="28C8AE48">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7、安全责任，供货人员要求：</w:t>
      </w:r>
    </w:p>
    <w:p w14:paraId="22900370">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（1）供应商供货人员和车辆的安全责任，由供应商承担。</w:t>
      </w:r>
    </w:p>
    <w:p w14:paraId="653545C0">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（2）供应商所供产品出现质量问题，供应商应承担全部法律、经济责任。</w:t>
      </w:r>
    </w:p>
    <w:p w14:paraId="0F31DAB8">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（3）供应商在供货期间，因自身原因造成事故事件等，所有后果由供应商自行承担。</w:t>
      </w:r>
    </w:p>
    <w:p w14:paraId="061840C8">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color w:val="auto"/>
          <w:lang w:val="en-US" w:eastAsia="zh-CN"/>
        </w:rPr>
      </w:pPr>
      <w:r>
        <w:rPr>
          <w:rFonts w:hint="eastAsia" w:ascii="仿宋" w:hAnsi="仿宋" w:eastAsia="仿宋" w:cs="仿宋"/>
          <w:b w:val="0"/>
          <w:color w:val="auto"/>
          <w:kern w:val="2"/>
          <w:sz w:val="24"/>
          <w:szCs w:val="24"/>
          <w:lang w:val="en-US" w:eastAsia="zh-CN" w:bidi="ar-SA"/>
        </w:rPr>
        <w:t>（4）投标人承诺承诺为本项目购买安全责任险</w:t>
      </w:r>
      <w:r>
        <w:rPr>
          <w:rFonts w:hint="eastAsia" w:ascii="仿宋" w:hAnsi="仿宋" w:eastAsia="仿宋" w:cs="仿宋"/>
          <w:b/>
          <w:bCs/>
          <w:color w:val="auto"/>
          <w:kern w:val="2"/>
          <w:sz w:val="24"/>
          <w:szCs w:val="24"/>
          <w:lang w:val="en-US" w:eastAsia="zh-CN" w:bidi="ar-SA"/>
        </w:rPr>
        <w:t>（提供承诺书并加盖投标人公章，格式自拟）。</w:t>
      </w:r>
    </w:p>
    <w:p w14:paraId="3E7FD901">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default"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8、配送要求</w:t>
      </w:r>
    </w:p>
    <w:p w14:paraId="644D31E5">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（1）供应商须为供货人员配备符合岗位要求的健康证明及岗前培训记录，并确保其熟悉食品安全操作规范；</w:t>
      </w:r>
    </w:p>
    <w:p w14:paraId="63C63671">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（2）运输车辆须保持清洁、密闭，不得与有毒有害物品混装，且应具备温控能力以保障易腐食品品质；</w:t>
      </w:r>
    </w:p>
    <w:p w14:paraId="2758B776">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（3）供货人员进入采购方场所须服从统一管理，全程佩戴工装、口罩及手套，严禁携带个人食品或无关物品入场。</w:t>
      </w:r>
    </w:p>
    <w:p w14:paraId="6AC34342">
      <w:pPr>
        <w:numPr>
          <w:ilvl w:val="0"/>
          <w:numId w:val="0"/>
        </w:numPr>
        <w:spacing w:line="440" w:lineRule="exact"/>
        <w:ind w:firstLine="480" w:firstLineChars="200"/>
        <w:rPr>
          <w:rFonts w:hint="eastAsia" w:ascii="仿宋" w:hAnsi="仿宋" w:eastAsia="仿宋" w:cs="仿宋"/>
          <w:color w:val="auto"/>
          <w:sz w:val="24"/>
          <w:szCs w:val="24"/>
          <w:lang w:val="en-US" w:eastAsia="zh-CN"/>
        </w:rPr>
      </w:pPr>
      <w:bookmarkStart w:id="58" w:name="_Toc28291"/>
      <w:bookmarkStart w:id="59" w:name="_Toc24829"/>
      <w:bookmarkStart w:id="60" w:name="_Toc26004"/>
      <w:bookmarkStart w:id="61" w:name="_Toc15508538"/>
      <w:bookmarkStart w:id="62" w:name="_Toc429584853"/>
      <w:bookmarkStart w:id="63" w:name="_Toc19358"/>
      <w:bookmarkStart w:id="64" w:name="_Toc429584806"/>
      <w:r>
        <w:rPr>
          <w:rFonts w:hint="eastAsia" w:ascii="仿宋" w:hAnsi="仿宋" w:eastAsia="仿宋" w:cs="仿宋"/>
          <w:color w:val="auto"/>
          <w:sz w:val="24"/>
          <w:szCs w:val="24"/>
          <w:lang w:val="en-US" w:eastAsia="zh-CN"/>
        </w:rPr>
        <w:t>（4）货物分批次配送，每次所需干货、副食及调料的品种及数量以采购人的通知为准。</w:t>
      </w:r>
    </w:p>
    <w:p w14:paraId="33175C29">
      <w:pPr>
        <w:numPr>
          <w:ilvl w:val="0"/>
          <w:numId w:val="0"/>
        </w:numPr>
        <w:spacing w:line="440" w:lineRule="exact"/>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按照预定货物的品种、数量、质量、时间每天按时配送至指定地点。如遇特殊情况，接到采购人通知后2小时配送到位。由采购人验收人员组织现场复称、验收后入库。所有配送食材由供应商自行留样以备抽检。</w:t>
      </w:r>
    </w:p>
    <w:bookmarkEnd w:id="58"/>
    <w:bookmarkEnd w:id="59"/>
    <w:bookmarkEnd w:id="60"/>
    <w:bookmarkEnd w:id="61"/>
    <w:bookmarkEnd w:id="62"/>
    <w:bookmarkEnd w:id="63"/>
    <w:bookmarkEnd w:id="64"/>
    <w:p w14:paraId="0DAE176F">
      <w:pPr>
        <w:pStyle w:val="4"/>
        <w:spacing w:before="0" w:after="0" w:line="360" w:lineRule="auto"/>
        <w:jc w:val="center"/>
        <w:rPr>
          <w:rFonts w:hint="eastAsia" w:ascii="仿宋" w:hAnsi="仿宋" w:eastAsia="仿宋" w:cs="仿宋"/>
          <w:b w:val="0"/>
          <w:color w:val="auto"/>
          <w:sz w:val="36"/>
          <w:szCs w:val="30"/>
        </w:rPr>
      </w:pPr>
      <w:r>
        <w:rPr>
          <w:rFonts w:hint="eastAsia" w:ascii="仿宋" w:hAnsi="仿宋" w:eastAsia="仿宋" w:cs="仿宋"/>
          <w:b w:val="0"/>
          <w:color w:val="auto"/>
          <w:sz w:val="36"/>
          <w:szCs w:val="30"/>
        </w:rPr>
        <w:br w:type="page"/>
      </w:r>
      <w:bookmarkStart w:id="65" w:name="_Toc7388"/>
      <w:r>
        <w:rPr>
          <w:rFonts w:hint="eastAsia" w:ascii="仿宋" w:hAnsi="仿宋" w:eastAsia="仿宋" w:cs="仿宋"/>
          <w:b w:val="0"/>
          <w:color w:val="auto"/>
          <w:sz w:val="36"/>
          <w:szCs w:val="30"/>
        </w:rPr>
        <w:t xml:space="preserve">第三篇  </w:t>
      </w:r>
      <w:bookmarkEnd w:id="53"/>
      <w:r>
        <w:rPr>
          <w:rFonts w:hint="eastAsia" w:ascii="仿宋" w:hAnsi="仿宋" w:eastAsia="仿宋" w:cs="仿宋"/>
          <w:b w:val="0"/>
          <w:color w:val="auto"/>
          <w:sz w:val="36"/>
          <w:szCs w:val="30"/>
        </w:rPr>
        <w:t>项目商务需求</w:t>
      </w:r>
      <w:bookmarkEnd w:id="65"/>
    </w:p>
    <w:p w14:paraId="477D21DE">
      <w:pPr>
        <w:pStyle w:val="5"/>
        <w:spacing w:before="0" w:after="0" w:line="360" w:lineRule="auto"/>
        <w:rPr>
          <w:rFonts w:hint="eastAsia" w:ascii="仿宋" w:hAnsi="仿宋" w:eastAsia="仿宋" w:cs="仿宋"/>
          <w:color w:val="auto"/>
          <w:sz w:val="24"/>
          <w:szCs w:val="24"/>
        </w:rPr>
      </w:pPr>
      <w:bookmarkStart w:id="66" w:name="_Toc344475120"/>
      <w:bookmarkStart w:id="67" w:name="_Toc30580"/>
      <w:r>
        <w:rPr>
          <w:rFonts w:hint="eastAsia" w:ascii="仿宋" w:hAnsi="仿宋" w:eastAsia="仿宋" w:cs="仿宋"/>
          <w:color w:val="auto"/>
          <w:sz w:val="24"/>
          <w:szCs w:val="24"/>
        </w:rPr>
        <w:t>一、服务期、地点及验收方式</w:t>
      </w:r>
      <w:bookmarkEnd w:id="66"/>
      <w:bookmarkEnd w:id="67"/>
    </w:p>
    <w:p w14:paraId="7FC9B80A">
      <w:pPr>
        <w:pStyle w:val="9"/>
        <w:spacing w:line="360" w:lineRule="auto"/>
        <w:ind w:firstLine="480" w:firstLineChars="200"/>
        <w:rPr>
          <w:rFonts w:hint="default" w:ascii="仿宋" w:hAnsi="仿宋" w:eastAsia="仿宋" w:cs="仿宋"/>
          <w:color w:val="auto"/>
          <w:sz w:val="24"/>
          <w:szCs w:val="24"/>
          <w:lang w:val="en-US"/>
        </w:rPr>
      </w:pPr>
      <w:r>
        <w:rPr>
          <w:rFonts w:hint="eastAsia" w:ascii="仿宋" w:hAnsi="仿宋" w:eastAsia="仿宋" w:cs="仿宋"/>
          <w:color w:val="auto"/>
          <w:sz w:val="24"/>
          <w:szCs w:val="24"/>
        </w:rPr>
        <w:t>（一）服务期：</w:t>
      </w:r>
      <w:r>
        <w:rPr>
          <w:rFonts w:hint="eastAsia" w:ascii="仿宋" w:hAnsi="仿宋" w:eastAsia="仿宋" w:cs="仿宋"/>
          <w:color w:val="auto"/>
          <w:sz w:val="24"/>
          <w:szCs w:val="24"/>
          <w:lang w:val="en-US" w:eastAsia="zh-CN"/>
        </w:rPr>
        <w:t>从采购合同签订之日起1年。</w:t>
      </w:r>
    </w:p>
    <w:p w14:paraId="27FA6A45">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（二）服务地点：大足区。</w:t>
      </w:r>
    </w:p>
    <w:p w14:paraId="522F8176">
      <w:pPr>
        <w:pStyle w:val="9"/>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（三）验收方式</w:t>
      </w:r>
    </w:p>
    <w:p w14:paraId="341F735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bookmarkStart w:id="68" w:name="_Toc344475121"/>
      <w:r>
        <w:rPr>
          <w:rFonts w:hint="eastAsia" w:ascii="仿宋" w:hAnsi="仿宋" w:eastAsia="仿宋" w:cs="仿宋"/>
          <w:color w:val="auto"/>
          <w:sz w:val="24"/>
          <w:szCs w:val="24"/>
          <w:lang w:val="en-US" w:eastAsia="zh-CN"/>
        </w:rPr>
        <w:t>1.货物到达现场后，供应商应在甲方收货员、厨师在场情况下当面进行感官检验、外观检验或试用检验等，若产品外观、包装、质量不能达到收货标准，采购人拒收配送物品，供应商应无条件迅速补充合格产品，不得影响正常开餐。对符合要求的产品当场作出记录，双方签字确认。</w:t>
      </w:r>
    </w:p>
    <w:p w14:paraId="4674150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提供货物未达到采购文件规定要求的，采购人向供应商出具服务不合格书面通知，对采购人造成损失的，由供应商承担一切责任，并赔偿所造成损失。如供应商在服务期内出现货品累计5次以上不合格情况的，采购人可解除合同。</w:t>
      </w:r>
    </w:p>
    <w:p w14:paraId="1D26B71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采购人组织定期或不定期货品抽检和送检。对检验不合格产品无条件退、换货外，需按双方约定予以处理。如乙方存在有短斤少两或其他原因导致甲方不能按时就餐情况等情况，发现一次支付违约金2000元，发生两次及以上的或者有严重质量问题（霉烂、变质的等），甲方有权直接解除合同，乙方缴纳的履约保证金不予退还。</w:t>
      </w:r>
    </w:p>
    <w:p w14:paraId="38FA029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4.因验收货物时不能直接判断质量的，在使用过程中发现不合格商品，供应商应作退货处理。</w:t>
      </w:r>
    </w:p>
    <w:p w14:paraId="2CAD918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5.凡按重量计量物品，均以物品净重方式计量结算。</w:t>
      </w:r>
    </w:p>
    <w:p w14:paraId="220F33F5">
      <w:pPr>
        <w:pStyle w:val="5"/>
        <w:spacing w:before="0" w:after="0" w:line="360" w:lineRule="auto"/>
        <w:rPr>
          <w:rFonts w:hint="eastAsia" w:ascii="仿宋" w:hAnsi="仿宋" w:eastAsia="仿宋" w:cs="仿宋"/>
          <w:color w:val="auto"/>
          <w:sz w:val="24"/>
          <w:szCs w:val="24"/>
        </w:rPr>
      </w:pPr>
      <w:bookmarkStart w:id="69" w:name="_Toc16824"/>
      <w:r>
        <w:rPr>
          <w:rFonts w:hint="eastAsia" w:ascii="仿宋" w:hAnsi="仿宋" w:eastAsia="仿宋" w:cs="仿宋"/>
          <w:color w:val="auto"/>
          <w:sz w:val="24"/>
          <w:szCs w:val="24"/>
        </w:rPr>
        <w:t>二、</w:t>
      </w:r>
      <w:bookmarkEnd w:id="68"/>
      <w:r>
        <w:rPr>
          <w:rFonts w:hint="eastAsia" w:ascii="仿宋" w:hAnsi="仿宋" w:eastAsia="仿宋" w:cs="仿宋"/>
          <w:color w:val="auto"/>
          <w:sz w:val="24"/>
          <w:szCs w:val="24"/>
        </w:rPr>
        <w:t>报价要求</w:t>
      </w:r>
      <w:bookmarkEnd w:id="69"/>
    </w:p>
    <w:p w14:paraId="75BAB5E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bookmarkStart w:id="70" w:name="_Toc10150"/>
      <w:bookmarkStart w:id="71" w:name="_Toc9114"/>
      <w:bookmarkStart w:id="72" w:name="_Toc28829"/>
      <w:r>
        <w:rPr>
          <w:rFonts w:hint="eastAsia" w:ascii="仿宋" w:hAnsi="仿宋" w:eastAsia="仿宋" w:cs="仿宋"/>
          <w:color w:val="auto"/>
          <w:sz w:val="24"/>
          <w:szCs w:val="24"/>
          <w:lang w:val="en-US" w:eastAsia="zh-CN"/>
        </w:rPr>
        <w:t>1、</w:t>
      </w:r>
      <w:bookmarkEnd w:id="70"/>
      <w:bookmarkEnd w:id="71"/>
      <w:bookmarkEnd w:id="72"/>
      <w:bookmarkStart w:id="73" w:name="_Toc22019"/>
      <w:bookmarkStart w:id="74" w:name="_Toc26496"/>
      <w:bookmarkStart w:id="75" w:name="_Toc7207"/>
      <w:bookmarkStart w:id="76" w:name="_Toc12811"/>
      <w:bookmarkStart w:id="77" w:name="_Toc5934"/>
      <w:bookmarkStart w:id="78" w:name="_Toc32650"/>
      <w:bookmarkStart w:id="79" w:name="_Toc26823"/>
      <w:bookmarkStart w:id="80" w:name="_Toc22670"/>
      <w:bookmarkStart w:id="81" w:name="_Toc1063"/>
      <w:bookmarkStart w:id="82" w:name="_Toc76462330"/>
      <w:bookmarkStart w:id="83" w:name="_Toc344475122"/>
      <w:bookmarkStart w:id="84" w:name="_Toc106030885"/>
      <w:r>
        <w:rPr>
          <w:rFonts w:hint="eastAsia" w:ascii="仿宋" w:hAnsi="仿宋" w:eastAsia="仿宋" w:cs="仿宋"/>
          <w:color w:val="auto"/>
          <w:sz w:val="24"/>
          <w:szCs w:val="24"/>
        </w:rPr>
        <w:t>本次报价</w:t>
      </w:r>
      <w:r>
        <w:rPr>
          <w:rFonts w:hint="eastAsia" w:ascii="仿宋" w:hAnsi="仿宋" w:eastAsia="仿宋" w:cs="仿宋"/>
          <w:color w:val="auto"/>
          <w:sz w:val="24"/>
          <w:szCs w:val="24"/>
          <w:lang w:eastAsia="zh-CN"/>
        </w:rPr>
        <w:t>为折扣报价</w:t>
      </w:r>
      <w:r>
        <w:rPr>
          <w:rFonts w:hint="eastAsia" w:ascii="仿宋" w:hAnsi="仿宋" w:eastAsia="仿宋" w:cs="仿宋"/>
          <w:color w:val="auto"/>
          <w:sz w:val="24"/>
          <w:szCs w:val="24"/>
        </w:rPr>
        <w:t>，包含：</w:t>
      </w:r>
      <w:r>
        <w:rPr>
          <w:rFonts w:hint="eastAsia" w:ascii="仿宋" w:hAnsi="仿宋" w:eastAsia="仿宋" w:cs="仿宋"/>
          <w:color w:val="auto"/>
          <w:sz w:val="24"/>
          <w:szCs w:val="24"/>
          <w:lang w:eastAsia="zh-CN"/>
        </w:rPr>
        <w:t>食材</w:t>
      </w:r>
      <w:r>
        <w:rPr>
          <w:rFonts w:hint="eastAsia" w:ascii="仿宋" w:hAnsi="仿宋" w:eastAsia="仿宋" w:cs="仿宋"/>
          <w:color w:val="auto"/>
          <w:sz w:val="24"/>
          <w:szCs w:val="24"/>
        </w:rPr>
        <w:t>成本费、食材二次加工费</w:t>
      </w:r>
      <w:r>
        <w:rPr>
          <w:rFonts w:hint="eastAsia" w:ascii="仿宋" w:hAnsi="仿宋" w:eastAsia="仿宋" w:cs="仿宋"/>
          <w:color w:val="auto"/>
          <w:sz w:val="24"/>
          <w:szCs w:val="24"/>
          <w:lang w:val="en-US" w:eastAsia="zh-CN"/>
        </w:rPr>
        <w:t xml:space="preserve">、运输费（含装卸费）、保险费、人工费、税费等货到采购人指定地点的所有费用。因成交供应商自身原因造成漏报、少报皆由其自行承担责任，采购人不再补偿。      </w:t>
      </w:r>
    </w:p>
    <w:p w14:paraId="2C39475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 xml:space="preserve">  2、投标货品中无论多少种类的肉品均只有一个折扣报价，若中标后，所有肉品种类按照此报价折扣计算供货价格，若出现了多个报价，则为无效投标。</w:t>
      </w:r>
    </w:p>
    <w:p w14:paraId="0AC155C0">
      <w:pPr>
        <w:pStyle w:val="5"/>
        <w:spacing w:before="0" w:after="0" w:line="360" w:lineRule="auto"/>
        <w:rPr>
          <w:rFonts w:hint="eastAsia" w:ascii="仿宋" w:hAnsi="仿宋" w:eastAsia="仿宋" w:cs="仿宋"/>
          <w:b/>
          <w:color w:val="auto"/>
          <w:sz w:val="24"/>
          <w:szCs w:val="24"/>
        </w:rPr>
      </w:pPr>
      <w:bookmarkStart w:id="85" w:name="_Toc29304"/>
      <w:r>
        <w:rPr>
          <w:rFonts w:hint="eastAsia" w:ascii="仿宋" w:hAnsi="仿宋" w:eastAsia="仿宋" w:cs="仿宋"/>
          <w:b/>
          <w:color w:val="auto"/>
          <w:sz w:val="24"/>
          <w:szCs w:val="24"/>
        </w:rPr>
        <w:t>三、质量保证及售后服务</w:t>
      </w:r>
      <w:bookmarkEnd w:id="73"/>
      <w:bookmarkEnd w:id="74"/>
      <w:bookmarkEnd w:id="75"/>
      <w:bookmarkEnd w:id="76"/>
      <w:bookmarkEnd w:id="77"/>
      <w:bookmarkEnd w:id="78"/>
      <w:bookmarkEnd w:id="79"/>
      <w:bookmarkEnd w:id="80"/>
      <w:bookmarkEnd w:id="81"/>
      <w:bookmarkEnd w:id="85"/>
    </w:p>
    <w:p w14:paraId="7BA2A975">
      <w:p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（一）产品质量保证</w:t>
      </w:r>
    </w:p>
    <w:p w14:paraId="0453DBEE">
      <w:pPr>
        <w:numPr>
          <w:ilvl w:val="0"/>
          <w:numId w:val="2"/>
        </w:numPr>
        <w:spacing w:beforeLines="0" w:afterLines="0" w:line="360" w:lineRule="auto"/>
        <w:ind w:left="80" w:leftChars="0" w:firstLine="48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符合国家及行业食用标准，</w:t>
      </w:r>
      <w:r>
        <w:rPr>
          <w:rFonts w:hint="eastAsia" w:ascii="仿宋" w:hAnsi="仿宋" w:eastAsia="仿宋" w:cs="仿宋"/>
          <w:color w:val="auto"/>
          <w:sz w:val="24"/>
          <w:szCs w:val="24"/>
          <w:highlight w:val="none"/>
        </w:rPr>
        <w:t>所有</w:t>
      </w:r>
      <w:r>
        <w:rPr>
          <w:rFonts w:hint="eastAsia" w:ascii="仿宋" w:hAnsi="仿宋" w:eastAsia="仿宋" w:cs="仿宋"/>
          <w:color w:val="auto"/>
          <w:sz w:val="24"/>
          <w:szCs w:val="24"/>
          <w:highlight w:val="none"/>
          <w:lang w:eastAsia="zh-CN"/>
        </w:rPr>
        <w:t>品类</w:t>
      </w:r>
      <w:r>
        <w:rPr>
          <w:rFonts w:hint="eastAsia" w:ascii="仿宋" w:hAnsi="仿宋" w:eastAsia="仿宋" w:cs="仿宋"/>
          <w:color w:val="auto"/>
          <w:sz w:val="24"/>
          <w:szCs w:val="24"/>
          <w:highlight w:val="none"/>
        </w:rPr>
        <w:t>因验收货物时不能直接判断质量的，在使用过程中发现不合格产品，供应商作退货处理。</w:t>
      </w:r>
    </w:p>
    <w:p w14:paraId="31042751">
      <w:pPr>
        <w:numPr>
          <w:ilvl w:val="0"/>
          <w:numId w:val="2"/>
        </w:numPr>
        <w:spacing w:beforeLines="0" w:afterLines="0" w:line="360" w:lineRule="auto"/>
        <w:ind w:left="80" w:leftChars="0" w:firstLine="48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因质量问题发生的食物中毒等事故，由供应商承担经济赔偿责任以及全部法律责任。</w:t>
      </w:r>
    </w:p>
    <w:p w14:paraId="06A818B0">
      <w:p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（二）售后服务内容</w:t>
      </w:r>
    </w:p>
    <w:p w14:paraId="7F8286E5">
      <w:pPr>
        <w:numPr>
          <w:ilvl w:val="0"/>
          <w:numId w:val="3"/>
        </w:num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因市场特殊原因，个别食材品种不能及时提供，供应商应主动与采购人沟通协调，更换品种，满足需要。</w:t>
      </w:r>
    </w:p>
    <w:p w14:paraId="0155D006">
      <w:pPr>
        <w:numPr>
          <w:ilvl w:val="0"/>
          <w:numId w:val="3"/>
        </w:num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lang w:eastAsia="zh-CN"/>
        </w:rPr>
        <w:t>物品</w:t>
      </w:r>
      <w:r>
        <w:rPr>
          <w:rFonts w:hint="eastAsia" w:ascii="仿宋" w:hAnsi="仿宋" w:eastAsia="仿宋" w:cs="仿宋"/>
          <w:color w:val="auto"/>
          <w:kern w:val="0"/>
          <w:sz w:val="24"/>
          <w:szCs w:val="24"/>
          <w:highlight w:val="none"/>
        </w:rPr>
        <w:t>验收中不合格产品，供应商按照采购人规定时间内调换，应不影响正常工作。</w:t>
      </w:r>
    </w:p>
    <w:p w14:paraId="7D689B3D">
      <w:pPr>
        <w:numPr>
          <w:ilvl w:val="0"/>
          <w:numId w:val="3"/>
        </w:num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因配送</w:t>
      </w:r>
      <w:r>
        <w:rPr>
          <w:rFonts w:hint="eastAsia" w:ascii="仿宋" w:hAnsi="仿宋" w:eastAsia="仿宋" w:cs="仿宋"/>
          <w:color w:val="auto"/>
          <w:kern w:val="0"/>
          <w:sz w:val="24"/>
          <w:szCs w:val="24"/>
          <w:highlight w:val="none"/>
          <w:lang w:eastAsia="zh-CN"/>
        </w:rPr>
        <w:t>物品</w:t>
      </w:r>
      <w:r>
        <w:rPr>
          <w:rFonts w:hint="eastAsia" w:ascii="仿宋" w:hAnsi="仿宋" w:eastAsia="仿宋" w:cs="仿宋"/>
          <w:color w:val="auto"/>
          <w:kern w:val="0"/>
          <w:sz w:val="24"/>
          <w:szCs w:val="24"/>
          <w:highlight w:val="none"/>
        </w:rPr>
        <w:t>质量导致出现食品安全事故，供应商有义务协助处理相关事宜。</w:t>
      </w:r>
    </w:p>
    <w:p w14:paraId="6F5A7170">
      <w:pPr>
        <w:pStyle w:val="4"/>
        <w:numPr>
          <w:ilvl w:val="0"/>
          <w:numId w:val="4"/>
        </w:numPr>
        <w:adjustRightInd w:val="0"/>
        <w:snapToGrid w:val="0"/>
        <w:spacing w:before="0" w:after="0" w:line="360" w:lineRule="auto"/>
        <w:ind w:firstLine="482" w:firstLineChars="200"/>
        <w:rPr>
          <w:rFonts w:hint="eastAsia" w:ascii="仿宋" w:hAnsi="仿宋" w:eastAsia="仿宋" w:cs="仿宋"/>
          <w:b/>
          <w:color w:val="auto"/>
          <w:sz w:val="24"/>
          <w:szCs w:val="24"/>
          <w:highlight w:val="none"/>
          <w:lang w:val="en-US" w:eastAsia="zh-CN"/>
        </w:rPr>
      </w:pPr>
      <w:bookmarkStart w:id="86" w:name="_Toc6272"/>
      <w:r>
        <w:rPr>
          <w:rFonts w:hint="eastAsia" w:ascii="仿宋" w:hAnsi="仿宋" w:eastAsia="仿宋" w:cs="仿宋"/>
          <w:b/>
          <w:color w:val="auto"/>
          <w:sz w:val="24"/>
          <w:szCs w:val="24"/>
          <w:highlight w:val="none"/>
          <w:lang w:val="en-US" w:eastAsia="zh-CN"/>
        </w:rPr>
        <w:t>考核要求</w:t>
      </w:r>
      <w:bookmarkEnd w:id="86"/>
    </w:p>
    <w:p w14:paraId="0FA6B211">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1、成交供应商对扣款项目应立即着手整改，整改完毕由采购人验收合格后不予扣款；验收不合格的，当月按照该扣款金额进行扣减采购费用；3次整改不合格，采购人处以双倍罚款，并有权解除合同。</w:t>
      </w:r>
    </w:p>
    <w:p w14:paraId="07D584BE">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2、成交供应商工作不负责或达不到合同约定内容和要求，月扣款金额合计超过 5000元，当月采购费用暂不支付，次月扣款合计未超过 5000元，与次月采购费用一并支付;两月扣款金额均超过5000元，两月采购费用暂不支付，第三月扣款金额未超过5000元的，与第三月采购费用一并支付;连续三个月扣款金额均超过 5000 元，采购人有权单方面解除合同，不支付相应月份的采购费用，并要求中标供应商承担相应损失。</w:t>
      </w:r>
    </w:p>
    <w:p w14:paraId="6ADDC1E0">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3、外包装不完整、生产日期、保质期、生产厂家和 QS 标识不齐全清晰的，发现1起扣1000元。</w:t>
      </w:r>
    </w:p>
    <w:p w14:paraId="079DA3AF">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4、采购人对供货商食材不定期进行送检，产品不合格的，发现1起扣1000元。</w:t>
      </w:r>
    </w:p>
    <w:p w14:paraId="514D4C00">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5、发生经第三方具备国家资质机构确认的因食材质量导致的人员中毒事件，除必须承担其相应的医疗费用外，同时解除双方合约关系，同时按相关法律法规承担相应的责任。</w:t>
      </w:r>
    </w:p>
    <w:p w14:paraId="62DDD418">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6、考评细则</w:t>
      </w:r>
    </w:p>
    <w:p w14:paraId="7C2E2195">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6.1以月为单位进行考核，考核基准分为100分，95分（含95分）以上为“合格”等级（小数点后数字四舍五入,下同）；</w:t>
      </w:r>
    </w:p>
    <w:p w14:paraId="4F5C11A8">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6.2达到90分（含90分）以上且低于95分（不含95分）的为“基本合格”等级；</w:t>
      </w:r>
    </w:p>
    <w:p w14:paraId="53203064">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6.3达到85分（含85分）以上且低于90分（不含90分）的为“较差”等级，以90分为基准分值，每差1分从当月结算款中直接扣除1000元；</w:t>
      </w:r>
    </w:p>
    <w:p w14:paraId="18F70253">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6.4低于85分（不含85分）为“差”等级，以90分为基准分值，每差1分从当月结算款项中直接扣除1000元；</w:t>
      </w:r>
    </w:p>
    <w:p w14:paraId="1DA79C94">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6.5一年内累计三次单月考核得分低于85分（不含85分），采购人有权终止合同，并扣除履约保证金。</w:t>
      </w:r>
    </w:p>
    <w:p w14:paraId="57AC2663">
      <w:pPr>
        <w:snapToGrid w:val="0"/>
        <w:spacing w:line="360" w:lineRule="auto"/>
        <w:ind w:firstLine="482" w:firstLineChars="200"/>
        <w:rPr>
          <w:rFonts w:hint="eastAsia" w:ascii="仿宋" w:hAnsi="仿宋" w:eastAsia="仿宋" w:cs="仿宋"/>
          <w:color w:val="auto"/>
          <w:sz w:val="24"/>
          <w:szCs w:val="24"/>
          <w:lang w:val="en-US" w:eastAsia="zh-CN"/>
        </w:rPr>
      </w:pPr>
      <w:r>
        <w:rPr>
          <w:rFonts w:hint="eastAsia" w:ascii="仿宋" w:hAnsi="仿宋" w:eastAsia="仿宋" w:cs="仿宋"/>
          <w:b/>
          <w:bCs/>
          <w:color w:val="auto"/>
          <w:sz w:val="24"/>
          <w:szCs w:val="24"/>
          <w:lang w:val="en-US" w:eastAsia="zh-CN"/>
        </w:rPr>
        <w:t>具体考核细则如下：</w:t>
      </w:r>
    </w:p>
    <w:tbl>
      <w:tblPr>
        <w:tblStyle w:val="15"/>
        <w:tblW w:w="499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5"/>
        <w:gridCol w:w="1668"/>
        <w:gridCol w:w="6722"/>
      </w:tblGrid>
      <w:tr w14:paraId="0963A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637" w:type="pct"/>
            <w:tcBorders>
              <w:tl2br w:val="nil"/>
              <w:tr2bl w:val="nil"/>
            </w:tcBorders>
            <w:noWrap w:val="0"/>
            <w:vAlign w:val="center"/>
          </w:tcPr>
          <w:p w14:paraId="4CB9001E">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项目</w:t>
            </w:r>
          </w:p>
        </w:tc>
        <w:tc>
          <w:tcPr>
            <w:tcW w:w="867" w:type="pct"/>
            <w:tcBorders>
              <w:tl2br w:val="nil"/>
              <w:tr2bl w:val="nil"/>
            </w:tcBorders>
            <w:noWrap w:val="0"/>
            <w:vAlign w:val="center"/>
          </w:tcPr>
          <w:p w14:paraId="6C2BA72D">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考核指标</w:t>
            </w:r>
          </w:p>
        </w:tc>
        <w:tc>
          <w:tcPr>
            <w:tcW w:w="3494" w:type="pct"/>
            <w:tcBorders>
              <w:tl2br w:val="nil"/>
              <w:tr2bl w:val="nil"/>
            </w:tcBorders>
            <w:noWrap w:val="0"/>
            <w:vAlign w:val="center"/>
          </w:tcPr>
          <w:p w14:paraId="10DCBA5D">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考核说明</w:t>
            </w:r>
          </w:p>
        </w:tc>
      </w:tr>
      <w:tr w14:paraId="6A4F3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7" w:hRule="atLeast"/>
        </w:trPr>
        <w:tc>
          <w:tcPr>
            <w:tcW w:w="637" w:type="pct"/>
            <w:vMerge w:val="restart"/>
            <w:tcBorders>
              <w:tl2br w:val="nil"/>
              <w:tr2bl w:val="nil"/>
            </w:tcBorders>
            <w:noWrap w:val="0"/>
            <w:vAlign w:val="center"/>
          </w:tcPr>
          <w:p w14:paraId="176C8EEA">
            <w:pPr>
              <w:keepNext w:val="0"/>
              <w:keepLines w:val="0"/>
              <w:suppressLineNumbers w:val="0"/>
              <w:snapToGrid w:val="0"/>
              <w:spacing w:before="0" w:beforeAutospacing="0" w:after="0" w:afterAutospacing="0" w:line="360" w:lineRule="auto"/>
              <w:ind w:left="0" w:right="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货物质量</w:t>
            </w:r>
          </w:p>
        </w:tc>
        <w:tc>
          <w:tcPr>
            <w:tcW w:w="867" w:type="pct"/>
            <w:tcBorders>
              <w:tl2br w:val="nil"/>
              <w:tr2bl w:val="nil"/>
            </w:tcBorders>
            <w:noWrap w:val="0"/>
            <w:vAlign w:val="center"/>
          </w:tcPr>
          <w:p w14:paraId="3255BD8E">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配送货物质量合格</w:t>
            </w:r>
          </w:p>
        </w:tc>
        <w:tc>
          <w:tcPr>
            <w:tcW w:w="3494" w:type="pct"/>
            <w:tcBorders>
              <w:tl2br w:val="nil"/>
              <w:tr2bl w:val="nil"/>
            </w:tcBorders>
            <w:noWrap w:val="0"/>
            <w:vAlign w:val="center"/>
          </w:tcPr>
          <w:p w14:paraId="674C8AD1">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出现货物腐烂变质，霉变等质量问题的，每个单品一次扣5分并做退货处理；出现其他质量问题的，每个单品一次扣1分，出现以次充好、夹带的，每个单品一次扣2分。</w:t>
            </w:r>
          </w:p>
        </w:tc>
      </w:tr>
      <w:tr w14:paraId="583E4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637" w:type="pct"/>
            <w:vMerge w:val="continue"/>
            <w:tcBorders>
              <w:tl2br w:val="nil"/>
              <w:tr2bl w:val="nil"/>
            </w:tcBorders>
            <w:noWrap w:val="0"/>
            <w:vAlign w:val="center"/>
          </w:tcPr>
          <w:p w14:paraId="35CF7B82">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3C3A679F">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配送品种、品牌、规格、品质、含水（冰）量等符合约定标准的货物</w:t>
            </w:r>
          </w:p>
        </w:tc>
        <w:tc>
          <w:tcPr>
            <w:tcW w:w="3494" w:type="pct"/>
            <w:tcBorders>
              <w:tl2br w:val="nil"/>
              <w:tr2bl w:val="nil"/>
            </w:tcBorders>
            <w:noWrap w:val="0"/>
            <w:vAlign w:val="center"/>
          </w:tcPr>
          <w:p w14:paraId="17E4E9E2">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未经同意不得随意更换货物的品牌、品种、规格、型号等，随意更换的，每个单品一次扣2分并做退货处理；冻品按照约定要求无冰或少冰，如超过约定含冰量的，每个单品一次扣2分并做退货处理；成交供应商以无货品、无利润为由，拒绝配送货物的，每个单品一次扣3分。</w:t>
            </w:r>
          </w:p>
        </w:tc>
      </w:tr>
      <w:tr w14:paraId="4B532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8" w:hRule="atLeast"/>
        </w:trPr>
        <w:tc>
          <w:tcPr>
            <w:tcW w:w="637" w:type="pct"/>
            <w:vMerge w:val="continue"/>
            <w:tcBorders>
              <w:tl2br w:val="nil"/>
              <w:tr2bl w:val="nil"/>
            </w:tcBorders>
            <w:noWrap w:val="0"/>
            <w:vAlign w:val="center"/>
          </w:tcPr>
          <w:p w14:paraId="2766EFA1">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704E4AAF">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配送数量浮动标准</w:t>
            </w:r>
          </w:p>
        </w:tc>
        <w:tc>
          <w:tcPr>
            <w:tcW w:w="3494" w:type="pct"/>
            <w:tcBorders>
              <w:tl2br w:val="nil"/>
              <w:tr2bl w:val="nil"/>
            </w:tcBorders>
            <w:noWrap w:val="0"/>
            <w:vAlign w:val="center"/>
          </w:tcPr>
          <w:p w14:paraId="0E42F9C8">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一般货物实际供应量在计划数量基础上，上下浮动不得超过±5%，如超过相应比例视作违规配送，每个单品一次扣1分（特殊情况经采购人同意的除外）。</w:t>
            </w:r>
          </w:p>
        </w:tc>
      </w:tr>
      <w:tr w14:paraId="13907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8" w:hRule="atLeast"/>
        </w:trPr>
        <w:tc>
          <w:tcPr>
            <w:tcW w:w="637" w:type="pct"/>
            <w:vMerge w:val="restart"/>
            <w:tcBorders>
              <w:tl2br w:val="nil"/>
              <w:tr2bl w:val="nil"/>
            </w:tcBorders>
            <w:noWrap w:val="0"/>
            <w:vAlign w:val="center"/>
          </w:tcPr>
          <w:p w14:paraId="6E4B829C">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服务质量</w:t>
            </w:r>
          </w:p>
        </w:tc>
        <w:tc>
          <w:tcPr>
            <w:tcW w:w="867" w:type="pct"/>
            <w:tcBorders>
              <w:tl2br w:val="nil"/>
              <w:tr2bl w:val="nil"/>
            </w:tcBorders>
            <w:noWrap w:val="0"/>
            <w:vAlign w:val="center"/>
          </w:tcPr>
          <w:p w14:paraId="2F09B802">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配送时间</w:t>
            </w:r>
          </w:p>
        </w:tc>
        <w:tc>
          <w:tcPr>
            <w:tcW w:w="3494" w:type="pct"/>
            <w:tcBorders>
              <w:tl2br w:val="nil"/>
              <w:tr2bl w:val="nil"/>
            </w:tcBorders>
            <w:noWrap w:val="0"/>
            <w:vAlign w:val="center"/>
          </w:tcPr>
          <w:p w14:paraId="0658CC3C">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每日所需物品须于当日早上6：00时前送达，应急采购任务（突发事件保障）必须按照约定时间送达，迟到30分钟内，每次扣1分；迟到30分钟以上每次扣2分；影响开餐的（含因时间关系更换菜品、改变制作方式、延误开餐等情况）一次扣3分。</w:t>
            </w:r>
          </w:p>
        </w:tc>
      </w:tr>
      <w:tr w14:paraId="7FA25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atLeast"/>
        </w:trPr>
        <w:tc>
          <w:tcPr>
            <w:tcW w:w="637" w:type="pct"/>
            <w:vMerge w:val="continue"/>
            <w:tcBorders>
              <w:tl2br w:val="nil"/>
              <w:tr2bl w:val="nil"/>
            </w:tcBorders>
            <w:noWrap w:val="0"/>
            <w:vAlign w:val="center"/>
          </w:tcPr>
          <w:p w14:paraId="1C18C2F5">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76434E5C">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漏送货情况，退换、补货情况</w:t>
            </w:r>
          </w:p>
        </w:tc>
        <w:tc>
          <w:tcPr>
            <w:tcW w:w="3494" w:type="pct"/>
            <w:tcBorders>
              <w:tl2br w:val="nil"/>
              <w:tr2bl w:val="nil"/>
            </w:tcBorders>
            <w:noWrap w:val="0"/>
            <w:vAlign w:val="center"/>
          </w:tcPr>
          <w:p w14:paraId="3E8A0416">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漏送货在不影响开餐的情况下，每周第一次做警告提醒，第二次起每次扣1分，超过三个品种的每次扣2分；因漏送货、退货等原因导致货物不足的，必须按照规定时间补足货物，因未补足货物影响开餐的（含因时间关系更换菜品、改变制作方式、延误开餐等情况）一次扣4分。</w:t>
            </w:r>
          </w:p>
        </w:tc>
      </w:tr>
      <w:tr w14:paraId="3F125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7" w:hRule="atLeast"/>
        </w:trPr>
        <w:tc>
          <w:tcPr>
            <w:tcW w:w="637" w:type="pct"/>
            <w:tcBorders>
              <w:tl2br w:val="nil"/>
              <w:tr2bl w:val="nil"/>
            </w:tcBorders>
            <w:noWrap w:val="0"/>
            <w:vAlign w:val="center"/>
          </w:tcPr>
          <w:p w14:paraId="21A2BBBE">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人员管理</w:t>
            </w:r>
          </w:p>
        </w:tc>
        <w:tc>
          <w:tcPr>
            <w:tcW w:w="867" w:type="pct"/>
            <w:tcBorders>
              <w:tl2br w:val="nil"/>
              <w:tr2bl w:val="nil"/>
            </w:tcBorders>
            <w:noWrap w:val="0"/>
            <w:vAlign w:val="center"/>
          </w:tcPr>
          <w:p w14:paraId="6FB1A3E3">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员工健康、个人卫生管理。</w:t>
            </w:r>
          </w:p>
        </w:tc>
        <w:tc>
          <w:tcPr>
            <w:tcW w:w="3494" w:type="pct"/>
            <w:tcBorders>
              <w:tl2br w:val="nil"/>
              <w:tr2bl w:val="nil"/>
            </w:tcBorders>
            <w:noWrap w:val="0"/>
            <w:vAlign w:val="center"/>
          </w:tcPr>
          <w:p w14:paraId="36D89644">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员工需衣着整洁，个人清洁卫生干净，不符合要求一次扣1分；抽检配送员工的《健康证》，如没有的一人次扣2分，并劝离工作岗位。</w:t>
            </w:r>
          </w:p>
        </w:tc>
      </w:tr>
      <w:tr w14:paraId="71C01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637" w:type="pct"/>
            <w:vMerge w:val="restart"/>
            <w:tcBorders>
              <w:tl2br w:val="nil"/>
              <w:tr2bl w:val="nil"/>
            </w:tcBorders>
            <w:noWrap w:val="0"/>
            <w:vAlign w:val="center"/>
          </w:tcPr>
          <w:p w14:paraId="25A3A318">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其他</w:t>
            </w:r>
          </w:p>
        </w:tc>
        <w:tc>
          <w:tcPr>
            <w:tcW w:w="867" w:type="pct"/>
            <w:tcBorders>
              <w:tl2br w:val="nil"/>
              <w:tr2bl w:val="nil"/>
            </w:tcBorders>
            <w:noWrap w:val="0"/>
            <w:vAlign w:val="center"/>
          </w:tcPr>
          <w:p w14:paraId="0A0CAF55">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应急任务</w:t>
            </w:r>
          </w:p>
        </w:tc>
        <w:tc>
          <w:tcPr>
            <w:tcW w:w="3494" w:type="pct"/>
            <w:tcBorders>
              <w:tl2br w:val="nil"/>
              <w:tr2bl w:val="nil"/>
            </w:tcBorders>
            <w:noWrap w:val="0"/>
            <w:vAlign w:val="center"/>
          </w:tcPr>
          <w:p w14:paraId="4FCD97CB">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未按合同约定完成应急保障任务，每次扣10分。</w:t>
            </w:r>
          </w:p>
        </w:tc>
      </w:tr>
      <w:tr w14:paraId="3A083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8" w:hRule="atLeast"/>
        </w:trPr>
        <w:tc>
          <w:tcPr>
            <w:tcW w:w="637" w:type="pct"/>
            <w:vMerge w:val="continue"/>
            <w:tcBorders>
              <w:tl2br w:val="nil"/>
              <w:tr2bl w:val="nil"/>
            </w:tcBorders>
            <w:noWrap w:val="0"/>
            <w:vAlign w:val="center"/>
          </w:tcPr>
          <w:p w14:paraId="7A8A14A6">
            <w:pPr>
              <w:keepNext w:val="0"/>
              <w:keepLines w:val="0"/>
              <w:suppressLineNumbers w:val="0"/>
              <w:snapToGrid w:val="0"/>
              <w:spacing w:before="0" w:beforeAutospacing="0" w:after="0" w:afterAutospacing="0" w:line="360" w:lineRule="auto"/>
              <w:ind w:left="0" w:right="0" w:firstLine="480" w:firstLineChars="200"/>
              <w:jc w:val="center"/>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4DFD7355">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配送物品</w:t>
            </w:r>
          </w:p>
        </w:tc>
        <w:tc>
          <w:tcPr>
            <w:tcW w:w="3494" w:type="pct"/>
            <w:tcBorders>
              <w:tl2br w:val="nil"/>
              <w:tr2bl w:val="nil"/>
            </w:tcBorders>
            <w:noWrap w:val="0"/>
            <w:vAlign w:val="center"/>
          </w:tcPr>
          <w:p w14:paraId="720267FB">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一般性物品，急需物品按采购人要求在约定时间内采购到位，每个单品逾期一天扣2分，最多扣10分；特殊保障物品必须在规定时间内采购到位，如延误，每个单品一次扣2分。采购人提供配送物品样品的或指定采购地点的，配送商须按要求采购，未按要求采购的，一次扣2分。大型商超以外的货物，所报价格不得虚高（偏离市场价20%以上），虚假报价一经查实，每查实一个单品扣1分。</w:t>
            </w:r>
          </w:p>
        </w:tc>
      </w:tr>
      <w:tr w14:paraId="35368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637" w:type="pct"/>
            <w:vMerge w:val="continue"/>
            <w:tcBorders>
              <w:tl2br w:val="nil"/>
              <w:tr2bl w:val="nil"/>
            </w:tcBorders>
            <w:noWrap w:val="0"/>
            <w:vAlign w:val="center"/>
          </w:tcPr>
          <w:p w14:paraId="7BA84A4E">
            <w:pPr>
              <w:keepNext w:val="0"/>
              <w:keepLines w:val="0"/>
              <w:suppressLineNumbers w:val="0"/>
              <w:snapToGrid w:val="0"/>
              <w:spacing w:before="0" w:beforeAutospacing="0" w:after="0" w:afterAutospacing="0" w:line="360" w:lineRule="auto"/>
              <w:ind w:left="0" w:right="0" w:firstLine="480" w:firstLineChars="200"/>
              <w:jc w:val="center"/>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5F238E8C">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履行合同约定情况</w:t>
            </w:r>
          </w:p>
        </w:tc>
        <w:tc>
          <w:tcPr>
            <w:tcW w:w="3494" w:type="pct"/>
            <w:tcBorders>
              <w:tl2br w:val="nil"/>
              <w:tr2bl w:val="nil"/>
            </w:tcBorders>
            <w:noWrap w:val="0"/>
            <w:vAlign w:val="center"/>
          </w:tcPr>
          <w:p w14:paraId="4C3E9D6D">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合同、采购文件、供应商承诺书等约定或承诺的相关事项，未完成一项每次扣2分。</w:t>
            </w:r>
          </w:p>
        </w:tc>
      </w:tr>
      <w:tr w14:paraId="7A7CB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trPr>
        <w:tc>
          <w:tcPr>
            <w:tcW w:w="637" w:type="pct"/>
            <w:vMerge w:val="continue"/>
            <w:tcBorders>
              <w:tl2br w:val="nil"/>
              <w:tr2bl w:val="nil"/>
            </w:tcBorders>
            <w:noWrap w:val="0"/>
            <w:vAlign w:val="center"/>
          </w:tcPr>
          <w:p w14:paraId="3B264120">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086C5C0F">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其他</w:t>
            </w:r>
          </w:p>
        </w:tc>
        <w:tc>
          <w:tcPr>
            <w:tcW w:w="3494" w:type="pct"/>
            <w:tcBorders>
              <w:tl2br w:val="nil"/>
              <w:tr2bl w:val="nil"/>
            </w:tcBorders>
            <w:noWrap w:val="0"/>
            <w:vAlign w:val="center"/>
          </w:tcPr>
          <w:p w14:paraId="41DD7BE2">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违反采购人管理规定被通报一次扣5分；造成恶劣影响一次扣20分。</w:t>
            </w:r>
          </w:p>
        </w:tc>
      </w:tr>
      <w:tr w14:paraId="37167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trPr>
        <w:tc>
          <w:tcPr>
            <w:tcW w:w="637" w:type="pct"/>
            <w:tcBorders>
              <w:tl2br w:val="nil"/>
              <w:tr2bl w:val="nil"/>
            </w:tcBorders>
            <w:noWrap w:val="0"/>
            <w:vAlign w:val="center"/>
          </w:tcPr>
          <w:p w14:paraId="2FE1ABDA">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加分项目</w:t>
            </w:r>
          </w:p>
        </w:tc>
        <w:tc>
          <w:tcPr>
            <w:tcW w:w="867" w:type="pct"/>
            <w:tcBorders>
              <w:tl2br w:val="nil"/>
              <w:tr2bl w:val="nil"/>
            </w:tcBorders>
            <w:noWrap w:val="0"/>
            <w:vAlign w:val="center"/>
          </w:tcPr>
          <w:p w14:paraId="38AD3F50">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应急任务</w:t>
            </w:r>
          </w:p>
        </w:tc>
        <w:tc>
          <w:tcPr>
            <w:tcW w:w="3494" w:type="pct"/>
            <w:tcBorders>
              <w:tl2br w:val="nil"/>
              <w:tr2bl w:val="nil"/>
            </w:tcBorders>
            <w:noWrap w:val="0"/>
            <w:vAlign w:val="center"/>
          </w:tcPr>
          <w:p w14:paraId="182AB9B8">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顺利完成1小时内的应急保障任务，每次加4分；顺利完成2小时以内应急保障任务，每次加2分；顺利完成综合（大型）保障任务每次加4分。</w:t>
            </w:r>
          </w:p>
        </w:tc>
      </w:tr>
    </w:tbl>
    <w:p w14:paraId="7B24A061">
      <w:pPr>
        <w:widowControl w:val="0"/>
        <w:numPr>
          <w:ilvl w:val="0"/>
          <w:numId w:val="0"/>
        </w:numPr>
        <w:jc w:val="both"/>
        <w:rPr>
          <w:rFonts w:hint="eastAsia"/>
          <w:color w:val="auto"/>
          <w:lang w:val="en-US" w:eastAsia="zh-CN"/>
        </w:rPr>
      </w:pPr>
    </w:p>
    <w:p w14:paraId="77FFDA0A">
      <w:pPr>
        <w:pStyle w:val="4"/>
        <w:adjustRightInd w:val="0"/>
        <w:snapToGrid w:val="0"/>
        <w:spacing w:before="0" w:after="0" w:line="360" w:lineRule="auto"/>
        <w:ind w:firstLine="482" w:firstLineChars="200"/>
        <w:rPr>
          <w:rFonts w:hint="eastAsia" w:ascii="仿宋" w:hAnsi="仿宋" w:eastAsia="仿宋" w:cs="仿宋"/>
          <w:color w:val="auto"/>
          <w:sz w:val="24"/>
          <w:szCs w:val="24"/>
          <w:highlight w:val="none"/>
        </w:rPr>
      </w:pPr>
      <w:bookmarkStart w:id="87" w:name="_Toc6945"/>
      <w:bookmarkStart w:id="88" w:name="_Toc4423"/>
      <w:bookmarkStart w:id="89" w:name="_Toc14741"/>
      <w:bookmarkStart w:id="90" w:name="_Toc23499"/>
      <w:bookmarkStart w:id="91" w:name="_Toc2238"/>
      <w:bookmarkStart w:id="92" w:name="_Toc12732"/>
      <w:r>
        <w:rPr>
          <w:rFonts w:hint="eastAsia" w:ascii="仿宋" w:hAnsi="仿宋" w:eastAsia="仿宋" w:cs="仿宋"/>
          <w:color w:val="auto"/>
          <w:sz w:val="24"/>
          <w:szCs w:val="24"/>
          <w:highlight w:val="none"/>
          <w:lang w:val="en-US" w:eastAsia="zh-CN"/>
        </w:rPr>
        <w:t>五</w:t>
      </w:r>
      <w:r>
        <w:rPr>
          <w:rFonts w:hint="eastAsia" w:ascii="仿宋" w:hAnsi="仿宋" w:eastAsia="仿宋" w:cs="仿宋"/>
          <w:color w:val="auto"/>
          <w:sz w:val="24"/>
          <w:szCs w:val="24"/>
          <w:highlight w:val="none"/>
        </w:rPr>
        <w:t>、</w:t>
      </w:r>
      <w:bookmarkEnd w:id="82"/>
      <w:bookmarkEnd w:id="83"/>
      <w:bookmarkEnd w:id="84"/>
      <w:r>
        <w:rPr>
          <w:rFonts w:hint="eastAsia" w:ascii="仿宋" w:hAnsi="仿宋" w:eastAsia="仿宋" w:cs="仿宋"/>
          <w:color w:val="auto"/>
          <w:sz w:val="24"/>
          <w:szCs w:val="24"/>
          <w:highlight w:val="none"/>
        </w:rPr>
        <w:t>履约保证金</w:t>
      </w:r>
      <w:bookmarkEnd w:id="87"/>
      <w:bookmarkEnd w:id="88"/>
      <w:bookmarkEnd w:id="89"/>
      <w:bookmarkEnd w:id="90"/>
      <w:bookmarkEnd w:id="91"/>
      <w:bookmarkEnd w:id="92"/>
    </w:p>
    <w:p w14:paraId="665672A4">
      <w:pPr>
        <w:pageBreakBefore w:val="0"/>
        <w:widowControl w:val="0"/>
        <w:kinsoku/>
        <w:wordWrap/>
        <w:overflowPunct/>
        <w:topLinePunct w:val="0"/>
        <w:autoSpaceDE/>
        <w:autoSpaceDN/>
        <w:bidi w:val="0"/>
        <w:snapToGrid w:val="0"/>
        <w:spacing w:line="400" w:lineRule="exact"/>
        <w:ind w:firstLine="480" w:firstLineChars="200"/>
        <w:rPr>
          <w:rFonts w:hint="eastAsia" w:ascii="仿宋" w:hAnsi="仿宋" w:eastAsia="仿宋" w:cs="仿宋"/>
          <w:b w:val="0"/>
          <w:color w:val="auto"/>
          <w:kern w:val="2"/>
          <w:sz w:val="24"/>
          <w:szCs w:val="24"/>
          <w:highlight w:val="none"/>
          <w:lang w:val="en-US" w:eastAsia="zh-CN" w:bidi="ar-SA"/>
        </w:rPr>
      </w:pPr>
      <w:bookmarkStart w:id="93" w:name="OLE_LINK3"/>
      <w:bookmarkStart w:id="94" w:name="OLE_LINK4"/>
      <w:r>
        <w:rPr>
          <w:rFonts w:hint="eastAsia" w:ascii="仿宋" w:hAnsi="仿宋" w:eastAsia="仿宋" w:cs="仿宋"/>
          <w:b w:val="0"/>
          <w:bCs w:val="0"/>
          <w:color w:val="auto"/>
          <w:kern w:val="0"/>
          <w:sz w:val="24"/>
          <w:szCs w:val="24"/>
          <w:highlight w:val="none"/>
          <w:lang w:eastAsia="zh-CN"/>
        </w:rPr>
        <w:t>（一）中标人</w:t>
      </w:r>
      <w:r>
        <w:rPr>
          <w:rFonts w:hint="eastAsia" w:ascii="仿宋" w:hAnsi="仿宋" w:eastAsia="仿宋" w:cs="仿宋"/>
          <w:b w:val="0"/>
          <w:bCs w:val="0"/>
          <w:color w:val="auto"/>
          <w:kern w:val="0"/>
          <w:sz w:val="24"/>
          <w:szCs w:val="24"/>
          <w:highlight w:val="none"/>
        </w:rPr>
        <w:t>在签订合同前向采购人按照规定</w:t>
      </w:r>
      <w:r>
        <w:rPr>
          <w:rFonts w:hint="eastAsia" w:ascii="仿宋" w:hAnsi="仿宋" w:eastAsia="仿宋" w:cs="仿宋"/>
          <w:b w:val="0"/>
          <w:bCs w:val="0"/>
          <w:color w:val="auto"/>
          <w:kern w:val="0"/>
          <w:sz w:val="24"/>
          <w:szCs w:val="24"/>
          <w:highlight w:val="none"/>
          <w:lang w:eastAsia="zh-CN"/>
        </w:rPr>
        <w:t>金额缴纳</w:t>
      </w:r>
      <w:r>
        <w:rPr>
          <w:rFonts w:hint="eastAsia" w:ascii="仿宋" w:hAnsi="仿宋" w:eastAsia="仿宋" w:cs="仿宋"/>
          <w:b w:val="0"/>
          <w:bCs w:val="0"/>
          <w:color w:val="auto"/>
          <w:kern w:val="0"/>
          <w:sz w:val="24"/>
          <w:szCs w:val="24"/>
          <w:highlight w:val="none"/>
        </w:rPr>
        <w:t>履约保证金，履约保证金：</w:t>
      </w:r>
      <w:r>
        <w:rPr>
          <w:rFonts w:hint="eastAsia" w:ascii="仿宋" w:hAnsi="仿宋" w:eastAsia="仿宋" w:cs="仿宋"/>
          <w:b w:val="0"/>
          <w:bCs w:val="0"/>
          <w:color w:val="auto"/>
          <w:kern w:val="0"/>
          <w:sz w:val="24"/>
          <w:szCs w:val="24"/>
          <w:highlight w:val="none"/>
          <w:u w:val="none"/>
          <w:lang w:val="en-US" w:eastAsia="zh-CN"/>
        </w:rPr>
        <w:t>4</w:t>
      </w:r>
      <w:r>
        <w:rPr>
          <w:rFonts w:hint="eastAsia" w:ascii="仿宋" w:hAnsi="仿宋" w:eastAsia="仿宋" w:cs="仿宋"/>
          <w:b w:val="0"/>
          <w:bCs w:val="0"/>
          <w:color w:val="auto"/>
          <w:kern w:val="0"/>
          <w:sz w:val="24"/>
          <w:szCs w:val="24"/>
          <w:highlight w:val="none"/>
          <w:u w:val="none"/>
        </w:rPr>
        <w:t>0000.00元（大写：</w:t>
      </w:r>
      <w:r>
        <w:rPr>
          <w:rFonts w:hint="eastAsia" w:ascii="仿宋" w:hAnsi="仿宋" w:eastAsia="仿宋" w:cs="仿宋"/>
          <w:b w:val="0"/>
          <w:bCs w:val="0"/>
          <w:color w:val="auto"/>
          <w:kern w:val="0"/>
          <w:sz w:val="24"/>
          <w:szCs w:val="24"/>
          <w:highlight w:val="none"/>
          <w:u w:val="none"/>
          <w:lang w:val="en-US" w:eastAsia="zh-CN"/>
        </w:rPr>
        <w:t>肆</w:t>
      </w:r>
      <w:r>
        <w:rPr>
          <w:rFonts w:hint="eastAsia" w:ascii="仿宋" w:hAnsi="仿宋" w:eastAsia="仿宋" w:cs="仿宋"/>
          <w:b w:val="0"/>
          <w:bCs w:val="0"/>
          <w:color w:val="auto"/>
          <w:kern w:val="0"/>
          <w:sz w:val="24"/>
          <w:szCs w:val="24"/>
          <w:highlight w:val="none"/>
          <w:u w:val="none"/>
        </w:rPr>
        <w:t>万元整）</w:t>
      </w:r>
      <w:bookmarkEnd w:id="93"/>
      <w:bookmarkEnd w:id="94"/>
      <w:r>
        <w:rPr>
          <w:rFonts w:hint="eastAsia" w:ascii="仿宋" w:hAnsi="仿宋" w:eastAsia="仿宋" w:cs="仿宋"/>
          <w:b w:val="0"/>
          <w:color w:val="auto"/>
          <w:kern w:val="2"/>
          <w:sz w:val="24"/>
          <w:szCs w:val="24"/>
          <w:highlight w:val="none"/>
          <w:lang w:val="en-US" w:eastAsia="zh-CN" w:bidi="ar-SA"/>
        </w:rPr>
        <w:t xml:space="preserve">（以现金或保函方式提交，履约保函包括银行保函、保证保险和担保保函；履约保函的开立人应当是具有相应资格的银行、保险机构、融资担保公司，其信用资质、履约能力、担保能力、赔付流程、安全保密等应符合履约保函业务条件。中标人对所提交的履约保函的真实性、合法性、有效性负责。）； </w:t>
      </w:r>
    </w:p>
    <w:p w14:paraId="303BE633">
      <w:pPr>
        <w:pageBreakBefore w:val="0"/>
        <w:widowControl w:val="0"/>
        <w:kinsoku/>
        <w:wordWrap/>
        <w:overflowPunct/>
        <w:topLinePunct w:val="0"/>
        <w:autoSpaceDE/>
        <w:autoSpaceDN/>
        <w:bidi w:val="0"/>
        <w:snapToGrid w:val="0"/>
        <w:spacing w:line="400" w:lineRule="exact"/>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b w:val="0"/>
          <w:color w:val="auto"/>
          <w:kern w:val="2"/>
          <w:sz w:val="24"/>
          <w:szCs w:val="24"/>
          <w:highlight w:val="none"/>
          <w:lang w:val="en-US" w:eastAsia="zh-CN" w:bidi="ar-SA"/>
        </w:rPr>
        <w:t>注：根据《关于印发重庆市融资担保公司监管评级及分类监管办法的通知》（渝金发〔2021〕5号）文件，担保公司须在《重庆市地方金融监督管理局关于开展2022年度监管评级有关工作的通知》、《重庆市地方金融监督管理局关于开展2023年度监管评级有关工作的通知》中监管评级等级在B级及以上。</w:t>
      </w:r>
    </w:p>
    <w:p w14:paraId="0AB45632">
      <w:pPr>
        <w:numPr>
          <w:ilvl w:val="0"/>
          <w:numId w:val="0"/>
        </w:numPr>
        <w:snapToGrid w:val="0"/>
        <w:spacing w:beforeLines="0" w:afterLines="0" w:line="360"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eastAsia="zh-CN"/>
        </w:rPr>
        <w:t>（</w:t>
      </w:r>
      <w:r>
        <w:rPr>
          <w:rFonts w:hint="eastAsia" w:ascii="仿宋" w:hAnsi="仿宋" w:eastAsia="仿宋" w:cs="仿宋"/>
          <w:color w:val="auto"/>
          <w:kern w:val="0"/>
          <w:sz w:val="24"/>
          <w:szCs w:val="24"/>
          <w:highlight w:val="none"/>
          <w:lang w:val="en-US" w:eastAsia="zh-CN"/>
        </w:rPr>
        <w:t>二）</w:t>
      </w:r>
      <w:r>
        <w:rPr>
          <w:rFonts w:hint="eastAsia" w:ascii="仿宋" w:hAnsi="仿宋" w:eastAsia="仿宋" w:cs="仿宋"/>
          <w:color w:val="auto"/>
          <w:kern w:val="0"/>
          <w:sz w:val="24"/>
          <w:szCs w:val="24"/>
          <w:highlight w:val="none"/>
        </w:rPr>
        <w:t>在合同执行中，若中标人有违约情况或侵权行为对</w:t>
      </w:r>
      <w:r>
        <w:rPr>
          <w:rFonts w:hint="eastAsia" w:ascii="仿宋" w:hAnsi="仿宋" w:eastAsia="仿宋" w:cs="仿宋"/>
          <w:color w:val="auto"/>
          <w:kern w:val="0"/>
          <w:sz w:val="24"/>
          <w:szCs w:val="24"/>
          <w:highlight w:val="none"/>
          <w:lang w:eastAsia="zh-CN"/>
        </w:rPr>
        <w:t>采购人</w:t>
      </w:r>
      <w:r>
        <w:rPr>
          <w:rFonts w:hint="eastAsia" w:ascii="仿宋" w:hAnsi="仿宋" w:eastAsia="仿宋" w:cs="仿宋"/>
          <w:color w:val="auto"/>
          <w:kern w:val="0"/>
          <w:sz w:val="24"/>
          <w:szCs w:val="24"/>
          <w:highlight w:val="none"/>
        </w:rPr>
        <w:t>造成损失或不良影响，采购人有权直接从履约保证金中扣划，并随时要求中标人限期补足履约保证金。</w:t>
      </w:r>
    </w:p>
    <w:p w14:paraId="43E39459">
      <w:p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lang w:eastAsia="zh-CN"/>
        </w:rPr>
        <w:t>（</w:t>
      </w:r>
      <w:r>
        <w:rPr>
          <w:rFonts w:hint="eastAsia" w:ascii="仿宋" w:hAnsi="仿宋" w:eastAsia="仿宋" w:cs="仿宋"/>
          <w:color w:val="auto"/>
          <w:kern w:val="0"/>
          <w:sz w:val="24"/>
          <w:szCs w:val="24"/>
          <w:highlight w:val="none"/>
          <w:lang w:val="en-US" w:eastAsia="zh-CN"/>
        </w:rPr>
        <w:t>三）</w:t>
      </w:r>
      <w:r>
        <w:rPr>
          <w:rFonts w:hint="eastAsia" w:ascii="仿宋" w:hAnsi="仿宋" w:eastAsia="仿宋" w:cs="仿宋"/>
          <w:color w:val="auto"/>
          <w:kern w:val="0"/>
          <w:sz w:val="24"/>
          <w:szCs w:val="24"/>
          <w:highlight w:val="none"/>
        </w:rPr>
        <w:t>在合同期满后，中标人无违约情况或侵权行为，可提出书面申请，由采购人在7个工作日内将履约保证金退给中标人。</w:t>
      </w:r>
    </w:p>
    <w:p w14:paraId="1F6F941C">
      <w:pPr>
        <w:pStyle w:val="4"/>
        <w:keepNext/>
        <w:keepLines/>
        <w:pageBreakBefore w:val="0"/>
        <w:widowControl w:val="0"/>
        <w:kinsoku/>
        <w:wordWrap/>
        <w:overflowPunct/>
        <w:topLinePunct w:val="0"/>
        <w:autoSpaceDE/>
        <w:autoSpaceDN/>
        <w:bidi w:val="0"/>
        <w:adjustRightInd/>
        <w:snapToGrid/>
        <w:spacing w:before="0" w:after="0" w:line="360" w:lineRule="auto"/>
        <w:ind w:firstLine="482" w:firstLineChars="200"/>
        <w:textAlignment w:val="auto"/>
        <w:outlineLvl w:val="1"/>
        <w:rPr>
          <w:rFonts w:hint="eastAsia" w:ascii="仿宋" w:hAnsi="仿宋" w:eastAsia="仿宋" w:cs="仿宋"/>
          <w:color w:val="auto"/>
          <w:sz w:val="24"/>
          <w:szCs w:val="24"/>
          <w:highlight w:val="none"/>
        </w:rPr>
      </w:pPr>
      <w:bookmarkStart w:id="95" w:name="_Toc1767"/>
      <w:bookmarkStart w:id="96" w:name="_Toc25862"/>
      <w:bookmarkStart w:id="97" w:name="_Toc11469"/>
      <w:bookmarkStart w:id="98" w:name="_Toc7930"/>
      <w:bookmarkStart w:id="99" w:name="_Toc12148"/>
      <w:bookmarkStart w:id="100" w:name="_Toc23463"/>
      <w:bookmarkStart w:id="101" w:name="_Toc21057"/>
      <w:bookmarkStart w:id="102" w:name="_Toc14940"/>
      <w:bookmarkStart w:id="103" w:name="_Toc344475124"/>
      <w:bookmarkStart w:id="104" w:name="_Toc76462331"/>
      <w:bookmarkStart w:id="105" w:name="_Toc106030886"/>
      <w:r>
        <w:rPr>
          <w:rFonts w:hint="eastAsia" w:ascii="仿宋" w:hAnsi="仿宋" w:eastAsia="仿宋" w:cs="仿宋"/>
          <w:color w:val="auto"/>
          <w:sz w:val="24"/>
          <w:szCs w:val="24"/>
          <w:highlight w:val="none"/>
          <w:lang w:eastAsia="zh-CN"/>
        </w:rPr>
        <w:t>六</w:t>
      </w:r>
      <w:r>
        <w:rPr>
          <w:rFonts w:hint="eastAsia" w:ascii="仿宋" w:hAnsi="仿宋" w:eastAsia="仿宋" w:cs="仿宋"/>
          <w:color w:val="auto"/>
          <w:sz w:val="24"/>
          <w:szCs w:val="24"/>
          <w:highlight w:val="none"/>
        </w:rPr>
        <w:t>、</w:t>
      </w:r>
      <w:bookmarkStart w:id="106" w:name="_Toc2024"/>
      <w:r>
        <w:rPr>
          <w:rFonts w:hint="eastAsia" w:ascii="仿宋" w:hAnsi="仿宋" w:eastAsia="仿宋" w:cs="仿宋"/>
          <w:color w:val="auto"/>
          <w:sz w:val="24"/>
          <w:szCs w:val="24"/>
          <w:highlight w:val="none"/>
        </w:rPr>
        <w:t>食材询定价与结算</w:t>
      </w:r>
      <w:bookmarkEnd w:id="95"/>
      <w:bookmarkEnd w:id="96"/>
      <w:bookmarkEnd w:id="97"/>
      <w:bookmarkEnd w:id="98"/>
      <w:bookmarkEnd w:id="99"/>
      <w:bookmarkEnd w:id="100"/>
      <w:bookmarkEnd w:id="101"/>
      <w:bookmarkEnd w:id="102"/>
      <w:bookmarkEnd w:id="106"/>
    </w:p>
    <w:p w14:paraId="3EDF7D7D">
      <w:pPr>
        <w:pageBreakBefore w:val="0"/>
        <w:widowControl w:val="0"/>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rPr>
      </w:pPr>
      <w:bookmarkStart w:id="107" w:name="_Toc4707"/>
      <w:bookmarkStart w:id="108" w:name="OLE_LINK35"/>
      <w:r>
        <w:rPr>
          <w:rFonts w:hint="eastAsia" w:ascii="仿宋" w:hAnsi="仿宋" w:eastAsia="仿宋" w:cs="仿宋"/>
          <w:color w:val="auto"/>
          <w:sz w:val="24"/>
          <w:szCs w:val="24"/>
          <w:highlight w:val="none"/>
        </w:rPr>
        <w:t>（一）询定价</w:t>
      </w:r>
      <w:bookmarkEnd w:id="107"/>
    </w:p>
    <w:p w14:paraId="3EA2F362">
      <w:pPr>
        <w:pageBreakBefore w:val="0"/>
        <w:widowControl w:val="0"/>
        <w:numPr>
          <w:ilvl w:val="0"/>
          <w:numId w:val="0"/>
        </w:numPr>
        <w:kinsoku/>
        <w:wordWrap/>
        <w:overflowPunct/>
        <w:topLinePunct w:val="0"/>
        <w:autoSpaceDE/>
        <w:autoSpaceDN/>
        <w:bidi w:val="0"/>
        <w:adjustRightInd/>
        <w:snapToGrid/>
        <w:spacing w:beforeLines="0" w:afterLines="0" w:line="360" w:lineRule="auto"/>
        <w:ind w:leftChars="200"/>
        <w:textAlignment w:val="auto"/>
        <w:outlineLvl w:val="9"/>
        <w:rPr>
          <w:rFonts w:hint="eastAsia" w:ascii="仿宋" w:hAnsi="仿宋" w:eastAsia="仿宋" w:cs="仿宋"/>
          <w:color w:val="auto"/>
          <w:sz w:val="24"/>
          <w:szCs w:val="24"/>
          <w:highlight w:val="none"/>
        </w:rPr>
      </w:pPr>
      <w:bookmarkStart w:id="109" w:name="_Toc6336"/>
      <w:bookmarkStart w:id="110" w:name="OLE_LINK36"/>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原则上每月询</w:t>
      </w:r>
      <w:r>
        <w:rPr>
          <w:rFonts w:hint="eastAsia" w:ascii="仿宋" w:hAnsi="仿宋" w:eastAsia="仿宋" w:cs="仿宋"/>
          <w:color w:val="auto"/>
          <w:sz w:val="24"/>
          <w:szCs w:val="24"/>
          <w:highlight w:val="none"/>
          <w:lang w:val="en-US" w:eastAsia="zh-CN"/>
        </w:rPr>
        <w:t>价1次，</w:t>
      </w:r>
      <w:r>
        <w:rPr>
          <w:rFonts w:hint="eastAsia" w:ascii="仿宋" w:hAnsi="仿宋" w:eastAsia="仿宋" w:cs="仿宋"/>
          <w:color w:val="auto"/>
          <w:sz w:val="24"/>
          <w:szCs w:val="24"/>
          <w:highlight w:val="none"/>
        </w:rPr>
        <w:t>定价</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次。</w:t>
      </w:r>
      <w:bookmarkEnd w:id="109"/>
    </w:p>
    <w:p w14:paraId="34109837">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每次询价的时间为</w:t>
      </w:r>
      <w:r>
        <w:rPr>
          <w:rFonts w:hint="eastAsia" w:ascii="仿宋" w:hAnsi="仿宋" w:eastAsia="仿宋" w:cs="仿宋"/>
          <w:color w:val="auto"/>
          <w:sz w:val="24"/>
          <w:szCs w:val="24"/>
          <w:highlight w:val="none"/>
          <w:lang w:val="en-US" w:eastAsia="zh-CN"/>
        </w:rPr>
        <w:t>上月</w:t>
      </w:r>
      <w:r>
        <w:rPr>
          <w:rFonts w:hint="eastAsia" w:ascii="仿宋" w:hAnsi="仿宋" w:eastAsia="仿宋" w:cs="仿宋"/>
          <w:b w:val="0"/>
          <w:bCs w:val="0"/>
          <w:color w:val="auto"/>
          <w:sz w:val="24"/>
          <w:szCs w:val="24"/>
          <w:highlight w:val="none"/>
          <w:lang w:val="en-US" w:eastAsia="zh-CN"/>
        </w:rPr>
        <w:t>26日</w:t>
      </w:r>
      <w:r>
        <w:rPr>
          <w:rFonts w:hint="eastAsia" w:ascii="仿宋" w:hAnsi="仿宋" w:eastAsia="仿宋" w:cs="仿宋"/>
          <w:color w:val="auto"/>
          <w:sz w:val="24"/>
          <w:szCs w:val="24"/>
          <w:highlight w:val="none"/>
        </w:rPr>
        <w:t>（节假日顺延至正常工作日</w:t>
      </w:r>
      <w:bookmarkStart w:id="111" w:name="OLE_LINK32"/>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由文旅集团食堂管理部门和中标供应商组成询价小组，以辖区内永辉超市、新世纪、足购鲜等超市商品挂牌价（不含特价商品）的最低价作为基础价</w:t>
      </w:r>
      <w:r>
        <w:rPr>
          <w:rFonts w:hint="eastAsia" w:ascii="仿宋" w:hAnsi="仿宋" w:eastAsia="仿宋" w:cs="仿宋"/>
          <w:color w:val="auto"/>
          <w:sz w:val="24"/>
          <w:szCs w:val="24"/>
          <w:highlight w:val="none"/>
        </w:rPr>
        <w:t>。</w:t>
      </w:r>
    </w:p>
    <w:bookmarkEnd w:id="110"/>
    <w:p w14:paraId="2C75A0FC">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2、个别品种在约定商超无法询价的，由双方商定其他市场或超市询价作为依据并按合同确定结算价。</w:t>
      </w:r>
    </w:p>
    <w:bookmarkEnd w:id="108"/>
    <w:bookmarkEnd w:id="111"/>
    <w:p w14:paraId="133F9DE7">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rPr>
      </w:pPr>
      <w:bookmarkStart w:id="112" w:name="_Toc23934"/>
      <w:r>
        <w:rPr>
          <w:rFonts w:hint="eastAsia" w:ascii="仿宋" w:hAnsi="仿宋" w:eastAsia="仿宋" w:cs="仿宋"/>
          <w:color w:val="auto"/>
          <w:sz w:val="24"/>
          <w:szCs w:val="24"/>
          <w:highlight w:val="none"/>
        </w:rPr>
        <w:t>（二）结算</w:t>
      </w:r>
      <w:bookmarkEnd w:id="112"/>
    </w:p>
    <w:p w14:paraId="3085A7AD">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bookmarkStart w:id="113" w:name="_Toc17415"/>
      <w:bookmarkStart w:id="114" w:name="_Toc5336"/>
      <w:bookmarkStart w:id="115" w:name="_Toc12359"/>
      <w:bookmarkStart w:id="116" w:name="_Toc24305"/>
      <w:bookmarkStart w:id="117" w:name="_Toc23854"/>
      <w:bookmarkStart w:id="118" w:name="_Toc17832"/>
      <w:r>
        <w:rPr>
          <w:rFonts w:hint="eastAsia" w:ascii="仿宋" w:hAnsi="仿宋" w:eastAsia="仿宋" w:cs="仿宋"/>
          <w:color w:val="auto"/>
          <w:sz w:val="24"/>
          <w:szCs w:val="24"/>
          <w:highlight w:val="none"/>
          <w:lang w:val="en-US" w:eastAsia="zh-CN"/>
        </w:rPr>
        <w:t>1、结算单价：以采购人和成交供应商双方确认的各食材的单价定价金额乘以中标折扣作为“结算单价”，结算单价=单价定价×中标折扣；（若供应商填报的折扣报价为95%，以市场询价的零售即时价格10元/斤为例，则采购人与供应商实际签订合同的供货价格为10*0.95=9.5元/斤）。</w:t>
      </w:r>
    </w:p>
    <w:p w14:paraId="27DE9C71">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2、结算金额：当月最终结算金额=（各品类结算单价×各品类实际配送数量）-应扣除金额（如有）。</w:t>
      </w:r>
    </w:p>
    <w:p w14:paraId="2918F39B">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3、供应商对个别结算价格有异议的品种（当月定价品种总数的10%以内），由双方共同进行市场询价和价格复核。</w:t>
      </w:r>
    </w:p>
    <w:p w14:paraId="15CF0DE6">
      <w:pPr>
        <w:pStyle w:val="4"/>
        <w:keepNext/>
        <w:keepLines/>
        <w:pageBreakBefore w:val="0"/>
        <w:widowControl w:val="0"/>
        <w:kinsoku/>
        <w:wordWrap/>
        <w:overflowPunct/>
        <w:topLinePunct w:val="0"/>
        <w:autoSpaceDE/>
        <w:autoSpaceDN/>
        <w:bidi w:val="0"/>
        <w:adjustRightInd/>
        <w:snapToGrid/>
        <w:spacing w:before="0" w:after="0" w:line="360" w:lineRule="auto"/>
        <w:ind w:firstLine="482" w:firstLineChars="200"/>
        <w:textAlignment w:val="auto"/>
        <w:outlineLvl w:val="1"/>
        <w:rPr>
          <w:rFonts w:hint="eastAsia" w:ascii="仿宋" w:hAnsi="仿宋" w:eastAsia="仿宋" w:cs="仿宋"/>
          <w:color w:val="auto"/>
          <w:sz w:val="24"/>
          <w:szCs w:val="24"/>
          <w:highlight w:val="none"/>
        </w:rPr>
      </w:pPr>
      <w:bookmarkStart w:id="119" w:name="_Toc14766"/>
      <w:r>
        <w:rPr>
          <w:rFonts w:hint="eastAsia" w:ascii="仿宋" w:hAnsi="仿宋" w:eastAsia="仿宋" w:cs="仿宋"/>
          <w:color w:val="auto"/>
          <w:sz w:val="24"/>
          <w:szCs w:val="24"/>
          <w:highlight w:val="none"/>
          <w:lang w:eastAsia="zh-CN"/>
        </w:rPr>
        <w:t>七</w:t>
      </w:r>
      <w:r>
        <w:rPr>
          <w:rFonts w:hint="eastAsia" w:ascii="仿宋" w:hAnsi="仿宋" w:eastAsia="仿宋" w:cs="仿宋"/>
          <w:color w:val="auto"/>
          <w:sz w:val="24"/>
          <w:szCs w:val="24"/>
          <w:highlight w:val="none"/>
        </w:rPr>
        <w:t>、付款方式</w:t>
      </w:r>
      <w:bookmarkEnd w:id="113"/>
      <w:bookmarkEnd w:id="114"/>
      <w:bookmarkEnd w:id="115"/>
      <w:bookmarkEnd w:id="116"/>
      <w:bookmarkEnd w:id="117"/>
      <w:bookmarkEnd w:id="118"/>
      <w:bookmarkEnd w:id="119"/>
    </w:p>
    <w:p w14:paraId="7A28EAC8">
      <w:pPr>
        <w:numPr>
          <w:ilvl w:val="0"/>
          <w:numId w:val="5"/>
        </w:numPr>
        <w:spacing w:beforeLines="0" w:afterLines="0" w:line="360"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每月结算一次；</w:t>
      </w:r>
    </w:p>
    <w:p w14:paraId="1CD166AF">
      <w:pPr>
        <w:numPr>
          <w:ilvl w:val="0"/>
          <w:numId w:val="5"/>
        </w:numPr>
        <w:spacing w:beforeLines="0" w:afterLines="0" w:line="360" w:lineRule="auto"/>
        <w:ind w:firstLine="480" w:firstLineChars="2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rPr>
        <w:t>采购人财务部门凭需求部门验收清单、中标供应商向采购人开具正式发票，按合同价转帐支付货款。</w:t>
      </w:r>
      <w:bookmarkStart w:id="120" w:name="_Toc905"/>
      <w:bookmarkStart w:id="121" w:name="_Toc363"/>
      <w:bookmarkStart w:id="122" w:name="_Toc15101"/>
      <w:bookmarkStart w:id="123" w:name="_Toc7285"/>
      <w:bookmarkStart w:id="124" w:name="_Toc28833"/>
    </w:p>
    <w:p w14:paraId="1EC3A2AE">
      <w:pPr>
        <w:pStyle w:val="4"/>
        <w:adjustRightInd w:val="0"/>
        <w:snapToGrid w:val="0"/>
        <w:spacing w:before="0" w:after="0" w:line="360" w:lineRule="auto"/>
        <w:ind w:firstLine="482" w:firstLineChars="200"/>
        <w:rPr>
          <w:rFonts w:hint="eastAsia" w:ascii="仿宋" w:hAnsi="仿宋" w:eastAsia="仿宋" w:cs="仿宋"/>
          <w:b/>
          <w:color w:val="auto"/>
          <w:sz w:val="24"/>
          <w:szCs w:val="24"/>
          <w:highlight w:val="none"/>
          <w:lang w:val="en-US" w:eastAsia="zh-CN"/>
        </w:rPr>
      </w:pPr>
      <w:r>
        <w:rPr>
          <w:rFonts w:hint="eastAsia" w:ascii="仿宋" w:hAnsi="仿宋" w:eastAsia="仿宋" w:cs="仿宋"/>
          <w:b/>
          <w:color w:val="auto"/>
          <w:sz w:val="24"/>
          <w:szCs w:val="24"/>
          <w:highlight w:val="none"/>
          <w:lang w:val="en-US" w:eastAsia="zh-CN"/>
        </w:rPr>
        <w:t>八、退出机制</w:t>
      </w:r>
    </w:p>
    <w:p w14:paraId="0F11EDC7">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中标人在履行协议期间出现下列行为之一，采购人有权单方面无条件终止合同，取消配送资格，并没收全部履约保证金及纳入黑名单：</w:t>
      </w:r>
    </w:p>
    <w:p w14:paraId="558AC6C5">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1、若供应商违反食品安全法律法规，被食品药品监管部门吊销或注销食品生产或食品流通许可证的；违反相关法律法规，被登记机关吊销营业执照的；</w:t>
      </w:r>
    </w:p>
    <w:p w14:paraId="399FB7E0">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2、合同期内因食品安全质量问题引发食品安全事故的，采购人保留对供应商追究法律责任的权利；</w:t>
      </w:r>
    </w:p>
    <w:p w14:paraId="15A3FACB">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3、供应商进行转包、分包的；</w:t>
      </w:r>
    </w:p>
    <w:p w14:paraId="6FDD358F">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4、伪造销售凭证、签收手续等资料的；</w:t>
      </w:r>
    </w:p>
    <w:p w14:paraId="1C5C7085">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5、合同期内，采购人将随机抽取供应商所配送的商品送至国家相关检验机构进行检验，若送检质量不合格且情节严重的；</w:t>
      </w:r>
    </w:p>
    <w:p w14:paraId="6B742137">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6、合同签订后，公司仍有权随时对供应商履约能力及投标时所提供的包括但不限于经营场地、资质材料、合同文书、财务票据等响应材料的真实性进行询问、调查和实地考察。发现供应商入库所提供的材料虚假或对公司招选时要求说明的情况故意隐瞒、虚报或伪造的；</w:t>
      </w:r>
    </w:p>
    <w:p w14:paraId="2EBDFB87">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7、供应商提供的商品不满足</w:t>
      </w:r>
      <w:r>
        <w:rPr>
          <w:rFonts w:hint="eastAsia" w:ascii="仿宋" w:hAnsi="仿宋" w:eastAsia="仿宋" w:cs="仿宋"/>
          <w:color w:val="auto"/>
          <w:kern w:val="0"/>
          <w:sz w:val="24"/>
          <w:szCs w:val="24"/>
          <w:highlight w:val="none"/>
          <w:lang w:eastAsia="zh-CN"/>
        </w:rPr>
        <w:t>采购文件</w:t>
      </w:r>
      <w:r>
        <w:rPr>
          <w:rFonts w:hint="eastAsia" w:ascii="仿宋" w:hAnsi="仿宋" w:eastAsia="仿宋" w:cs="仿宋"/>
          <w:color w:val="auto"/>
          <w:kern w:val="0"/>
          <w:sz w:val="24"/>
          <w:szCs w:val="24"/>
          <w:highlight w:val="none"/>
        </w:rPr>
        <w:t>要求，质量、服务、安全、卫生条件不符合相关标准，对</w:t>
      </w:r>
      <w:r>
        <w:rPr>
          <w:rFonts w:hint="eastAsia" w:ascii="仿宋" w:hAnsi="仿宋" w:eastAsia="仿宋" w:cs="仿宋"/>
          <w:color w:val="auto"/>
          <w:kern w:val="0"/>
          <w:sz w:val="24"/>
          <w:szCs w:val="24"/>
          <w:highlight w:val="none"/>
          <w:lang w:eastAsia="zh-CN"/>
        </w:rPr>
        <w:t>采购人</w:t>
      </w:r>
      <w:r>
        <w:rPr>
          <w:rFonts w:hint="eastAsia" w:ascii="仿宋" w:hAnsi="仿宋" w:eastAsia="仿宋" w:cs="仿宋"/>
          <w:color w:val="auto"/>
          <w:kern w:val="0"/>
          <w:sz w:val="24"/>
          <w:szCs w:val="24"/>
          <w:highlight w:val="none"/>
        </w:rPr>
        <w:t>造成损失的，由供应商承担一切责任，并赔偿所造成的损失。</w:t>
      </w:r>
    </w:p>
    <w:p w14:paraId="5AA023A5">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8、采购人具有随时查看供应商除预包装外为公司配送的所有商品的生产采购源头。若供应商拒绝或未及时提供的。</w:t>
      </w:r>
    </w:p>
    <w:p w14:paraId="0486D7C0">
      <w:pPr>
        <w:snapToGrid w:val="0"/>
        <w:spacing w:line="360" w:lineRule="auto"/>
        <w:ind w:firstLine="480" w:firstLineChars="200"/>
        <w:rPr>
          <w:rFonts w:hint="eastAsia"/>
          <w:color w:val="auto"/>
          <w:lang w:val="en-US" w:eastAsia="zh-CN"/>
        </w:rPr>
      </w:pPr>
      <w:r>
        <w:rPr>
          <w:rFonts w:hint="eastAsia" w:ascii="仿宋" w:hAnsi="仿宋" w:eastAsia="仿宋" w:cs="仿宋"/>
          <w:color w:val="auto"/>
          <w:kern w:val="0"/>
          <w:sz w:val="24"/>
          <w:szCs w:val="24"/>
          <w:highlight w:val="none"/>
        </w:rPr>
        <w:t>9、其他未满足采购人要求及相关法律法规的。</w:t>
      </w:r>
    </w:p>
    <w:p w14:paraId="6B2ED82C">
      <w:pPr>
        <w:pStyle w:val="4"/>
        <w:adjustRightInd w:val="0"/>
        <w:snapToGrid w:val="0"/>
        <w:spacing w:before="0" w:after="0" w:line="360" w:lineRule="auto"/>
        <w:ind w:firstLine="482" w:firstLineChars="200"/>
        <w:rPr>
          <w:rFonts w:hint="eastAsia" w:ascii="仿宋" w:hAnsi="仿宋" w:eastAsia="仿宋" w:cs="仿宋"/>
          <w:color w:val="auto"/>
          <w:sz w:val="24"/>
          <w:szCs w:val="24"/>
          <w:highlight w:val="none"/>
        </w:rPr>
      </w:pPr>
      <w:bookmarkStart w:id="125" w:name="_Toc12766"/>
      <w:r>
        <w:rPr>
          <w:rFonts w:hint="eastAsia" w:ascii="仿宋" w:hAnsi="仿宋" w:eastAsia="仿宋" w:cs="仿宋"/>
          <w:color w:val="auto"/>
          <w:sz w:val="24"/>
          <w:szCs w:val="24"/>
          <w:highlight w:val="none"/>
          <w:lang w:val="en-US" w:eastAsia="zh-CN"/>
        </w:rPr>
        <w:t>九</w:t>
      </w:r>
      <w:r>
        <w:rPr>
          <w:rFonts w:hint="eastAsia" w:ascii="仿宋" w:hAnsi="仿宋" w:eastAsia="仿宋" w:cs="仿宋"/>
          <w:color w:val="auto"/>
          <w:sz w:val="24"/>
          <w:szCs w:val="24"/>
          <w:highlight w:val="none"/>
        </w:rPr>
        <w:t>、</w:t>
      </w:r>
      <w:bookmarkEnd w:id="103"/>
      <w:bookmarkStart w:id="126" w:name="_Toc344475125"/>
      <w:r>
        <w:rPr>
          <w:rFonts w:hint="eastAsia" w:ascii="仿宋" w:hAnsi="仿宋" w:eastAsia="仿宋" w:cs="仿宋"/>
          <w:color w:val="auto"/>
          <w:sz w:val="24"/>
          <w:szCs w:val="24"/>
          <w:highlight w:val="none"/>
        </w:rPr>
        <w:t>其他</w:t>
      </w:r>
      <w:bookmarkEnd w:id="104"/>
      <w:bookmarkEnd w:id="105"/>
      <w:bookmarkEnd w:id="120"/>
      <w:bookmarkEnd w:id="121"/>
      <w:bookmarkEnd w:id="122"/>
      <w:bookmarkEnd w:id="123"/>
      <w:bookmarkEnd w:id="124"/>
      <w:bookmarkEnd w:id="125"/>
    </w:p>
    <w:bookmarkEnd w:id="126"/>
    <w:p w14:paraId="35ACBAF2">
      <w:pPr>
        <w:snapToGrid w:val="0"/>
        <w:spacing w:beforeLines="0" w:afterLines="0" w:line="360"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（一）其他未尽事宜由供需双方在采购合同中详细约定，在未改变</w:t>
      </w:r>
      <w:r>
        <w:rPr>
          <w:rFonts w:hint="eastAsia" w:ascii="仿宋" w:hAnsi="仿宋" w:eastAsia="仿宋" w:cs="仿宋"/>
          <w:color w:val="auto"/>
          <w:sz w:val="24"/>
          <w:szCs w:val="24"/>
          <w:highlight w:val="none"/>
          <w:lang w:eastAsia="zh-CN"/>
        </w:rPr>
        <w:t>询比</w:t>
      </w:r>
      <w:r>
        <w:rPr>
          <w:rFonts w:hint="eastAsia" w:ascii="仿宋" w:hAnsi="仿宋" w:eastAsia="仿宋" w:cs="仿宋"/>
          <w:color w:val="auto"/>
          <w:sz w:val="24"/>
          <w:szCs w:val="24"/>
          <w:highlight w:val="none"/>
        </w:rPr>
        <w:t>文件实质性条款的情况下，以采购人主张为主。</w:t>
      </w:r>
    </w:p>
    <w:p w14:paraId="553EDFEF">
      <w:pPr>
        <w:pStyle w:val="2"/>
        <w:spacing w:line="360" w:lineRule="auto"/>
        <w:rPr>
          <w:rFonts w:hint="eastAsia" w:ascii="仿宋" w:hAnsi="仿宋" w:eastAsia="仿宋" w:cs="仿宋"/>
          <w:color w:val="auto"/>
        </w:rPr>
      </w:pPr>
    </w:p>
    <w:p w14:paraId="637BEEFE">
      <w:pPr>
        <w:pStyle w:val="4"/>
        <w:pageBreakBefore/>
        <w:spacing w:before="0" w:after="0" w:line="360" w:lineRule="auto"/>
        <w:jc w:val="center"/>
        <w:rPr>
          <w:rFonts w:hint="eastAsia" w:ascii="仿宋" w:hAnsi="仿宋" w:eastAsia="仿宋" w:cs="仿宋"/>
          <w:b w:val="0"/>
          <w:color w:val="auto"/>
          <w:sz w:val="36"/>
          <w:szCs w:val="30"/>
        </w:rPr>
      </w:pPr>
      <w:bookmarkStart w:id="127" w:name="_Toc76462332"/>
      <w:bookmarkStart w:id="128" w:name="_Toc3815"/>
      <w:bookmarkStart w:id="129" w:name="_Toc115126148"/>
      <w:bookmarkStart w:id="130" w:name="_Toc342913394"/>
      <w:bookmarkStart w:id="131" w:name="_Toc102227320"/>
      <w:r>
        <w:rPr>
          <w:rFonts w:hint="eastAsia" w:ascii="仿宋" w:hAnsi="仿宋" w:eastAsia="仿宋" w:cs="仿宋"/>
          <w:b w:val="0"/>
          <w:color w:val="auto"/>
          <w:sz w:val="36"/>
          <w:szCs w:val="30"/>
        </w:rPr>
        <w:t xml:space="preserve">第四篇  </w:t>
      </w:r>
      <w:r>
        <w:rPr>
          <w:rFonts w:hint="eastAsia" w:ascii="仿宋" w:hAnsi="仿宋" w:eastAsia="仿宋" w:cs="仿宋"/>
          <w:b w:val="0"/>
          <w:color w:val="auto"/>
          <w:sz w:val="36"/>
          <w:szCs w:val="30"/>
          <w:lang w:eastAsia="zh-CN"/>
        </w:rPr>
        <w:t>评审</w:t>
      </w:r>
      <w:r>
        <w:rPr>
          <w:rFonts w:hint="eastAsia" w:ascii="仿宋" w:hAnsi="仿宋" w:eastAsia="仿宋" w:cs="仿宋"/>
          <w:b w:val="0"/>
          <w:color w:val="auto"/>
          <w:sz w:val="36"/>
          <w:szCs w:val="30"/>
        </w:rPr>
        <w:t>程序及方法、评审标准、无效响应和</w:t>
      </w:r>
      <w:r>
        <w:rPr>
          <w:rFonts w:hint="eastAsia" w:ascii="仿宋" w:hAnsi="仿宋" w:eastAsia="仿宋" w:cs="仿宋"/>
          <w:b w:val="0"/>
          <w:color w:val="auto"/>
          <w:sz w:val="36"/>
          <w:szCs w:val="36"/>
        </w:rPr>
        <w:t>采购终止</w:t>
      </w:r>
      <w:bookmarkEnd w:id="127"/>
      <w:bookmarkEnd w:id="128"/>
      <w:bookmarkEnd w:id="129"/>
    </w:p>
    <w:p w14:paraId="2B9F37C4">
      <w:pPr>
        <w:pStyle w:val="4"/>
        <w:adjustRightInd w:val="0"/>
        <w:snapToGrid w:val="0"/>
        <w:spacing w:before="0" w:after="0" w:line="360" w:lineRule="auto"/>
        <w:ind w:firstLine="482" w:firstLineChars="200"/>
        <w:rPr>
          <w:rFonts w:hint="eastAsia" w:ascii="仿宋" w:hAnsi="仿宋" w:eastAsia="仿宋" w:cs="仿宋"/>
          <w:color w:val="auto"/>
          <w:sz w:val="24"/>
        </w:rPr>
      </w:pPr>
      <w:bookmarkStart w:id="132" w:name="_Toc115126149"/>
      <w:bookmarkStart w:id="133" w:name="_Toc76462333"/>
      <w:bookmarkStart w:id="134" w:name="_Toc18542"/>
      <w:r>
        <w:rPr>
          <w:rFonts w:hint="eastAsia" w:ascii="仿宋" w:hAnsi="仿宋" w:eastAsia="仿宋" w:cs="仿宋"/>
          <w:color w:val="auto"/>
          <w:sz w:val="24"/>
        </w:rPr>
        <w:t>一、</w:t>
      </w:r>
      <w:r>
        <w:rPr>
          <w:rFonts w:hint="eastAsia" w:ascii="仿宋" w:hAnsi="仿宋" w:eastAsia="仿宋" w:cs="仿宋"/>
          <w:color w:val="auto"/>
          <w:sz w:val="24"/>
          <w:lang w:eastAsia="zh-CN"/>
        </w:rPr>
        <w:t>评审</w:t>
      </w:r>
      <w:r>
        <w:rPr>
          <w:rFonts w:hint="eastAsia" w:ascii="仿宋" w:hAnsi="仿宋" w:eastAsia="仿宋" w:cs="仿宋"/>
          <w:color w:val="auto"/>
          <w:sz w:val="24"/>
        </w:rPr>
        <w:t>程序及方法</w:t>
      </w:r>
      <w:bookmarkEnd w:id="132"/>
      <w:bookmarkEnd w:id="133"/>
      <w:bookmarkEnd w:id="134"/>
    </w:p>
    <w:p w14:paraId="1490D84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按询比文件</w:t>
      </w:r>
      <w:r>
        <w:rPr>
          <w:rFonts w:hint="eastAsia" w:ascii="仿宋" w:hAnsi="仿宋" w:eastAsia="仿宋" w:cs="仿宋"/>
          <w:color w:val="auto"/>
          <w:sz w:val="24"/>
          <w:szCs w:val="24"/>
        </w:rPr>
        <w:t>规定的时间和地点进行，供应商须有法定代表人（或其授权代表）或自然人参加并签到。</w:t>
      </w:r>
    </w:p>
    <w:p w14:paraId="40CB0319">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对各供应商的资格条件、响应文件的有效性、完整性和响应程度进行审查。各供应商只有在完全符合要求的前提下，</w:t>
      </w:r>
      <w:r>
        <w:rPr>
          <w:rFonts w:hint="eastAsia" w:ascii="仿宋" w:hAnsi="仿宋" w:eastAsia="仿宋" w:cs="仿宋"/>
          <w:color w:val="auto"/>
          <w:sz w:val="24"/>
          <w:szCs w:val="24"/>
          <w:lang w:val="en-US" w:eastAsia="zh-CN"/>
        </w:rPr>
        <w:t>才能进入评审环节。</w:t>
      </w:r>
    </w:p>
    <w:p w14:paraId="333FA441">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sz w:val="24"/>
          <w:szCs w:val="24"/>
        </w:rPr>
        <w:t>1.</w:t>
      </w:r>
      <w:r>
        <w:rPr>
          <w:rFonts w:hint="eastAsia" w:ascii="仿宋" w:hAnsi="仿宋" w:eastAsia="仿宋" w:cs="仿宋"/>
          <w:color w:val="auto"/>
          <w:kern w:val="0"/>
          <w:sz w:val="24"/>
          <w:szCs w:val="24"/>
        </w:rPr>
        <w:t>资格性审查。依据法律法规和</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的规定，对响应文件中的资格证明、等进行审查。资格性审查资料表如下：</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709"/>
        <w:gridCol w:w="3118"/>
        <w:gridCol w:w="4984"/>
      </w:tblGrid>
      <w:tr w14:paraId="3AFB4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0"/>
            <w:vAlign w:val="center"/>
          </w:tcPr>
          <w:p w14:paraId="629B042C">
            <w:pPr>
              <w:spacing w:line="240" w:lineRule="auto"/>
              <w:jc w:val="center"/>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序号</w:t>
            </w:r>
          </w:p>
        </w:tc>
        <w:tc>
          <w:tcPr>
            <w:tcW w:w="3827" w:type="dxa"/>
            <w:gridSpan w:val="2"/>
            <w:tcBorders>
              <w:top w:val="single" w:color="auto" w:sz="4" w:space="0"/>
              <w:left w:val="single" w:color="auto" w:sz="4" w:space="0"/>
              <w:bottom w:val="single" w:color="auto" w:sz="4" w:space="0"/>
              <w:right w:val="single" w:color="auto" w:sz="4" w:space="0"/>
            </w:tcBorders>
            <w:noWrap w:val="0"/>
            <w:vAlign w:val="center"/>
          </w:tcPr>
          <w:p w14:paraId="621E77CE">
            <w:pPr>
              <w:spacing w:line="240" w:lineRule="auto"/>
              <w:jc w:val="center"/>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检查因素</w:t>
            </w:r>
          </w:p>
        </w:tc>
        <w:tc>
          <w:tcPr>
            <w:tcW w:w="4984" w:type="dxa"/>
            <w:tcBorders>
              <w:top w:val="single" w:color="auto" w:sz="4" w:space="0"/>
              <w:left w:val="single" w:color="auto" w:sz="4" w:space="0"/>
              <w:bottom w:val="single" w:color="auto" w:sz="4" w:space="0"/>
              <w:right w:val="single" w:color="auto" w:sz="4" w:space="0"/>
            </w:tcBorders>
            <w:noWrap w:val="0"/>
            <w:vAlign w:val="center"/>
          </w:tcPr>
          <w:p w14:paraId="7EAD6199">
            <w:pPr>
              <w:spacing w:line="240" w:lineRule="auto"/>
              <w:jc w:val="center"/>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检查内容</w:t>
            </w:r>
          </w:p>
        </w:tc>
      </w:tr>
      <w:tr w14:paraId="75D2C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restart"/>
            <w:noWrap w:val="0"/>
            <w:vAlign w:val="center"/>
          </w:tcPr>
          <w:p w14:paraId="4847E444">
            <w:pPr>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（一）</w:t>
            </w:r>
          </w:p>
        </w:tc>
        <w:tc>
          <w:tcPr>
            <w:tcW w:w="709" w:type="dxa"/>
            <w:vMerge w:val="restart"/>
            <w:noWrap w:val="0"/>
            <w:vAlign w:val="center"/>
          </w:tcPr>
          <w:p w14:paraId="7FE5D4F1">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lang w:val="zh-CN"/>
              </w:rPr>
              <w:t>《中华人民共和国政府采购法》第二十二条规定</w:t>
            </w:r>
          </w:p>
        </w:tc>
        <w:tc>
          <w:tcPr>
            <w:tcW w:w="3118" w:type="dxa"/>
            <w:noWrap w:val="0"/>
            <w:vAlign w:val="center"/>
          </w:tcPr>
          <w:p w14:paraId="497745F9">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1.具有独立承担民事责任的能力</w:t>
            </w:r>
          </w:p>
        </w:tc>
        <w:tc>
          <w:tcPr>
            <w:tcW w:w="4984" w:type="dxa"/>
            <w:noWrap w:val="0"/>
            <w:vAlign w:val="center"/>
          </w:tcPr>
          <w:p w14:paraId="592340D4">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 xml:space="preserve">1. 供应商法人营业执照（副本）或事业单位法人证书（副本）或个体工商户营业执照或有效的自然人身份证明复印件； </w:t>
            </w:r>
          </w:p>
          <w:p w14:paraId="3B21DCC4">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2.供应商法定代表人身份证明和法定代表人授权代表委托书。</w:t>
            </w:r>
          </w:p>
        </w:tc>
      </w:tr>
      <w:tr w14:paraId="56415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50AB01F5">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61AFA0BB">
            <w:pPr>
              <w:spacing w:line="240" w:lineRule="auto"/>
              <w:rPr>
                <w:rFonts w:hint="eastAsia" w:ascii="仿宋" w:hAnsi="仿宋" w:eastAsia="仿宋" w:cs="仿宋"/>
                <w:color w:val="auto"/>
                <w:sz w:val="21"/>
                <w:szCs w:val="21"/>
                <w:lang w:val="zh-CN"/>
              </w:rPr>
            </w:pPr>
          </w:p>
        </w:tc>
        <w:tc>
          <w:tcPr>
            <w:tcW w:w="3118" w:type="dxa"/>
            <w:noWrap w:val="0"/>
            <w:vAlign w:val="center"/>
          </w:tcPr>
          <w:p w14:paraId="6570C4F4">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lang w:val="zh-CN"/>
              </w:rPr>
              <w:t>2.</w:t>
            </w:r>
            <w:r>
              <w:rPr>
                <w:rFonts w:hint="eastAsia" w:ascii="仿宋" w:hAnsi="仿宋" w:eastAsia="仿宋" w:cs="仿宋"/>
                <w:color w:val="auto"/>
                <w:sz w:val="21"/>
                <w:szCs w:val="21"/>
              </w:rPr>
              <w:t>具有良好的商业信誉和健全的财务会计制度</w:t>
            </w:r>
          </w:p>
        </w:tc>
        <w:tc>
          <w:tcPr>
            <w:tcW w:w="4984" w:type="dxa"/>
            <w:vMerge w:val="restart"/>
            <w:noWrap w:val="0"/>
            <w:vAlign w:val="center"/>
          </w:tcPr>
          <w:p w14:paraId="51654232">
            <w:pPr>
              <w:spacing w:line="240" w:lineRule="auto"/>
              <w:rPr>
                <w:rFonts w:hint="eastAsia" w:ascii="仿宋" w:hAnsi="仿宋" w:eastAsia="仿宋" w:cs="仿宋"/>
                <w:b/>
                <w:color w:val="auto"/>
                <w:sz w:val="21"/>
                <w:szCs w:val="21"/>
              </w:rPr>
            </w:pPr>
            <w:r>
              <w:rPr>
                <w:rFonts w:hint="eastAsia" w:ascii="仿宋" w:hAnsi="仿宋" w:eastAsia="仿宋" w:cs="仿宋"/>
                <w:color w:val="auto"/>
                <w:sz w:val="21"/>
                <w:szCs w:val="21"/>
              </w:rPr>
              <w:t>供应商提供“基本资格条件承诺函”（格式详见第七篇）</w:t>
            </w:r>
          </w:p>
        </w:tc>
      </w:tr>
      <w:tr w14:paraId="3EFF0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0FE846AA">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0A5EBDE8">
            <w:pPr>
              <w:spacing w:line="240" w:lineRule="auto"/>
              <w:rPr>
                <w:rFonts w:hint="eastAsia" w:ascii="仿宋" w:hAnsi="仿宋" w:eastAsia="仿宋" w:cs="仿宋"/>
                <w:color w:val="auto"/>
                <w:sz w:val="21"/>
                <w:szCs w:val="21"/>
                <w:lang w:val="zh-CN"/>
              </w:rPr>
            </w:pPr>
          </w:p>
        </w:tc>
        <w:tc>
          <w:tcPr>
            <w:tcW w:w="3118" w:type="dxa"/>
            <w:noWrap w:val="0"/>
            <w:vAlign w:val="center"/>
          </w:tcPr>
          <w:p w14:paraId="088221B2">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lang w:val="zh-CN"/>
              </w:rPr>
              <w:t>3.具有履行合同所必需的设备和专业技术能力</w:t>
            </w:r>
          </w:p>
        </w:tc>
        <w:tc>
          <w:tcPr>
            <w:tcW w:w="4984" w:type="dxa"/>
            <w:vMerge w:val="continue"/>
            <w:noWrap w:val="0"/>
            <w:vAlign w:val="center"/>
          </w:tcPr>
          <w:p w14:paraId="515F2D7E">
            <w:pPr>
              <w:spacing w:line="240" w:lineRule="auto"/>
              <w:rPr>
                <w:rFonts w:hint="eastAsia" w:ascii="仿宋" w:hAnsi="仿宋" w:eastAsia="仿宋" w:cs="仿宋"/>
                <w:color w:val="auto"/>
                <w:sz w:val="21"/>
                <w:szCs w:val="21"/>
              </w:rPr>
            </w:pPr>
          </w:p>
        </w:tc>
      </w:tr>
      <w:tr w14:paraId="66E50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286F57F8">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5661AE5F">
            <w:pPr>
              <w:spacing w:line="240" w:lineRule="auto"/>
              <w:rPr>
                <w:rFonts w:hint="eastAsia" w:ascii="仿宋" w:hAnsi="仿宋" w:eastAsia="仿宋" w:cs="仿宋"/>
                <w:color w:val="auto"/>
                <w:sz w:val="21"/>
                <w:szCs w:val="21"/>
                <w:lang w:val="zh-CN"/>
              </w:rPr>
            </w:pPr>
          </w:p>
        </w:tc>
        <w:tc>
          <w:tcPr>
            <w:tcW w:w="3118" w:type="dxa"/>
            <w:noWrap w:val="0"/>
            <w:vAlign w:val="center"/>
          </w:tcPr>
          <w:p w14:paraId="119287DD">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lang w:val="zh-CN"/>
              </w:rPr>
              <w:t>4.有依法缴纳税收和社会保障金的良好记录</w:t>
            </w:r>
          </w:p>
        </w:tc>
        <w:tc>
          <w:tcPr>
            <w:tcW w:w="4984" w:type="dxa"/>
            <w:vMerge w:val="continue"/>
            <w:noWrap w:val="0"/>
            <w:vAlign w:val="center"/>
          </w:tcPr>
          <w:p w14:paraId="0AB86E3B">
            <w:pPr>
              <w:spacing w:line="240" w:lineRule="auto"/>
              <w:rPr>
                <w:rFonts w:hint="eastAsia" w:ascii="仿宋" w:hAnsi="仿宋" w:eastAsia="仿宋" w:cs="仿宋"/>
                <w:color w:val="auto"/>
                <w:sz w:val="21"/>
                <w:szCs w:val="21"/>
              </w:rPr>
            </w:pPr>
          </w:p>
        </w:tc>
      </w:tr>
      <w:tr w14:paraId="71668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7896579B">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724BBF87">
            <w:pPr>
              <w:spacing w:line="240" w:lineRule="auto"/>
              <w:rPr>
                <w:rFonts w:hint="eastAsia" w:ascii="仿宋" w:hAnsi="仿宋" w:eastAsia="仿宋" w:cs="仿宋"/>
                <w:color w:val="auto"/>
                <w:sz w:val="21"/>
                <w:szCs w:val="21"/>
                <w:lang w:val="zh-CN"/>
              </w:rPr>
            </w:pPr>
          </w:p>
        </w:tc>
        <w:tc>
          <w:tcPr>
            <w:tcW w:w="3118" w:type="dxa"/>
            <w:noWrap w:val="0"/>
            <w:vAlign w:val="center"/>
          </w:tcPr>
          <w:p w14:paraId="3FFFCDCF">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rPr>
              <w:t>5.参加政府采购活动前三年内，在经营活动中没有重大违法记录</w:t>
            </w:r>
          </w:p>
        </w:tc>
        <w:tc>
          <w:tcPr>
            <w:tcW w:w="4984" w:type="dxa"/>
            <w:vMerge w:val="continue"/>
            <w:noWrap w:val="0"/>
            <w:vAlign w:val="center"/>
          </w:tcPr>
          <w:p w14:paraId="3D795F9F">
            <w:pPr>
              <w:spacing w:line="240" w:lineRule="auto"/>
              <w:rPr>
                <w:rFonts w:hint="eastAsia" w:ascii="仿宋" w:hAnsi="仿宋" w:eastAsia="仿宋" w:cs="仿宋"/>
                <w:b/>
                <w:color w:val="auto"/>
                <w:sz w:val="21"/>
                <w:szCs w:val="21"/>
              </w:rPr>
            </w:pPr>
          </w:p>
        </w:tc>
      </w:tr>
      <w:tr w14:paraId="4ED26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817" w:type="dxa"/>
            <w:vMerge w:val="continue"/>
            <w:noWrap w:val="0"/>
            <w:vAlign w:val="center"/>
          </w:tcPr>
          <w:p w14:paraId="564A93D0">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290F090B">
            <w:pPr>
              <w:spacing w:line="240" w:lineRule="auto"/>
              <w:rPr>
                <w:rFonts w:hint="eastAsia" w:ascii="仿宋" w:hAnsi="仿宋" w:eastAsia="仿宋" w:cs="仿宋"/>
                <w:color w:val="auto"/>
                <w:sz w:val="21"/>
                <w:szCs w:val="21"/>
              </w:rPr>
            </w:pPr>
          </w:p>
        </w:tc>
        <w:tc>
          <w:tcPr>
            <w:tcW w:w="3118" w:type="dxa"/>
            <w:noWrap w:val="0"/>
            <w:vAlign w:val="center"/>
          </w:tcPr>
          <w:p w14:paraId="4E86C853">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6.法律、行政法规规定的其他条件</w:t>
            </w:r>
          </w:p>
        </w:tc>
        <w:tc>
          <w:tcPr>
            <w:tcW w:w="4984" w:type="dxa"/>
            <w:noWrap w:val="0"/>
            <w:vAlign w:val="center"/>
          </w:tcPr>
          <w:p w14:paraId="7A949028">
            <w:pPr>
              <w:spacing w:line="240" w:lineRule="auto"/>
              <w:rPr>
                <w:rFonts w:hint="eastAsia" w:ascii="仿宋" w:hAnsi="仿宋" w:eastAsia="仿宋" w:cs="仿宋"/>
                <w:color w:val="auto"/>
                <w:sz w:val="21"/>
                <w:szCs w:val="21"/>
              </w:rPr>
            </w:pPr>
          </w:p>
        </w:tc>
      </w:tr>
      <w:tr w14:paraId="0F29E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817" w:type="dxa"/>
            <w:noWrap w:val="0"/>
            <w:vAlign w:val="center"/>
          </w:tcPr>
          <w:p w14:paraId="52ED9B20">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eastAsia="zh-CN"/>
              </w:rPr>
              <w:t>二</w:t>
            </w:r>
            <w:r>
              <w:rPr>
                <w:rFonts w:hint="eastAsia" w:ascii="仿宋" w:hAnsi="仿宋" w:eastAsia="仿宋" w:cs="仿宋"/>
                <w:color w:val="auto"/>
                <w:sz w:val="21"/>
                <w:szCs w:val="21"/>
              </w:rPr>
              <w:t xml:space="preserve"> ）</w:t>
            </w:r>
          </w:p>
        </w:tc>
        <w:tc>
          <w:tcPr>
            <w:tcW w:w="3827" w:type="dxa"/>
            <w:gridSpan w:val="2"/>
            <w:noWrap w:val="0"/>
            <w:vAlign w:val="center"/>
          </w:tcPr>
          <w:p w14:paraId="75E85E19">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本项目的特定资格要求</w:t>
            </w:r>
          </w:p>
        </w:tc>
        <w:tc>
          <w:tcPr>
            <w:tcW w:w="4984" w:type="dxa"/>
            <w:noWrap w:val="0"/>
            <w:vAlign w:val="center"/>
          </w:tcPr>
          <w:p w14:paraId="6EF5E012">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按“第一篇 三、供应商资格要求（二）本项目的特定资格要求”的要求提交（如果有）。</w:t>
            </w:r>
          </w:p>
        </w:tc>
      </w:tr>
    </w:tbl>
    <w:p w14:paraId="2F869C68">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t>注：</w:t>
      </w:r>
    </w:p>
    <w:p w14:paraId="0CD9D547">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fldChar w:fldCharType="begin"/>
      </w:r>
      <w:r>
        <w:rPr>
          <w:rFonts w:hint="eastAsia" w:ascii="仿宋" w:hAnsi="仿宋" w:eastAsia="仿宋" w:cs="仿宋"/>
          <w:color w:val="auto"/>
          <w:kern w:val="0"/>
          <w:sz w:val="24"/>
          <w:szCs w:val="24"/>
        </w:rPr>
        <w:instrText xml:space="preserve"> eq \o\ac(○,</w:instrText>
      </w:r>
      <w:r>
        <w:rPr>
          <w:rFonts w:hint="eastAsia" w:ascii="仿宋" w:hAnsi="仿宋" w:eastAsia="仿宋" w:cs="仿宋"/>
          <w:color w:val="auto"/>
          <w:kern w:val="0"/>
          <w:position w:val="3"/>
          <w:sz w:val="16"/>
          <w:szCs w:val="24"/>
        </w:rPr>
        <w:instrText xml:space="preserve">1</w:instrText>
      </w:r>
      <w:r>
        <w:rPr>
          <w:rFonts w:hint="eastAsia" w:ascii="仿宋" w:hAnsi="仿宋" w:eastAsia="仿宋" w:cs="仿宋"/>
          <w:color w:val="auto"/>
          <w:kern w:val="0"/>
          <w:sz w:val="24"/>
          <w:szCs w:val="24"/>
        </w:rPr>
        <w:instrText xml:space="preserve">)</w:instrText>
      </w:r>
      <w:r>
        <w:rPr>
          <w:rFonts w:hint="eastAsia" w:ascii="仿宋" w:hAnsi="仿宋" w:eastAsia="仿宋" w:cs="仿宋"/>
          <w:color w:val="auto"/>
          <w:kern w:val="0"/>
          <w:sz w:val="24"/>
          <w:szCs w:val="24"/>
        </w:rPr>
        <w:fldChar w:fldCharType="end"/>
      </w:r>
      <w:r>
        <w:rPr>
          <w:rFonts w:hint="eastAsia" w:ascii="仿宋" w:hAnsi="仿宋" w:eastAsia="仿宋" w:cs="仿宋"/>
          <w:color w:val="auto"/>
          <w:kern w:val="0"/>
          <w:sz w:val="24"/>
          <w:szCs w:val="24"/>
        </w:rPr>
        <w:t>根据《中华人民共和国政府采购法实施条例》第十九条“参加政府采购活动前三年内，在经营活动中没有重大违法记录”中“重大违法记录”，是指供应商因违法经营受到刑事处罚或者责令停产停业、吊销许可证或者执照、较大数额罚款等行政处罚。行政处罚中“较大数额”的认定标准，按照“财政部关于《中华人民共和国政府采购法实施条例》第十九条第一款“较大数额罚款”具体适用问题的意见（财库〔2022〕3 号）”执行。供应商可于响应文件递交截止时间前通过 “信用中国”网站(www.creditchina.gov.cn)、"中国政府采购网"(www.ccgp.gov.cn)等渠道查询信用记录。</w:t>
      </w:r>
    </w:p>
    <w:p w14:paraId="29A0B7F1">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t>2.符合性审查。依据</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的规定，从响应文件的有效性、完整性和对</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的响应程度进行审查，以确定是否对</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的实质性要求作出响应。符合性审查资料表如下：</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60"/>
        <w:gridCol w:w="1984"/>
        <w:gridCol w:w="5409"/>
      </w:tblGrid>
      <w:tr w14:paraId="3D566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675" w:type="dxa"/>
            <w:noWrap w:val="0"/>
            <w:vAlign w:val="center"/>
          </w:tcPr>
          <w:p w14:paraId="584E86C1">
            <w:pPr>
              <w:spacing w:line="240" w:lineRule="auto"/>
              <w:jc w:val="both"/>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序号</w:t>
            </w:r>
          </w:p>
        </w:tc>
        <w:tc>
          <w:tcPr>
            <w:tcW w:w="3544" w:type="dxa"/>
            <w:gridSpan w:val="2"/>
            <w:noWrap w:val="0"/>
            <w:vAlign w:val="center"/>
          </w:tcPr>
          <w:p w14:paraId="76C4961D">
            <w:pPr>
              <w:spacing w:line="240" w:lineRule="auto"/>
              <w:jc w:val="both"/>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评审因素</w:t>
            </w:r>
          </w:p>
        </w:tc>
        <w:tc>
          <w:tcPr>
            <w:tcW w:w="5409" w:type="dxa"/>
            <w:noWrap w:val="0"/>
            <w:vAlign w:val="center"/>
          </w:tcPr>
          <w:p w14:paraId="3445F568">
            <w:pPr>
              <w:spacing w:line="240" w:lineRule="auto"/>
              <w:jc w:val="both"/>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评审标准</w:t>
            </w:r>
          </w:p>
        </w:tc>
      </w:tr>
      <w:tr w14:paraId="6A159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675" w:type="dxa"/>
            <w:vMerge w:val="restart"/>
            <w:noWrap w:val="0"/>
            <w:vAlign w:val="center"/>
          </w:tcPr>
          <w:p w14:paraId="23A4CEAB">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1</w:t>
            </w:r>
          </w:p>
        </w:tc>
        <w:tc>
          <w:tcPr>
            <w:tcW w:w="1560" w:type="dxa"/>
            <w:vMerge w:val="restart"/>
            <w:noWrap w:val="0"/>
            <w:vAlign w:val="center"/>
          </w:tcPr>
          <w:p w14:paraId="59155C17">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有效性审查</w:t>
            </w:r>
          </w:p>
        </w:tc>
        <w:tc>
          <w:tcPr>
            <w:tcW w:w="1984" w:type="dxa"/>
            <w:noWrap w:val="0"/>
            <w:vAlign w:val="center"/>
          </w:tcPr>
          <w:p w14:paraId="27343DF9">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响应文件签署或盖章</w:t>
            </w:r>
          </w:p>
        </w:tc>
        <w:tc>
          <w:tcPr>
            <w:tcW w:w="5409" w:type="dxa"/>
            <w:noWrap w:val="0"/>
            <w:vAlign w:val="center"/>
          </w:tcPr>
          <w:p w14:paraId="62618031">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按</w:t>
            </w:r>
            <w:r>
              <w:rPr>
                <w:rFonts w:hint="eastAsia" w:ascii="仿宋" w:hAnsi="仿宋" w:eastAsia="仿宋" w:cs="仿宋"/>
                <w:color w:val="auto"/>
                <w:sz w:val="21"/>
                <w:szCs w:val="21"/>
                <w:lang w:eastAsia="zh-CN"/>
              </w:rPr>
              <w:t>询比文件</w:t>
            </w:r>
            <w:r>
              <w:rPr>
                <w:rFonts w:hint="eastAsia" w:ascii="仿宋" w:hAnsi="仿宋" w:eastAsia="仿宋" w:cs="仿宋"/>
                <w:color w:val="auto"/>
                <w:sz w:val="21"/>
                <w:szCs w:val="21"/>
              </w:rPr>
              <w:t>“第七篇响应文件编制要求”要求签署或盖章。</w:t>
            </w:r>
          </w:p>
        </w:tc>
      </w:tr>
      <w:tr w14:paraId="5102F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675" w:type="dxa"/>
            <w:vMerge w:val="continue"/>
            <w:noWrap w:val="0"/>
            <w:vAlign w:val="center"/>
          </w:tcPr>
          <w:p w14:paraId="3B8D6B52">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74326335">
            <w:pPr>
              <w:spacing w:line="240" w:lineRule="auto"/>
              <w:jc w:val="both"/>
              <w:rPr>
                <w:rFonts w:hint="eastAsia" w:ascii="仿宋" w:hAnsi="仿宋" w:eastAsia="仿宋" w:cs="仿宋"/>
                <w:color w:val="auto"/>
                <w:kern w:val="0"/>
                <w:sz w:val="21"/>
                <w:szCs w:val="21"/>
              </w:rPr>
            </w:pPr>
          </w:p>
        </w:tc>
        <w:tc>
          <w:tcPr>
            <w:tcW w:w="1984" w:type="dxa"/>
            <w:noWrap w:val="0"/>
            <w:vAlign w:val="center"/>
          </w:tcPr>
          <w:p w14:paraId="65483A8F">
            <w:pPr>
              <w:spacing w:line="240" w:lineRule="auto"/>
              <w:jc w:val="both"/>
              <w:rPr>
                <w:rFonts w:hint="eastAsia" w:ascii="仿宋" w:hAnsi="仿宋" w:eastAsia="仿宋" w:cs="仿宋"/>
                <w:color w:val="auto"/>
                <w:sz w:val="21"/>
                <w:szCs w:val="21"/>
              </w:rPr>
            </w:pPr>
            <w:r>
              <w:rPr>
                <w:rFonts w:hint="eastAsia" w:ascii="仿宋" w:hAnsi="仿宋" w:eastAsia="仿宋" w:cs="仿宋"/>
                <w:color w:val="auto"/>
                <w:sz w:val="21"/>
                <w:szCs w:val="21"/>
              </w:rPr>
              <w:t>法定代表人身份证明及授权委托书</w:t>
            </w:r>
          </w:p>
        </w:tc>
        <w:tc>
          <w:tcPr>
            <w:tcW w:w="5409" w:type="dxa"/>
            <w:noWrap w:val="0"/>
            <w:vAlign w:val="center"/>
          </w:tcPr>
          <w:p w14:paraId="217980B7">
            <w:pPr>
              <w:spacing w:line="240" w:lineRule="auto"/>
              <w:jc w:val="both"/>
              <w:rPr>
                <w:rFonts w:hint="eastAsia" w:ascii="仿宋" w:hAnsi="仿宋" w:eastAsia="仿宋" w:cs="仿宋"/>
                <w:color w:val="auto"/>
                <w:sz w:val="21"/>
                <w:szCs w:val="21"/>
              </w:rPr>
            </w:pPr>
            <w:r>
              <w:rPr>
                <w:rFonts w:hint="eastAsia" w:ascii="仿宋" w:hAnsi="仿宋" w:eastAsia="仿宋" w:cs="仿宋"/>
                <w:color w:val="auto"/>
                <w:sz w:val="21"/>
                <w:szCs w:val="21"/>
              </w:rPr>
              <w:t>法定代表人身份证明及授权委托书有效，符合</w:t>
            </w:r>
            <w:r>
              <w:rPr>
                <w:rFonts w:hint="eastAsia" w:ascii="仿宋" w:hAnsi="仿宋" w:eastAsia="仿宋" w:cs="仿宋"/>
                <w:color w:val="auto"/>
                <w:sz w:val="21"/>
                <w:szCs w:val="21"/>
                <w:lang w:eastAsia="zh-CN"/>
              </w:rPr>
              <w:t>询比文件</w:t>
            </w:r>
            <w:r>
              <w:rPr>
                <w:rFonts w:hint="eastAsia" w:ascii="仿宋" w:hAnsi="仿宋" w:eastAsia="仿宋" w:cs="仿宋"/>
                <w:color w:val="auto"/>
                <w:sz w:val="21"/>
                <w:szCs w:val="21"/>
              </w:rPr>
              <w:t>规定的格式，签署或盖章齐全。</w:t>
            </w:r>
          </w:p>
        </w:tc>
      </w:tr>
      <w:tr w14:paraId="4E942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675" w:type="dxa"/>
            <w:vMerge w:val="continue"/>
            <w:noWrap w:val="0"/>
            <w:vAlign w:val="center"/>
          </w:tcPr>
          <w:p w14:paraId="61CF422B">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5A81E1AC">
            <w:pPr>
              <w:spacing w:line="240" w:lineRule="auto"/>
              <w:jc w:val="both"/>
              <w:rPr>
                <w:rFonts w:hint="eastAsia" w:ascii="仿宋" w:hAnsi="仿宋" w:eastAsia="仿宋" w:cs="仿宋"/>
                <w:color w:val="auto"/>
                <w:kern w:val="0"/>
                <w:sz w:val="21"/>
                <w:szCs w:val="21"/>
              </w:rPr>
            </w:pPr>
          </w:p>
        </w:tc>
        <w:tc>
          <w:tcPr>
            <w:tcW w:w="1984" w:type="dxa"/>
            <w:noWrap w:val="0"/>
            <w:vAlign w:val="center"/>
          </w:tcPr>
          <w:p w14:paraId="7D798F82">
            <w:pPr>
              <w:spacing w:line="240" w:lineRule="auto"/>
              <w:jc w:val="both"/>
              <w:rPr>
                <w:rFonts w:hint="eastAsia" w:ascii="仿宋" w:hAnsi="仿宋" w:eastAsia="仿宋" w:cs="仿宋"/>
                <w:color w:val="auto"/>
                <w:sz w:val="21"/>
                <w:szCs w:val="21"/>
                <w:lang w:val="zh-CN"/>
              </w:rPr>
            </w:pP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方案</w:t>
            </w:r>
          </w:p>
        </w:tc>
        <w:tc>
          <w:tcPr>
            <w:tcW w:w="5409" w:type="dxa"/>
            <w:noWrap w:val="0"/>
            <w:vAlign w:val="center"/>
          </w:tcPr>
          <w:p w14:paraId="375B5362">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lang w:val="zh-CN"/>
              </w:rPr>
              <w:t>每个包只能有一个</w:t>
            </w: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方案。</w:t>
            </w:r>
          </w:p>
        </w:tc>
      </w:tr>
      <w:tr w14:paraId="1E610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675" w:type="dxa"/>
            <w:vMerge w:val="continue"/>
            <w:noWrap w:val="0"/>
            <w:vAlign w:val="center"/>
          </w:tcPr>
          <w:p w14:paraId="06F5EB53">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0712E786">
            <w:pPr>
              <w:spacing w:line="240" w:lineRule="auto"/>
              <w:jc w:val="both"/>
              <w:rPr>
                <w:rFonts w:hint="eastAsia" w:ascii="仿宋" w:hAnsi="仿宋" w:eastAsia="仿宋" w:cs="仿宋"/>
                <w:color w:val="auto"/>
                <w:kern w:val="0"/>
                <w:sz w:val="21"/>
                <w:szCs w:val="21"/>
              </w:rPr>
            </w:pPr>
          </w:p>
        </w:tc>
        <w:tc>
          <w:tcPr>
            <w:tcW w:w="1984" w:type="dxa"/>
            <w:noWrap w:val="0"/>
            <w:vAlign w:val="center"/>
          </w:tcPr>
          <w:p w14:paraId="19D75B0C">
            <w:pPr>
              <w:spacing w:line="240" w:lineRule="auto"/>
              <w:jc w:val="both"/>
              <w:rPr>
                <w:rFonts w:hint="eastAsia" w:ascii="仿宋" w:hAnsi="仿宋" w:eastAsia="仿宋" w:cs="仿宋"/>
                <w:color w:val="auto"/>
                <w:sz w:val="21"/>
                <w:szCs w:val="21"/>
                <w:lang w:val="zh-CN"/>
              </w:rPr>
            </w:pPr>
            <w:r>
              <w:rPr>
                <w:rFonts w:hint="eastAsia" w:ascii="仿宋" w:hAnsi="仿宋" w:eastAsia="仿宋" w:cs="仿宋"/>
                <w:color w:val="auto"/>
                <w:sz w:val="21"/>
                <w:szCs w:val="21"/>
              </w:rPr>
              <w:t>报价唯一</w:t>
            </w:r>
          </w:p>
        </w:tc>
        <w:tc>
          <w:tcPr>
            <w:tcW w:w="5409" w:type="dxa"/>
            <w:noWrap w:val="0"/>
            <w:vAlign w:val="center"/>
          </w:tcPr>
          <w:p w14:paraId="422B80E0">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只能有一个有效报价，不得超过最高限价，不得提交选择性报价。</w:t>
            </w:r>
          </w:p>
        </w:tc>
      </w:tr>
      <w:tr w14:paraId="4621F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675" w:type="dxa"/>
            <w:noWrap w:val="0"/>
            <w:vAlign w:val="center"/>
          </w:tcPr>
          <w:p w14:paraId="5F7C0330">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2</w:t>
            </w:r>
          </w:p>
        </w:tc>
        <w:tc>
          <w:tcPr>
            <w:tcW w:w="1560" w:type="dxa"/>
            <w:noWrap w:val="0"/>
            <w:vAlign w:val="center"/>
          </w:tcPr>
          <w:p w14:paraId="0C81D2D5">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完整性审查</w:t>
            </w:r>
          </w:p>
        </w:tc>
        <w:tc>
          <w:tcPr>
            <w:tcW w:w="1984" w:type="dxa"/>
            <w:noWrap w:val="0"/>
            <w:vAlign w:val="center"/>
          </w:tcPr>
          <w:p w14:paraId="1A6553FF">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文件份数</w:t>
            </w:r>
          </w:p>
        </w:tc>
        <w:tc>
          <w:tcPr>
            <w:tcW w:w="5409" w:type="dxa"/>
            <w:noWrap w:val="0"/>
            <w:vAlign w:val="center"/>
          </w:tcPr>
          <w:p w14:paraId="0CC4B600">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文件正、副本、电子文件数量符合</w:t>
            </w:r>
            <w:r>
              <w:rPr>
                <w:rFonts w:hint="eastAsia" w:ascii="仿宋" w:hAnsi="仿宋" w:eastAsia="仿宋" w:cs="仿宋"/>
                <w:color w:val="auto"/>
                <w:sz w:val="21"/>
                <w:szCs w:val="21"/>
                <w:lang w:eastAsia="zh-CN"/>
              </w:rPr>
              <w:t>询比文件</w:t>
            </w:r>
            <w:r>
              <w:rPr>
                <w:rFonts w:hint="eastAsia" w:ascii="仿宋" w:hAnsi="仿宋" w:eastAsia="仿宋" w:cs="仿宋"/>
                <w:color w:val="auto"/>
                <w:sz w:val="21"/>
                <w:szCs w:val="21"/>
                <w:lang w:val="zh-CN"/>
              </w:rPr>
              <w:t>要求。</w:t>
            </w:r>
          </w:p>
        </w:tc>
      </w:tr>
      <w:tr w14:paraId="0AD55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675" w:type="dxa"/>
            <w:vMerge w:val="restart"/>
            <w:noWrap w:val="0"/>
            <w:vAlign w:val="center"/>
          </w:tcPr>
          <w:p w14:paraId="77679912">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3</w:t>
            </w:r>
          </w:p>
        </w:tc>
        <w:tc>
          <w:tcPr>
            <w:tcW w:w="1560" w:type="dxa"/>
            <w:vMerge w:val="restart"/>
            <w:noWrap w:val="0"/>
            <w:vAlign w:val="center"/>
          </w:tcPr>
          <w:p w14:paraId="56844824">
            <w:pPr>
              <w:spacing w:line="240" w:lineRule="auto"/>
              <w:jc w:val="both"/>
              <w:rPr>
                <w:rFonts w:hint="eastAsia" w:ascii="仿宋" w:hAnsi="仿宋" w:eastAsia="仿宋" w:cs="仿宋"/>
                <w:color w:val="auto"/>
                <w:sz w:val="21"/>
                <w:szCs w:val="21"/>
                <w:lang w:val="zh-CN"/>
              </w:rPr>
            </w:pPr>
            <w:r>
              <w:rPr>
                <w:rFonts w:hint="eastAsia" w:ascii="仿宋" w:hAnsi="仿宋" w:eastAsia="仿宋" w:cs="仿宋"/>
                <w:color w:val="auto"/>
                <w:kern w:val="0"/>
                <w:sz w:val="21"/>
                <w:szCs w:val="21"/>
              </w:rPr>
              <w:t>响应程度审查</w:t>
            </w:r>
          </w:p>
        </w:tc>
        <w:tc>
          <w:tcPr>
            <w:tcW w:w="1984" w:type="dxa"/>
            <w:noWrap w:val="0"/>
            <w:vAlign w:val="center"/>
          </w:tcPr>
          <w:p w14:paraId="6C64DEA4">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实质性响应</w:t>
            </w:r>
          </w:p>
        </w:tc>
        <w:tc>
          <w:tcPr>
            <w:tcW w:w="5409" w:type="dxa"/>
            <w:noWrap w:val="0"/>
            <w:vAlign w:val="center"/>
          </w:tcPr>
          <w:p w14:paraId="26F7331B">
            <w:pPr>
              <w:pStyle w:val="8"/>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对</w:t>
            </w:r>
            <w:r>
              <w:rPr>
                <w:rFonts w:hint="eastAsia" w:ascii="仿宋" w:hAnsi="仿宋" w:eastAsia="仿宋" w:cs="仿宋"/>
                <w:color w:val="auto"/>
                <w:kern w:val="0"/>
                <w:sz w:val="21"/>
                <w:szCs w:val="21"/>
                <w:lang w:eastAsia="zh-CN"/>
              </w:rPr>
              <w:t>询比文件</w:t>
            </w:r>
            <w:r>
              <w:rPr>
                <w:rFonts w:hint="eastAsia" w:ascii="仿宋" w:hAnsi="仿宋" w:eastAsia="仿宋" w:cs="仿宋"/>
                <w:color w:val="auto"/>
                <w:kern w:val="0"/>
                <w:sz w:val="21"/>
                <w:szCs w:val="21"/>
              </w:rPr>
              <w:t>第二、三篇条款的实质性内容逐条作出实质性响应。</w:t>
            </w:r>
          </w:p>
        </w:tc>
      </w:tr>
      <w:tr w14:paraId="20A2F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675" w:type="dxa"/>
            <w:vMerge w:val="continue"/>
            <w:noWrap w:val="0"/>
            <w:vAlign w:val="center"/>
          </w:tcPr>
          <w:p w14:paraId="15ADCC4B">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72B136AD">
            <w:pPr>
              <w:spacing w:line="240" w:lineRule="auto"/>
              <w:jc w:val="both"/>
              <w:rPr>
                <w:rFonts w:hint="eastAsia" w:ascii="仿宋" w:hAnsi="仿宋" w:eastAsia="仿宋" w:cs="仿宋"/>
                <w:color w:val="auto"/>
                <w:sz w:val="21"/>
                <w:szCs w:val="21"/>
                <w:lang w:val="zh-CN"/>
              </w:rPr>
            </w:pPr>
          </w:p>
        </w:tc>
        <w:tc>
          <w:tcPr>
            <w:tcW w:w="1984" w:type="dxa"/>
            <w:noWrap w:val="0"/>
            <w:vAlign w:val="center"/>
          </w:tcPr>
          <w:p w14:paraId="2F220F9D">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lang w:eastAsia="zh-CN"/>
              </w:rPr>
              <w:t>询比</w:t>
            </w:r>
            <w:r>
              <w:rPr>
                <w:rFonts w:hint="eastAsia" w:ascii="仿宋" w:hAnsi="仿宋" w:eastAsia="仿宋" w:cs="仿宋"/>
                <w:color w:val="auto"/>
                <w:kern w:val="0"/>
                <w:sz w:val="21"/>
                <w:szCs w:val="21"/>
              </w:rPr>
              <w:t>有效期</w:t>
            </w:r>
          </w:p>
        </w:tc>
        <w:tc>
          <w:tcPr>
            <w:tcW w:w="5409" w:type="dxa"/>
            <w:noWrap w:val="0"/>
            <w:vAlign w:val="center"/>
          </w:tcPr>
          <w:p w14:paraId="01C70523">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响应文件及有关承诺文件有效期为提交响应文件截止时间起90天。</w:t>
            </w:r>
          </w:p>
        </w:tc>
      </w:tr>
    </w:tbl>
    <w:p w14:paraId="436D7530">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（三）澄清有关问题。</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在对响应文件的有效性、完整性和响应程度进行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14:paraId="6A801879">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要求供应商澄清、说明或者更正响应文件应当以书面形式作出。供应商的澄清、说明或者更正应当由法定代表人（或其授权代表）或自然人（供应商为自然人）签署或者加盖公章。由授权代表签署的，应当附法定代表人授权书。供应商为自然人的，应当由本人签署并附身份证明。</w:t>
      </w:r>
    </w:p>
    <w:p w14:paraId="4B67594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（五）在</w:t>
      </w:r>
      <w:r>
        <w:rPr>
          <w:rFonts w:hint="eastAsia" w:ascii="仿宋" w:hAnsi="仿宋" w:eastAsia="仿宋" w:cs="仿宋"/>
          <w:color w:val="auto"/>
          <w:sz w:val="24"/>
          <w:szCs w:val="24"/>
          <w:lang w:eastAsia="zh-CN"/>
        </w:rPr>
        <w:t>采购</w:t>
      </w:r>
      <w:r>
        <w:rPr>
          <w:rFonts w:hint="eastAsia" w:ascii="仿宋" w:hAnsi="仿宋" w:eastAsia="仿宋" w:cs="仿宋"/>
          <w:color w:val="auto"/>
          <w:sz w:val="24"/>
          <w:szCs w:val="24"/>
        </w:rPr>
        <w:t>过程中</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任何一方不得向他人透露与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有关的服务资料、价格或其他信息。</w:t>
      </w:r>
    </w:p>
    <w:p w14:paraId="7E68510D">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六</w:t>
      </w:r>
      <w:r>
        <w:rPr>
          <w:rFonts w:hint="eastAsia" w:ascii="仿宋" w:hAnsi="仿宋" w:eastAsia="仿宋" w:cs="仿宋"/>
          <w:color w:val="auto"/>
          <w:sz w:val="24"/>
          <w:szCs w:val="24"/>
        </w:rPr>
        <w:t>）供应商在</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时作出的所有书面承诺须由法定代表人（或其授权代表）或自然人（供应商为自然人）签署。</w:t>
      </w:r>
    </w:p>
    <w:p w14:paraId="4CEA81D2">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七</w:t>
      </w:r>
      <w:r>
        <w:rPr>
          <w:rFonts w:hint="eastAsia" w:ascii="仿宋" w:hAnsi="仿宋" w:eastAsia="仿宋" w:cs="仿宋"/>
          <w:color w:val="auto"/>
          <w:sz w:val="24"/>
          <w:szCs w:val="24"/>
        </w:rPr>
        <w:t>）</w:t>
      </w:r>
      <w:r>
        <w:rPr>
          <w:rFonts w:hint="eastAsia" w:ascii="仿宋" w:hAnsi="仿宋" w:eastAsia="仿宋" w:cs="仿宋"/>
          <w:color w:val="auto"/>
          <w:kern w:val="0"/>
          <w:sz w:val="24"/>
          <w:szCs w:val="24"/>
        </w:rPr>
        <w:t>综合评分法，是指响应文件满足</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全部实质性要求且按照评审因素的量化指标评审得分最高的供应商为成交候选供应商的评审方法。供应商总得分为价格、服务、商务等评定因素分别按照相应权重值计算分项得分后相加，满分为100分</w:t>
      </w:r>
      <w:r>
        <w:rPr>
          <w:rFonts w:hint="eastAsia" w:ascii="仿宋" w:hAnsi="仿宋" w:eastAsia="仿宋" w:cs="仿宋"/>
          <w:color w:val="auto"/>
          <w:sz w:val="24"/>
          <w:szCs w:val="24"/>
        </w:rPr>
        <w:t>。</w:t>
      </w:r>
    </w:p>
    <w:p w14:paraId="06D3038B">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八</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各成员独立对每个有效响应（通过资格性审查、</w:t>
      </w:r>
      <w:r>
        <w:rPr>
          <w:rFonts w:hint="eastAsia" w:ascii="仿宋" w:hAnsi="仿宋" w:eastAsia="仿宋" w:cs="仿宋"/>
          <w:color w:val="auto"/>
          <w:kern w:val="0"/>
          <w:sz w:val="24"/>
          <w:szCs w:val="24"/>
        </w:rPr>
        <w:t>符合性审查的供应商</w:t>
      </w:r>
      <w:r>
        <w:rPr>
          <w:rFonts w:hint="eastAsia" w:ascii="仿宋" w:hAnsi="仿宋" w:eastAsia="仿宋" w:cs="仿宋"/>
          <w:color w:val="auto"/>
          <w:sz w:val="24"/>
          <w:szCs w:val="24"/>
        </w:rPr>
        <w:t>）的文件进行评价、打分，然后汇总每个供应商每项评分因素的得分，并根据综合评分情况按照评审得分由高到低顺序推荐3名以上成交候选供应商，并编写评审报告。若供应商的评审得分相同的，按照最后报价由低到高的顺序排列推荐。评审得分且最后报价相同的，按照服务指标优劣顺序排列推荐。以上都相同的，按商务条款的优劣顺序排列推荐。）</w:t>
      </w:r>
    </w:p>
    <w:p w14:paraId="02F85939">
      <w:pPr>
        <w:pStyle w:val="4"/>
        <w:adjustRightInd w:val="0"/>
        <w:snapToGrid w:val="0"/>
        <w:spacing w:before="0" w:after="0" w:line="360" w:lineRule="auto"/>
        <w:ind w:firstLine="482" w:firstLineChars="200"/>
        <w:rPr>
          <w:rFonts w:hint="eastAsia" w:ascii="仿宋" w:hAnsi="仿宋" w:eastAsia="仿宋" w:cs="仿宋"/>
          <w:color w:val="auto"/>
          <w:sz w:val="24"/>
        </w:rPr>
      </w:pPr>
      <w:bookmarkStart w:id="135" w:name="_Toc1441"/>
      <w:bookmarkStart w:id="136" w:name="_Toc115126150"/>
      <w:bookmarkStart w:id="137" w:name="_Toc76462334"/>
      <w:r>
        <w:rPr>
          <w:rFonts w:hint="eastAsia" w:ascii="仿宋" w:hAnsi="仿宋" w:eastAsia="仿宋" w:cs="仿宋"/>
          <w:color w:val="auto"/>
          <w:sz w:val="24"/>
        </w:rPr>
        <w:t>二、评审标准</w:t>
      </w:r>
      <w:bookmarkEnd w:id="135"/>
      <w:bookmarkEnd w:id="136"/>
      <w:bookmarkEnd w:id="137"/>
    </w:p>
    <w:tbl>
      <w:tblPr>
        <w:tblStyle w:val="15"/>
        <w:tblW w:w="9868" w:type="dxa"/>
        <w:jc w:val="center"/>
        <w:tblLayout w:type="fixed"/>
        <w:tblCellMar>
          <w:top w:w="15" w:type="dxa"/>
          <w:left w:w="15" w:type="dxa"/>
          <w:bottom w:w="15" w:type="dxa"/>
          <w:right w:w="15" w:type="dxa"/>
        </w:tblCellMar>
      </w:tblPr>
      <w:tblGrid>
        <w:gridCol w:w="581"/>
        <w:gridCol w:w="1032"/>
        <w:gridCol w:w="947"/>
        <w:gridCol w:w="5191"/>
        <w:gridCol w:w="2117"/>
      </w:tblGrid>
      <w:tr w14:paraId="0D225398">
        <w:tblPrEx>
          <w:tblCellMar>
            <w:top w:w="15" w:type="dxa"/>
            <w:left w:w="15" w:type="dxa"/>
            <w:bottom w:w="15" w:type="dxa"/>
            <w:right w:w="15" w:type="dxa"/>
          </w:tblCellMar>
        </w:tblPrEx>
        <w:trPr>
          <w:trHeight w:val="610" w:hRule="atLeast"/>
          <w:tblHeader/>
          <w:jc w:val="center"/>
        </w:trPr>
        <w:tc>
          <w:tcPr>
            <w:tcW w:w="581" w:type="dxa"/>
            <w:tcBorders>
              <w:top w:val="single" w:color="000000" w:sz="4" w:space="0"/>
              <w:left w:val="single" w:color="000000" w:sz="4" w:space="0"/>
              <w:bottom w:val="single" w:color="000000" w:sz="4" w:space="0"/>
              <w:right w:val="single" w:color="000000" w:sz="4" w:space="0"/>
            </w:tcBorders>
            <w:noWrap w:val="0"/>
            <w:vAlign w:val="center"/>
          </w:tcPr>
          <w:p w14:paraId="624FA59F">
            <w:pPr>
              <w:snapToGrid w:val="0"/>
              <w:spacing w:line="240" w:lineRule="auto"/>
              <w:jc w:val="center"/>
              <w:rPr>
                <w:rFonts w:hint="eastAsia" w:ascii="仿宋" w:hAnsi="仿宋" w:eastAsia="仿宋" w:cs="仿宋"/>
                <w:color w:val="auto"/>
                <w:sz w:val="21"/>
                <w:szCs w:val="21"/>
              </w:rPr>
            </w:pPr>
            <w:bookmarkStart w:id="138" w:name="_Toc76462335"/>
            <w:bookmarkStart w:id="139" w:name="_Toc115126151"/>
            <w:r>
              <w:rPr>
                <w:rFonts w:hint="eastAsia" w:ascii="仿宋" w:hAnsi="仿宋" w:eastAsia="仿宋" w:cs="仿宋"/>
                <w:color w:val="auto"/>
                <w:sz w:val="21"/>
                <w:szCs w:val="21"/>
              </w:rPr>
              <w:t>序号</w:t>
            </w: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1A5BAEBF">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评分因素</w:t>
            </w:r>
          </w:p>
        </w:tc>
        <w:tc>
          <w:tcPr>
            <w:tcW w:w="947" w:type="dxa"/>
            <w:tcBorders>
              <w:top w:val="single" w:color="000000" w:sz="4" w:space="0"/>
              <w:left w:val="single" w:color="000000" w:sz="4" w:space="0"/>
              <w:bottom w:val="single" w:color="000000" w:sz="4" w:space="0"/>
              <w:right w:val="single" w:color="000000" w:sz="4" w:space="0"/>
            </w:tcBorders>
            <w:noWrap w:val="0"/>
            <w:vAlign w:val="center"/>
          </w:tcPr>
          <w:p w14:paraId="04F8195F">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分值</w:t>
            </w:r>
          </w:p>
        </w:tc>
        <w:tc>
          <w:tcPr>
            <w:tcW w:w="5191" w:type="dxa"/>
            <w:tcBorders>
              <w:top w:val="single" w:color="000000" w:sz="4" w:space="0"/>
              <w:left w:val="single" w:color="000000" w:sz="4" w:space="0"/>
              <w:bottom w:val="single" w:color="000000" w:sz="4" w:space="0"/>
              <w:right w:val="single" w:color="000000" w:sz="4" w:space="0"/>
            </w:tcBorders>
            <w:noWrap w:val="0"/>
            <w:vAlign w:val="center"/>
          </w:tcPr>
          <w:p w14:paraId="4952A7BE">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评分标准</w:t>
            </w:r>
          </w:p>
        </w:tc>
        <w:tc>
          <w:tcPr>
            <w:tcW w:w="2117" w:type="dxa"/>
            <w:tcBorders>
              <w:top w:val="single" w:color="000000" w:sz="4" w:space="0"/>
              <w:left w:val="single" w:color="000000" w:sz="4" w:space="0"/>
              <w:bottom w:val="single" w:color="000000" w:sz="4" w:space="0"/>
              <w:right w:val="single" w:color="000000" w:sz="4" w:space="0"/>
            </w:tcBorders>
            <w:noWrap w:val="0"/>
            <w:vAlign w:val="center"/>
          </w:tcPr>
          <w:p w14:paraId="0F4E6547">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说明</w:t>
            </w:r>
          </w:p>
        </w:tc>
      </w:tr>
      <w:tr w14:paraId="765076CB">
        <w:tblPrEx>
          <w:tblCellMar>
            <w:top w:w="15" w:type="dxa"/>
            <w:left w:w="15" w:type="dxa"/>
            <w:bottom w:w="15" w:type="dxa"/>
            <w:right w:w="15" w:type="dxa"/>
          </w:tblCellMar>
        </w:tblPrEx>
        <w:trPr>
          <w:trHeight w:val="1826" w:hRule="atLeast"/>
          <w:jc w:val="center"/>
        </w:trPr>
        <w:tc>
          <w:tcPr>
            <w:tcW w:w="581" w:type="dxa"/>
            <w:tcBorders>
              <w:top w:val="single" w:color="000000" w:sz="4" w:space="0"/>
              <w:left w:val="single" w:color="000000" w:sz="4" w:space="0"/>
              <w:bottom w:val="single" w:color="auto" w:sz="4" w:space="0"/>
              <w:right w:val="single" w:color="000000" w:sz="4" w:space="0"/>
            </w:tcBorders>
            <w:noWrap w:val="0"/>
            <w:vAlign w:val="center"/>
          </w:tcPr>
          <w:p w14:paraId="249CEF63">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1</w:t>
            </w:r>
          </w:p>
        </w:tc>
        <w:tc>
          <w:tcPr>
            <w:tcW w:w="1032" w:type="dxa"/>
            <w:tcBorders>
              <w:top w:val="single" w:color="000000" w:sz="4" w:space="0"/>
              <w:left w:val="single" w:color="000000" w:sz="4" w:space="0"/>
              <w:bottom w:val="single" w:color="auto" w:sz="4" w:space="0"/>
              <w:right w:val="single" w:color="000000" w:sz="4" w:space="0"/>
            </w:tcBorders>
            <w:noWrap w:val="0"/>
            <w:vAlign w:val="center"/>
          </w:tcPr>
          <w:p w14:paraId="21EE8215">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投标报价</w:t>
            </w:r>
          </w:p>
          <w:p w14:paraId="1847FC87">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20</w:t>
            </w:r>
            <w:r>
              <w:rPr>
                <w:rFonts w:hint="eastAsia" w:ascii="仿宋" w:hAnsi="仿宋" w:eastAsia="仿宋" w:cs="仿宋"/>
                <w:color w:val="auto"/>
                <w:sz w:val="21"/>
                <w:szCs w:val="21"/>
              </w:rPr>
              <w:t>%</w:t>
            </w:r>
          </w:p>
        </w:tc>
        <w:tc>
          <w:tcPr>
            <w:tcW w:w="947" w:type="dxa"/>
            <w:tcBorders>
              <w:top w:val="single" w:color="000000" w:sz="4" w:space="0"/>
              <w:left w:val="single" w:color="000000" w:sz="4" w:space="0"/>
              <w:bottom w:val="single" w:color="auto" w:sz="4" w:space="0"/>
              <w:right w:val="single" w:color="000000" w:sz="4" w:space="0"/>
            </w:tcBorders>
            <w:noWrap w:val="0"/>
            <w:vAlign w:val="center"/>
          </w:tcPr>
          <w:p w14:paraId="62BC7505">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20</w:t>
            </w:r>
            <w:r>
              <w:rPr>
                <w:rFonts w:hint="eastAsia" w:ascii="仿宋" w:hAnsi="仿宋" w:eastAsia="仿宋" w:cs="仿宋"/>
                <w:color w:val="auto"/>
                <w:sz w:val="21"/>
                <w:szCs w:val="21"/>
              </w:rPr>
              <w:t>分</w:t>
            </w:r>
          </w:p>
        </w:tc>
        <w:tc>
          <w:tcPr>
            <w:tcW w:w="5191" w:type="dxa"/>
            <w:tcBorders>
              <w:top w:val="single" w:color="000000" w:sz="4" w:space="0"/>
              <w:left w:val="single" w:color="000000" w:sz="4" w:space="0"/>
              <w:bottom w:val="single" w:color="auto" w:sz="4" w:space="0"/>
              <w:right w:val="single" w:color="000000" w:sz="4" w:space="0"/>
            </w:tcBorders>
            <w:noWrap w:val="0"/>
            <w:vAlign w:val="center"/>
          </w:tcPr>
          <w:p w14:paraId="3FCFB428">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满足</w:t>
            </w:r>
            <w:r>
              <w:rPr>
                <w:rFonts w:hint="eastAsia" w:ascii="仿宋" w:hAnsi="仿宋" w:eastAsia="仿宋" w:cs="仿宋"/>
                <w:color w:val="auto"/>
                <w:sz w:val="21"/>
                <w:szCs w:val="21"/>
                <w:lang w:eastAsia="zh-CN"/>
              </w:rPr>
              <w:t>采购</w:t>
            </w:r>
            <w:r>
              <w:rPr>
                <w:rFonts w:hint="eastAsia" w:ascii="仿宋" w:hAnsi="仿宋" w:eastAsia="仿宋" w:cs="仿宋"/>
                <w:color w:val="auto"/>
                <w:sz w:val="21"/>
                <w:szCs w:val="21"/>
              </w:rPr>
              <w:t>文件要求且最后折扣报价最低的供应商的为基准价格，其价格分为满分。其他供应商的价格分统一按照下列公式计算:</w:t>
            </w:r>
          </w:p>
          <w:p w14:paraId="3836F0D1">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报价得分=(基准折扣</w:t>
            </w:r>
            <w:r>
              <w:rPr>
                <w:rFonts w:hint="eastAsia" w:ascii="仿宋" w:hAnsi="仿宋" w:eastAsia="仿宋" w:cs="仿宋"/>
                <w:color w:val="auto"/>
                <w:sz w:val="21"/>
                <w:szCs w:val="21"/>
                <w:lang w:val="en-US" w:eastAsia="zh-CN"/>
              </w:rPr>
              <w:t>报价</w:t>
            </w:r>
            <w:r>
              <w:rPr>
                <w:rFonts w:hint="eastAsia" w:ascii="仿宋" w:hAnsi="仿宋" w:eastAsia="仿宋" w:cs="仿宋"/>
                <w:color w:val="auto"/>
                <w:sz w:val="21"/>
                <w:szCs w:val="21"/>
              </w:rPr>
              <w:t>/报价折扣)×价格权重×100</w:t>
            </w:r>
          </w:p>
        </w:tc>
        <w:tc>
          <w:tcPr>
            <w:tcW w:w="2117" w:type="dxa"/>
            <w:tcBorders>
              <w:top w:val="single" w:color="000000" w:sz="4" w:space="0"/>
              <w:left w:val="single" w:color="000000" w:sz="4" w:space="0"/>
              <w:bottom w:val="single" w:color="auto" w:sz="4" w:space="0"/>
              <w:right w:val="single" w:color="000000" w:sz="4" w:space="0"/>
            </w:tcBorders>
            <w:noWrap w:val="0"/>
            <w:vAlign w:val="center"/>
          </w:tcPr>
          <w:p w14:paraId="3161F7C9">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折扣报价填报说明 ：供应商的折扣报价应在0%—100%之间，否则为无效响应</w:t>
            </w:r>
            <w:r>
              <w:rPr>
                <w:rFonts w:hint="eastAsia" w:ascii="仿宋" w:hAnsi="仿宋" w:eastAsia="仿宋" w:cs="仿宋"/>
                <w:color w:val="auto"/>
                <w:sz w:val="21"/>
                <w:szCs w:val="21"/>
              </w:rPr>
              <w:t>。</w:t>
            </w:r>
          </w:p>
        </w:tc>
      </w:tr>
      <w:tr w14:paraId="4E0BC04D">
        <w:tblPrEx>
          <w:tblCellMar>
            <w:top w:w="15" w:type="dxa"/>
            <w:left w:w="15" w:type="dxa"/>
            <w:bottom w:w="15" w:type="dxa"/>
            <w:right w:w="15" w:type="dxa"/>
          </w:tblCellMar>
        </w:tblPrEx>
        <w:trPr>
          <w:trHeight w:val="1902" w:hRule="atLeast"/>
          <w:jc w:val="center"/>
        </w:trPr>
        <w:tc>
          <w:tcPr>
            <w:tcW w:w="581" w:type="dxa"/>
            <w:vMerge w:val="restart"/>
            <w:tcBorders>
              <w:top w:val="single" w:color="000000" w:sz="4" w:space="0"/>
              <w:left w:val="single" w:color="000000" w:sz="4" w:space="0"/>
              <w:right w:val="single" w:color="000000" w:sz="4" w:space="0"/>
            </w:tcBorders>
            <w:noWrap w:val="0"/>
            <w:vAlign w:val="center"/>
          </w:tcPr>
          <w:p w14:paraId="1B29D19D">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2</w:t>
            </w:r>
          </w:p>
          <w:p w14:paraId="1D7116F4">
            <w:pPr>
              <w:snapToGrid w:val="0"/>
              <w:spacing w:line="240" w:lineRule="auto"/>
              <w:jc w:val="center"/>
              <w:rPr>
                <w:rFonts w:hint="eastAsia" w:ascii="仿宋" w:hAnsi="仿宋" w:eastAsia="仿宋" w:cs="仿宋"/>
                <w:color w:val="auto"/>
                <w:sz w:val="21"/>
                <w:szCs w:val="21"/>
              </w:rPr>
            </w:pPr>
          </w:p>
        </w:tc>
        <w:tc>
          <w:tcPr>
            <w:tcW w:w="1032" w:type="dxa"/>
            <w:vMerge w:val="restart"/>
            <w:tcBorders>
              <w:top w:val="single" w:color="000000" w:sz="4" w:space="0"/>
              <w:left w:val="single" w:color="000000" w:sz="4" w:space="0"/>
              <w:right w:val="single" w:color="000000" w:sz="4" w:space="0"/>
            </w:tcBorders>
            <w:noWrap w:val="0"/>
            <w:vAlign w:val="center"/>
          </w:tcPr>
          <w:p w14:paraId="26403F38">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服务部分60</w:t>
            </w:r>
            <w:r>
              <w:rPr>
                <w:rFonts w:hint="eastAsia" w:ascii="仿宋" w:hAnsi="仿宋" w:eastAsia="仿宋" w:cs="仿宋"/>
                <w:color w:val="auto"/>
                <w:sz w:val="21"/>
                <w:szCs w:val="21"/>
              </w:rPr>
              <w:t>%</w:t>
            </w:r>
          </w:p>
        </w:tc>
        <w:tc>
          <w:tcPr>
            <w:tcW w:w="947" w:type="dxa"/>
            <w:tcBorders>
              <w:top w:val="single" w:color="000000" w:sz="4" w:space="0"/>
              <w:left w:val="single" w:color="000000" w:sz="4" w:space="0"/>
              <w:bottom w:val="single" w:color="auto" w:sz="4" w:space="0"/>
              <w:right w:val="single" w:color="000000" w:sz="4" w:space="0"/>
            </w:tcBorders>
            <w:noWrap w:val="0"/>
            <w:vAlign w:val="center"/>
          </w:tcPr>
          <w:p w14:paraId="485A2592">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highlight w:val="none"/>
              </w:rPr>
              <w:t>管理制度（</w:t>
            </w:r>
            <w:r>
              <w:rPr>
                <w:rFonts w:hint="eastAsia" w:ascii="仿宋" w:hAnsi="仿宋" w:eastAsia="仿宋" w:cs="仿宋"/>
                <w:color w:val="auto"/>
                <w:sz w:val="21"/>
                <w:szCs w:val="21"/>
                <w:highlight w:val="none"/>
                <w:lang w:val="en-US" w:eastAsia="zh-CN"/>
              </w:rPr>
              <w:t>15</w:t>
            </w:r>
            <w:r>
              <w:rPr>
                <w:rFonts w:hint="eastAsia" w:ascii="仿宋" w:hAnsi="仿宋" w:eastAsia="仿宋" w:cs="仿宋"/>
                <w:color w:val="auto"/>
                <w:sz w:val="21"/>
                <w:szCs w:val="21"/>
                <w:highlight w:val="none"/>
              </w:rPr>
              <w:t>分）</w:t>
            </w:r>
          </w:p>
        </w:tc>
        <w:tc>
          <w:tcPr>
            <w:tcW w:w="5191" w:type="dxa"/>
            <w:tcBorders>
              <w:top w:val="single" w:color="000000" w:sz="4" w:space="0"/>
              <w:left w:val="single" w:color="000000" w:sz="4" w:space="0"/>
              <w:bottom w:val="single" w:color="auto" w:sz="4" w:space="0"/>
              <w:right w:val="single" w:color="000000" w:sz="4" w:space="0"/>
            </w:tcBorders>
            <w:noWrap w:val="0"/>
            <w:vAlign w:val="center"/>
          </w:tcPr>
          <w:p w14:paraId="3F950FFF">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供应商</w:t>
            </w:r>
            <w:r>
              <w:rPr>
                <w:rFonts w:hint="eastAsia" w:ascii="仿宋" w:hAnsi="仿宋" w:eastAsia="仿宋" w:cs="仿宋"/>
                <w:color w:val="auto"/>
                <w:sz w:val="21"/>
                <w:szCs w:val="21"/>
              </w:rPr>
              <w:t>为本项目提供项目管理相关制度，内容包含但不限于：</w:t>
            </w:r>
            <w:r>
              <w:rPr>
                <w:rFonts w:hint="eastAsia" w:ascii="仿宋" w:hAnsi="仿宋" w:eastAsia="仿宋" w:cs="仿宋"/>
                <w:color w:val="auto"/>
                <w:sz w:val="21"/>
                <w:szCs w:val="21"/>
                <w:lang w:val="en-US" w:eastAsia="zh-CN"/>
              </w:rPr>
              <w:t>供应</w:t>
            </w:r>
            <w:r>
              <w:rPr>
                <w:rFonts w:hint="eastAsia" w:ascii="仿宋" w:hAnsi="仿宋" w:eastAsia="仿宋" w:cs="仿宋"/>
                <w:color w:val="auto"/>
                <w:sz w:val="21"/>
                <w:szCs w:val="21"/>
              </w:rPr>
              <w:t>管理制度；质量管理制度；应急管理制度；</w:t>
            </w:r>
          </w:p>
          <w:p w14:paraId="1D3D179A">
            <w:pPr>
              <w:snapToGrid w:val="0"/>
              <w:spacing w:line="240" w:lineRule="auto"/>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rPr>
              <w:t>安全管理制度</w:t>
            </w:r>
            <w:r>
              <w:rPr>
                <w:rFonts w:hint="eastAsia" w:ascii="仿宋" w:hAnsi="仿宋" w:eastAsia="仿宋" w:cs="仿宋"/>
                <w:color w:val="auto"/>
                <w:sz w:val="21"/>
                <w:szCs w:val="21"/>
                <w:lang w:eastAsia="zh-CN"/>
              </w:rPr>
              <w:t>。</w:t>
            </w:r>
          </w:p>
          <w:p w14:paraId="70D18206">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方案内容不存在瑕疵得15分；</w:t>
            </w:r>
          </w:p>
          <w:p w14:paraId="636269FF">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方案内容存在1处瑕疵得12分；</w:t>
            </w:r>
          </w:p>
          <w:p w14:paraId="62C9FCDB">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方案内容存在2处瑕疵得8分；</w:t>
            </w:r>
          </w:p>
          <w:p w14:paraId="38950CE3">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方案内容存在3处及以上瑕疵的5分；</w:t>
            </w:r>
          </w:p>
          <w:p w14:paraId="3C7DD782">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方案内容存在4处及以上瑕疵的或未提供得0分。</w:t>
            </w:r>
          </w:p>
        </w:tc>
        <w:tc>
          <w:tcPr>
            <w:tcW w:w="2117" w:type="dxa"/>
            <w:vMerge w:val="restart"/>
            <w:tcBorders>
              <w:top w:val="single" w:color="000000" w:sz="4" w:space="0"/>
              <w:left w:val="single" w:color="000000" w:sz="4" w:space="0"/>
              <w:right w:val="single" w:color="000000" w:sz="4" w:space="0"/>
            </w:tcBorders>
            <w:noWrap w:val="0"/>
            <w:vAlign w:val="center"/>
          </w:tcPr>
          <w:p w14:paraId="6534FA42">
            <w:pPr>
              <w:snapToGrid w:val="0"/>
              <w:spacing w:line="240" w:lineRule="auto"/>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1.提供</w:t>
            </w:r>
            <w:r>
              <w:rPr>
                <w:rFonts w:hint="eastAsia" w:ascii="仿宋" w:hAnsi="仿宋" w:eastAsia="仿宋" w:cs="仿宋"/>
                <w:color w:val="auto"/>
                <w:sz w:val="21"/>
                <w:szCs w:val="21"/>
                <w:lang w:val="en-US" w:eastAsia="zh-CN"/>
              </w:rPr>
              <w:t>服务方案，</w:t>
            </w:r>
            <w:r>
              <w:rPr>
                <w:rFonts w:hint="eastAsia" w:ascii="仿宋" w:hAnsi="仿宋" w:eastAsia="仿宋" w:cs="仿宋"/>
                <w:color w:val="auto"/>
                <w:sz w:val="21"/>
                <w:szCs w:val="21"/>
              </w:rPr>
              <w:t>格式自定</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服务方案内容应精简明确，采用双页打印，且不得超过200页，否则不得评审为优。</w:t>
            </w:r>
          </w:p>
          <w:p w14:paraId="105D49C3">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2.本项内容中所称的“瑕疵”指出现下列任一情形：</w:t>
            </w:r>
          </w:p>
          <w:p w14:paraId="47A76B3D">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（1）方案内容缺项、内容表述不完整；</w:t>
            </w:r>
          </w:p>
          <w:p w14:paraId="62D393BA">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（2）缺少针对性描述分析或缺少关键分析点；</w:t>
            </w:r>
          </w:p>
          <w:p w14:paraId="77C65F4C">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（3）表述前后矛盾、无连贯性；</w:t>
            </w:r>
          </w:p>
          <w:p w14:paraId="6E1AE47B">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（4）内容存在逻辑漏洞、常识错误、科学原理错误；</w:t>
            </w:r>
          </w:p>
          <w:p w14:paraId="09C522E7">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（5）安排并不适用本项目特性或非专门针对本项目制定；</w:t>
            </w:r>
          </w:p>
          <w:p w14:paraId="00AA3B1D">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（6）提出的措施举措不利于本项目目标的实现；</w:t>
            </w:r>
          </w:p>
          <w:p w14:paraId="48BEB60D">
            <w:pPr>
              <w:snapToGrid w:val="0"/>
              <w:spacing w:line="240" w:lineRule="auto"/>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（7）现有条件下不可能实现的情形。</w:t>
            </w:r>
          </w:p>
          <w:p w14:paraId="2117FA6F">
            <w:pPr>
              <w:snapToGrid w:val="0"/>
              <w:spacing w:line="240" w:lineRule="auto"/>
              <w:jc w:val="left"/>
              <w:rPr>
                <w:rFonts w:hint="eastAsia" w:ascii="仿宋" w:hAnsi="仿宋" w:eastAsia="仿宋" w:cs="仿宋"/>
                <w:color w:val="auto"/>
                <w:sz w:val="21"/>
                <w:szCs w:val="21"/>
              </w:rPr>
            </w:pPr>
          </w:p>
        </w:tc>
      </w:tr>
      <w:tr w14:paraId="5972304F">
        <w:tblPrEx>
          <w:tblCellMar>
            <w:top w:w="15" w:type="dxa"/>
            <w:left w:w="15" w:type="dxa"/>
            <w:bottom w:w="15" w:type="dxa"/>
            <w:right w:w="15" w:type="dxa"/>
          </w:tblCellMar>
        </w:tblPrEx>
        <w:trPr>
          <w:trHeight w:val="1496" w:hRule="atLeast"/>
          <w:jc w:val="center"/>
        </w:trPr>
        <w:tc>
          <w:tcPr>
            <w:tcW w:w="581" w:type="dxa"/>
            <w:vMerge w:val="continue"/>
            <w:tcBorders>
              <w:left w:val="single" w:color="000000" w:sz="4" w:space="0"/>
              <w:right w:val="single" w:color="000000" w:sz="4" w:space="0"/>
            </w:tcBorders>
            <w:noWrap w:val="0"/>
            <w:vAlign w:val="center"/>
          </w:tcPr>
          <w:p w14:paraId="7FD4C48E">
            <w:pPr>
              <w:snapToGrid w:val="0"/>
              <w:spacing w:line="240" w:lineRule="auto"/>
              <w:jc w:val="center"/>
              <w:rPr>
                <w:rFonts w:hint="eastAsia" w:ascii="仿宋" w:hAnsi="仿宋" w:eastAsia="仿宋" w:cs="仿宋"/>
                <w:color w:val="auto"/>
                <w:sz w:val="21"/>
                <w:szCs w:val="21"/>
              </w:rPr>
            </w:pPr>
          </w:p>
        </w:tc>
        <w:tc>
          <w:tcPr>
            <w:tcW w:w="1032" w:type="dxa"/>
            <w:vMerge w:val="continue"/>
            <w:tcBorders>
              <w:left w:val="single" w:color="000000" w:sz="4" w:space="0"/>
              <w:right w:val="single" w:color="000000" w:sz="4" w:space="0"/>
            </w:tcBorders>
            <w:noWrap w:val="0"/>
            <w:vAlign w:val="center"/>
          </w:tcPr>
          <w:p w14:paraId="0085BD5B">
            <w:pPr>
              <w:snapToGrid w:val="0"/>
              <w:spacing w:line="240" w:lineRule="auto"/>
              <w:jc w:val="center"/>
              <w:rPr>
                <w:rFonts w:hint="eastAsia" w:ascii="仿宋" w:hAnsi="仿宋" w:eastAsia="仿宋" w:cs="仿宋"/>
                <w:color w:val="auto"/>
                <w:sz w:val="21"/>
                <w:szCs w:val="21"/>
              </w:rPr>
            </w:pPr>
          </w:p>
        </w:tc>
        <w:tc>
          <w:tcPr>
            <w:tcW w:w="947" w:type="dxa"/>
            <w:tcBorders>
              <w:top w:val="single" w:color="000000" w:sz="4" w:space="0"/>
              <w:left w:val="single" w:color="000000" w:sz="4" w:space="0"/>
              <w:bottom w:val="single" w:color="auto" w:sz="4" w:space="0"/>
              <w:right w:val="single" w:color="000000" w:sz="4" w:space="0"/>
            </w:tcBorders>
            <w:noWrap w:val="0"/>
            <w:vAlign w:val="center"/>
          </w:tcPr>
          <w:p w14:paraId="293FDEEA">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highlight w:val="none"/>
              </w:rPr>
              <w:t>服务措施（</w:t>
            </w:r>
            <w:r>
              <w:rPr>
                <w:rFonts w:hint="eastAsia" w:ascii="仿宋" w:hAnsi="仿宋" w:eastAsia="仿宋" w:cs="仿宋"/>
                <w:color w:val="auto"/>
                <w:sz w:val="21"/>
                <w:szCs w:val="21"/>
                <w:highlight w:val="none"/>
                <w:lang w:val="en-US" w:eastAsia="zh-CN"/>
              </w:rPr>
              <w:t>15</w:t>
            </w:r>
            <w:r>
              <w:rPr>
                <w:rFonts w:hint="eastAsia" w:ascii="仿宋" w:hAnsi="仿宋" w:eastAsia="仿宋" w:cs="仿宋"/>
                <w:color w:val="auto"/>
                <w:sz w:val="21"/>
                <w:szCs w:val="21"/>
                <w:highlight w:val="none"/>
              </w:rPr>
              <w:t>分）</w:t>
            </w:r>
          </w:p>
        </w:tc>
        <w:tc>
          <w:tcPr>
            <w:tcW w:w="5191" w:type="dxa"/>
            <w:tcBorders>
              <w:top w:val="single" w:color="000000" w:sz="4" w:space="0"/>
              <w:left w:val="single" w:color="000000" w:sz="4" w:space="0"/>
              <w:bottom w:val="single" w:color="auto" w:sz="4" w:space="0"/>
              <w:right w:val="single" w:color="000000" w:sz="4" w:space="0"/>
            </w:tcBorders>
            <w:noWrap w:val="0"/>
            <w:vAlign w:val="center"/>
          </w:tcPr>
          <w:p w14:paraId="366D0E0C">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供应商</w:t>
            </w:r>
            <w:r>
              <w:rPr>
                <w:rFonts w:hint="eastAsia" w:ascii="仿宋" w:hAnsi="仿宋" w:eastAsia="仿宋" w:cs="仿宋"/>
                <w:color w:val="auto"/>
                <w:sz w:val="21"/>
                <w:szCs w:val="21"/>
              </w:rPr>
              <w:t>针对本项目提供服务措施，内容包含但不限于：</w:t>
            </w:r>
          </w:p>
          <w:p w14:paraId="1D18AAD7">
            <w:pPr>
              <w:snapToGrid w:val="0"/>
              <w:spacing w:line="240" w:lineRule="auto"/>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供应</w:t>
            </w:r>
            <w:r>
              <w:rPr>
                <w:rFonts w:hint="eastAsia" w:ascii="仿宋" w:hAnsi="仿宋" w:eastAsia="仿宋" w:cs="仿宋"/>
                <w:color w:val="auto"/>
                <w:sz w:val="21"/>
                <w:szCs w:val="21"/>
              </w:rPr>
              <w:t>计划、储存及仓储管理；服务人员的责任及分工；质量问题处理时限</w:t>
            </w:r>
            <w:r>
              <w:rPr>
                <w:rFonts w:hint="eastAsia" w:ascii="仿宋" w:hAnsi="仿宋" w:eastAsia="仿宋" w:cs="仿宋"/>
                <w:color w:val="auto"/>
                <w:sz w:val="21"/>
                <w:szCs w:val="21"/>
                <w:lang w:eastAsia="zh-CN"/>
              </w:rPr>
              <w:t>。</w:t>
            </w:r>
          </w:p>
          <w:p w14:paraId="6D856BEA">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方案内容不存在瑕疵得15分；</w:t>
            </w:r>
          </w:p>
          <w:p w14:paraId="247A1C1D">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方案内容存在1处瑕疵得12分；</w:t>
            </w:r>
          </w:p>
          <w:p w14:paraId="23702376">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方案内容存在2处瑕疵得8分；</w:t>
            </w:r>
          </w:p>
          <w:p w14:paraId="408FBAEA">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方案内容存在3处及以上瑕疵的5分；</w:t>
            </w:r>
          </w:p>
          <w:p w14:paraId="466B7B90">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方案内容存在4处及以上瑕疵的或未提供得0分。</w:t>
            </w:r>
          </w:p>
        </w:tc>
        <w:tc>
          <w:tcPr>
            <w:tcW w:w="2117" w:type="dxa"/>
            <w:vMerge w:val="continue"/>
            <w:tcBorders>
              <w:left w:val="single" w:color="000000" w:sz="4" w:space="0"/>
              <w:right w:val="single" w:color="000000" w:sz="4" w:space="0"/>
            </w:tcBorders>
            <w:noWrap w:val="0"/>
            <w:vAlign w:val="center"/>
          </w:tcPr>
          <w:p w14:paraId="2F013529">
            <w:pPr>
              <w:snapToGrid w:val="0"/>
              <w:spacing w:line="240" w:lineRule="auto"/>
              <w:jc w:val="left"/>
              <w:rPr>
                <w:rFonts w:hint="eastAsia" w:ascii="仿宋" w:hAnsi="仿宋" w:eastAsia="仿宋" w:cs="仿宋"/>
                <w:color w:val="auto"/>
                <w:sz w:val="21"/>
                <w:szCs w:val="21"/>
              </w:rPr>
            </w:pPr>
          </w:p>
        </w:tc>
      </w:tr>
      <w:tr w14:paraId="70442934">
        <w:tblPrEx>
          <w:tblCellMar>
            <w:top w:w="15" w:type="dxa"/>
            <w:left w:w="15" w:type="dxa"/>
            <w:bottom w:w="15" w:type="dxa"/>
            <w:right w:w="15" w:type="dxa"/>
          </w:tblCellMar>
        </w:tblPrEx>
        <w:trPr>
          <w:trHeight w:val="722" w:hRule="atLeast"/>
          <w:jc w:val="center"/>
        </w:trPr>
        <w:tc>
          <w:tcPr>
            <w:tcW w:w="581" w:type="dxa"/>
            <w:vMerge w:val="continue"/>
            <w:tcBorders>
              <w:left w:val="single" w:color="000000" w:sz="4" w:space="0"/>
              <w:right w:val="single" w:color="000000" w:sz="4" w:space="0"/>
            </w:tcBorders>
            <w:noWrap w:val="0"/>
            <w:vAlign w:val="center"/>
          </w:tcPr>
          <w:p w14:paraId="288B0C93">
            <w:pPr>
              <w:snapToGrid w:val="0"/>
              <w:spacing w:line="240" w:lineRule="auto"/>
              <w:jc w:val="center"/>
              <w:rPr>
                <w:rFonts w:hint="eastAsia" w:ascii="仿宋" w:hAnsi="仿宋" w:eastAsia="仿宋" w:cs="仿宋"/>
                <w:color w:val="auto"/>
                <w:sz w:val="21"/>
                <w:szCs w:val="21"/>
              </w:rPr>
            </w:pPr>
          </w:p>
        </w:tc>
        <w:tc>
          <w:tcPr>
            <w:tcW w:w="1032" w:type="dxa"/>
            <w:vMerge w:val="continue"/>
            <w:tcBorders>
              <w:left w:val="single" w:color="000000" w:sz="4" w:space="0"/>
              <w:right w:val="single" w:color="000000" w:sz="4" w:space="0"/>
            </w:tcBorders>
            <w:noWrap w:val="0"/>
            <w:vAlign w:val="center"/>
          </w:tcPr>
          <w:p w14:paraId="18DAA435">
            <w:pPr>
              <w:snapToGrid w:val="0"/>
              <w:spacing w:line="240" w:lineRule="auto"/>
              <w:jc w:val="center"/>
              <w:rPr>
                <w:rFonts w:hint="eastAsia" w:ascii="仿宋" w:hAnsi="仿宋" w:eastAsia="仿宋" w:cs="仿宋"/>
                <w:color w:val="auto"/>
                <w:sz w:val="21"/>
                <w:szCs w:val="21"/>
              </w:rPr>
            </w:pPr>
          </w:p>
        </w:tc>
        <w:tc>
          <w:tcPr>
            <w:tcW w:w="947" w:type="dxa"/>
            <w:tcBorders>
              <w:top w:val="single" w:color="000000" w:sz="4" w:space="0"/>
              <w:left w:val="single" w:color="000000" w:sz="4" w:space="0"/>
              <w:bottom w:val="single" w:color="auto" w:sz="4" w:space="0"/>
              <w:right w:val="single" w:color="000000" w:sz="4" w:space="0"/>
            </w:tcBorders>
            <w:noWrap w:val="0"/>
            <w:vAlign w:val="center"/>
          </w:tcPr>
          <w:p w14:paraId="6AD294AD">
            <w:pPr>
              <w:snapToGrid w:val="0"/>
              <w:spacing w:line="240" w:lineRule="auto"/>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highlight w:val="none"/>
              </w:rPr>
              <w:t>食品质量安全保障措施</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rPr>
              <w:t>15分</w:t>
            </w:r>
            <w:r>
              <w:rPr>
                <w:rFonts w:hint="eastAsia" w:ascii="仿宋" w:hAnsi="仿宋" w:eastAsia="仿宋" w:cs="仿宋"/>
                <w:color w:val="auto"/>
                <w:sz w:val="21"/>
                <w:szCs w:val="21"/>
                <w:lang w:eastAsia="zh-CN"/>
              </w:rPr>
              <w:t>）</w:t>
            </w:r>
          </w:p>
        </w:tc>
        <w:tc>
          <w:tcPr>
            <w:tcW w:w="5191" w:type="dxa"/>
            <w:tcBorders>
              <w:top w:val="single" w:color="000000" w:sz="4" w:space="0"/>
              <w:left w:val="single" w:color="000000" w:sz="4" w:space="0"/>
              <w:bottom w:val="single" w:color="auto" w:sz="4" w:space="0"/>
              <w:right w:val="single" w:color="000000" w:sz="4" w:space="0"/>
            </w:tcBorders>
            <w:noWrap w:val="0"/>
            <w:vAlign w:val="center"/>
          </w:tcPr>
          <w:p w14:paraId="2080131E">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供应商</w:t>
            </w:r>
            <w:r>
              <w:rPr>
                <w:rFonts w:hint="eastAsia" w:ascii="仿宋" w:hAnsi="仿宋" w:eastAsia="仿宋" w:cs="仿宋"/>
                <w:color w:val="auto"/>
                <w:sz w:val="21"/>
                <w:szCs w:val="21"/>
              </w:rPr>
              <w:t>针对本项目提供食品质量安全保障措施，内容包含但不限于：食品保管措施；食品检验措施；运输安全保证措施；运输食品质量保证措施。</w:t>
            </w:r>
          </w:p>
          <w:p w14:paraId="0B20B5A1">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方案内容不存在瑕疵得15分；</w:t>
            </w:r>
          </w:p>
          <w:p w14:paraId="08896144">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方案内容存在1处瑕疵得12分；</w:t>
            </w:r>
          </w:p>
          <w:p w14:paraId="404F5A7B">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方案内容存在2处瑕疵得8分；</w:t>
            </w:r>
          </w:p>
          <w:p w14:paraId="74545A18">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方案内容存在3处及以上瑕疵的5分；</w:t>
            </w:r>
          </w:p>
          <w:p w14:paraId="5A612652">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方案内容存在4处及以上瑕疵的或未提供得0分。</w:t>
            </w:r>
          </w:p>
        </w:tc>
        <w:tc>
          <w:tcPr>
            <w:tcW w:w="2117" w:type="dxa"/>
            <w:vMerge w:val="continue"/>
            <w:tcBorders>
              <w:left w:val="single" w:color="000000" w:sz="4" w:space="0"/>
              <w:right w:val="single" w:color="000000" w:sz="4" w:space="0"/>
            </w:tcBorders>
            <w:noWrap w:val="0"/>
            <w:vAlign w:val="center"/>
          </w:tcPr>
          <w:p w14:paraId="79774322">
            <w:pPr>
              <w:snapToGrid w:val="0"/>
              <w:spacing w:line="240" w:lineRule="auto"/>
              <w:jc w:val="center"/>
              <w:rPr>
                <w:rFonts w:hint="eastAsia" w:ascii="仿宋" w:hAnsi="仿宋" w:eastAsia="仿宋" w:cs="仿宋"/>
                <w:color w:val="auto"/>
                <w:sz w:val="21"/>
                <w:szCs w:val="21"/>
              </w:rPr>
            </w:pPr>
          </w:p>
        </w:tc>
      </w:tr>
      <w:tr w14:paraId="5E18D2C8">
        <w:tblPrEx>
          <w:tblCellMar>
            <w:top w:w="15" w:type="dxa"/>
            <w:left w:w="15" w:type="dxa"/>
            <w:bottom w:w="15" w:type="dxa"/>
            <w:right w:w="15" w:type="dxa"/>
          </w:tblCellMar>
        </w:tblPrEx>
        <w:trPr>
          <w:trHeight w:val="2196" w:hRule="atLeast"/>
          <w:jc w:val="center"/>
        </w:trPr>
        <w:tc>
          <w:tcPr>
            <w:tcW w:w="581" w:type="dxa"/>
            <w:vMerge w:val="continue"/>
            <w:tcBorders>
              <w:left w:val="single" w:color="000000" w:sz="4" w:space="0"/>
              <w:bottom w:val="single" w:color="auto" w:sz="4" w:space="0"/>
              <w:right w:val="single" w:color="000000" w:sz="4" w:space="0"/>
            </w:tcBorders>
            <w:noWrap w:val="0"/>
            <w:vAlign w:val="center"/>
          </w:tcPr>
          <w:p w14:paraId="5BDA76DB">
            <w:pPr>
              <w:snapToGrid w:val="0"/>
              <w:spacing w:line="240" w:lineRule="auto"/>
              <w:jc w:val="center"/>
              <w:rPr>
                <w:rFonts w:hint="eastAsia" w:ascii="仿宋" w:hAnsi="仿宋" w:eastAsia="仿宋" w:cs="仿宋"/>
                <w:color w:val="auto"/>
                <w:sz w:val="21"/>
                <w:szCs w:val="21"/>
              </w:rPr>
            </w:pPr>
          </w:p>
        </w:tc>
        <w:tc>
          <w:tcPr>
            <w:tcW w:w="1032" w:type="dxa"/>
            <w:vMerge w:val="continue"/>
            <w:tcBorders>
              <w:left w:val="single" w:color="000000" w:sz="4" w:space="0"/>
              <w:bottom w:val="single" w:color="auto" w:sz="4" w:space="0"/>
              <w:right w:val="single" w:color="000000" w:sz="4" w:space="0"/>
            </w:tcBorders>
            <w:noWrap w:val="0"/>
            <w:vAlign w:val="center"/>
          </w:tcPr>
          <w:p w14:paraId="33A19E32">
            <w:pPr>
              <w:snapToGrid w:val="0"/>
              <w:spacing w:line="240" w:lineRule="auto"/>
              <w:jc w:val="center"/>
              <w:rPr>
                <w:rFonts w:hint="eastAsia" w:ascii="仿宋" w:hAnsi="仿宋" w:eastAsia="仿宋" w:cs="仿宋"/>
                <w:color w:val="auto"/>
                <w:sz w:val="21"/>
                <w:szCs w:val="21"/>
              </w:rPr>
            </w:pPr>
          </w:p>
        </w:tc>
        <w:tc>
          <w:tcPr>
            <w:tcW w:w="947" w:type="dxa"/>
            <w:tcBorders>
              <w:top w:val="single" w:color="auto" w:sz="4" w:space="0"/>
              <w:left w:val="single" w:color="000000" w:sz="4" w:space="0"/>
              <w:bottom w:val="single" w:color="auto" w:sz="4" w:space="0"/>
              <w:right w:val="single" w:color="000000" w:sz="4" w:space="0"/>
            </w:tcBorders>
            <w:noWrap w:val="0"/>
            <w:vAlign w:val="center"/>
          </w:tcPr>
          <w:p w14:paraId="5F20B917">
            <w:pPr>
              <w:snapToGrid w:val="0"/>
              <w:spacing w:line="240" w:lineRule="auto"/>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rPr>
              <w:t>售后服务及售后保障措施</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15</w:t>
            </w:r>
            <w:r>
              <w:rPr>
                <w:rFonts w:hint="eastAsia" w:ascii="仿宋" w:hAnsi="仿宋" w:eastAsia="仿宋" w:cs="仿宋"/>
                <w:color w:val="auto"/>
                <w:sz w:val="21"/>
                <w:szCs w:val="21"/>
              </w:rPr>
              <w:t>分</w:t>
            </w:r>
            <w:r>
              <w:rPr>
                <w:rFonts w:hint="eastAsia" w:ascii="仿宋" w:hAnsi="仿宋" w:eastAsia="仿宋" w:cs="仿宋"/>
                <w:color w:val="auto"/>
                <w:sz w:val="21"/>
                <w:szCs w:val="21"/>
                <w:lang w:eastAsia="zh-CN"/>
              </w:rPr>
              <w:t>）</w:t>
            </w:r>
          </w:p>
        </w:tc>
        <w:tc>
          <w:tcPr>
            <w:tcW w:w="5191" w:type="dxa"/>
            <w:tcBorders>
              <w:top w:val="single" w:color="auto" w:sz="4" w:space="0"/>
              <w:left w:val="single" w:color="000000" w:sz="4" w:space="0"/>
              <w:bottom w:val="single" w:color="auto" w:sz="4" w:space="0"/>
              <w:right w:val="single" w:color="auto" w:sz="4" w:space="0"/>
            </w:tcBorders>
            <w:noWrap w:val="0"/>
            <w:vAlign w:val="center"/>
          </w:tcPr>
          <w:p w14:paraId="74E130AC">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供应商</w:t>
            </w:r>
            <w:r>
              <w:rPr>
                <w:rFonts w:hint="eastAsia" w:ascii="仿宋" w:hAnsi="仿宋" w:eastAsia="仿宋" w:cs="仿宋"/>
                <w:color w:val="auto"/>
                <w:sz w:val="21"/>
                <w:szCs w:val="21"/>
              </w:rPr>
              <w:t>针对本项目提供售后服务及售后保障措施，内容包含但不限于：</w:t>
            </w:r>
            <w:r>
              <w:rPr>
                <w:rFonts w:hint="eastAsia" w:ascii="仿宋" w:hAnsi="仿宋" w:eastAsia="仿宋" w:cs="仿宋"/>
                <w:color w:val="auto"/>
                <w:sz w:val="21"/>
                <w:szCs w:val="21"/>
                <w:lang w:eastAsia="zh-CN"/>
              </w:rPr>
              <w:t>售后服务、</w:t>
            </w:r>
            <w:r>
              <w:rPr>
                <w:rFonts w:hint="eastAsia" w:ascii="仿宋" w:hAnsi="仿宋" w:eastAsia="仿宋" w:cs="仿宋"/>
                <w:color w:val="auto"/>
                <w:sz w:val="21"/>
                <w:szCs w:val="21"/>
              </w:rPr>
              <w:t>应急预案体系（应急</w:t>
            </w:r>
            <w:r>
              <w:rPr>
                <w:rFonts w:hint="eastAsia" w:ascii="仿宋" w:hAnsi="仿宋" w:eastAsia="仿宋" w:cs="仿宋"/>
                <w:color w:val="auto"/>
                <w:sz w:val="21"/>
                <w:szCs w:val="21"/>
                <w:lang w:eastAsia="zh-CN"/>
              </w:rPr>
              <w:t>物品</w:t>
            </w:r>
            <w:r>
              <w:rPr>
                <w:rFonts w:hint="eastAsia" w:ascii="仿宋" w:hAnsi="仿宋" w:eastAsia="仿宋" w:cs="仿宋"/>
                <w:color w:val="auto"/>
                <w:sz w:val="21"/>
                <w:szCs w:val="21"/>
              </w:rPr>
              <w:t>齐备、应急响应速度、应急配送地点等）</w:t>
            </w:r>
          </w:p>
          <w:p w14:paraId="62136F1A">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方案内容不存在瑕疵得15分；</w:t>
            </w:r>
          </w:p>
          <w:p w14:paraId="0D2B7ECD">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方案内容存在1处瑕疵得12分；</w:t>
            </w:r>
          </w:p>
          <w:p w14:paraId="194B9AD2">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方案内容存在2处瑕疵得8分；</w:t>
            </w:r>
          </w:p>
          <w:p w14:paraId="4A7E48ED">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方案内容存在3处及以上瑕疵的5分；</w:t>
            </w:r>
          </w:p>
          <w:p w14:paraId="7861CE69">
            <w:pPr>
              <w:snapToGrid w:val="0"/>
              <w:spacing w:line="240" w:lineRule="auto"/>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方案内容存在4处及以上瑕疵的或未提供得0分。</w:t>
            </w:r>
          </w:p>
        </w:tc>
        <w:tc>
          <w:tcPr>
            <w:tcW w:w="2117" w:type="dxa"/>
            <w:vMerge w:val="continue"/>
            <w:tcBorders>
              <w:left w:val="single" w:color="000000" w:sz="4" w:space="0"/>
              <w:bottom w:val="single" w:color="auto" w:sz="4" w:space="0"/>
              <w:right w:val="single" w:color="000000" w:sz="4" w:space="0"/>
            </w:tcBorders>
            <w:noWrap w:val="0"/>
            <w:vAlign w:val="center"/>
          </w:tcPr>
          <w:p w14:paraId="74CCF927">
            <w:pPr>
              <w:snapToGrid w:val="0"/>
              <w:spacing w:line="240" w:lineRule="auto"/>
              <w:jc w:val="center"/>
              <w:rPr>
                <w:rFonts w:hint="eastAsia" w:ascii="仿宋" w:hAnsi="仿宋" w:eastAsia="仿宋" w:cs="仿宋"/>
                <w:color w:val="auto"/>
                <w:sz w:val="21"/>
                <w:szCs w:val="21"/>
              </w:rPr>
            </w:pPr>
          </w:p>
        </w:tc>
      </w:tr>
      <w:tr w14:paraId="6448E340">
        <w:tblPrEx>
          <w:tblCellMar>
            <w:top w:w="15" w:type="dxa"/>
            <w:left w:w="15" w:type="dxa"/>
            <w:bottom w:w="15" w:type="dxa"/>
            <w:right w:w="15" w:type="dxa"/>
          </w:tblCellMar>
        </w:tblPrEx>
        <w:trPr>
          <w:trHeight w:val="842" w:hRule="atLeast"/>
          <w:jc w:val="center"/>
        </w:trPr>
        <w:tc>
          <w:tcPr>
            <w:tcW w:w="581" w:type="dxa"/>
            <w:tcBorders>
              <w:top w:val="single" w:color="auto" w:sz="4" w:space="0"/>
              <w:left w:val="single" w:color="auto" w:sz="4" w:space="0"/>
              <w:right w:val="single" w:color="auto" w:sz="4" w:space="0"/>
            </w:tcBorders>
            <w:noWrap w:val="0"/>
            <w:vAlign w:val="center"/>
          </w:tcPr>
          <w:p w14:paraId="639A1BC7">
            <w:pPr>
              <w:snapToGrid w:val="0"/>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w:t>
            </w:r>
          </w:p>
        </w:tc>
        <w:tc>
          <w:tcPr>
            <w:tcW w:w="1032" w:type="dxa"/>
            <w:tcBorders>
              <w:top w:val="single" w:color="auto" w:sz="4" w:space="0"/>
              <w:left w:val="single" w:color="auto" w:sz="4" w:space="0"/>
              <w:right w:val="single" w:color="auto" w:sz="4" w:space="0"/>
            </w:tcBorders>
            <w:noWrap w:val="0"/>
            <w:vAlign w:val="center"/>
          </w:tcPr>
          <w:p w14:paraId="37AE373B">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商务部分20%</w:t>
            </w:r>
          </w:p>
        </w:tc>
        <w:tc>
          <w:tcPr>
            <w:tcW w:w="947" w:type="dxa"/>
            <w:tcBorders>
              <w:top w:val="single" w:color="auto" w:sz="4" w:space="0"/>
              <w:left w:val="single" w:color="auto" w:sz="4" w:space="0"/>
              <w:bottom w:val="single" w:color="auto" w:sz="4" w:space="0"/>
              <w:right w:val="single" w:color="auto" w:sz="4" w:space="0"/>
            </w:tcBorders>
            <w:noWrap w:val="0"/>
            <w:vAlign w:val="center"/>
          </w:tcPr>
          <w:p w14:paraId="672F9998">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业绩（20分）</w:t>
            </w:r>
          </w:p>
          <w:p w14:paraId="18B55680">
            <w:pPr>
              <w:spacing w:line="240" w:lineRule="auto"/>
              <w:jc w:val="left"/>
              <w:textAlignment w:val="top"/>
              <w:rPr>
                <w:rFonts w:hint="eastAsia" w:ascii="仿宋" w:hAnsi="仿宋" w:eastAsia="仿宋" w:cs="仿宋"/>
                <w:color w:val="auto"/>
                <w:sz w:val="21"/>
                <w:szCs w:val="21"/>
                <w:lang w:val="en-US" w:eastAsia="zh-CN"/>
              </w:rPr>
            </w:pPr>
          </w:p>
        </w:tc>
        <w:tc>
          <w:tcPr>
            <w:tcW w:w="5191" w:type="dxa"/>
            <w:tcBorders>
              <w:top w:val="single" w:color="auto" w:sz="4" w:space="0"/>
              <w:left w:val="single" w:color="auto" w:sz="4" w:space="0"/>
              <w:bottom w:val="single" w:color="auto" w:sz="4" w:space="0"/>
              <w:right w:val="single" w:color="auto" w:sz="4" w:space="0"/>
            </w:tcBorders>
            <w:noWrap w:val="0"/>
            <w:vAlign w:val="center"/>
          </w:tcPr>
          <w:p w14:paraId="527A76AE">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供应商2022年1月1日至今（以合同签订时间为准）具有为公立学校、公立医院、机关、事业单位食堂类似配送业绩的，每提供1个得5分，最多得20分。</w:t>
            </w:r>
          </w:p>
        </w:tc>
        <w:tc>
          <w:tcPr>
            <w:tcW w:w="2117" w:type="dxa"/>
            <w:tcBorders>
              <w:top w:val="single" w:color="auto" w:sz="4" w:space="0"/>
              <w:left w:val="single" w:color="auto" w:sz="4" w:space="0"/>
              <w:bottom w:val="single" w:color="auto" w:sz="4" w:space="0"/>
              <w:right w:val="single" w:color="auto" w:sz="4" w:space="0"/>
            </w:tcBorders>
            <w:noWrap w:val="0"/>
            <w:vAlign w:val="center"/>
          </w:tcPr>
          <w:p w14:paraId="00D5DCE3">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提供有效的合同复印件加盖供应商公章。</w:t>
            </w:r>
          </w:p>
        </w:tc>
      </w:tr>
    </w:tbl>
    <w:p w14:paraId="74D1C9A3">
      <w:pPr>
        <w:spacing w:line="360" w:lineRule="auto"/>
        <w:rPr>
          <w:rFonts w:hint="eastAsia" w:ascii="仿宋" w:hAnsi="仿宋" w:eastAsia="仿宋" w:cs="仿宋"/>
          <w:color w:val="auto"/>
          <w:sz w:val="24"/>
        </w:rPr>
      </w:pPr>
    </w:p>
    <w:bookmarkEnd w:id="138"/>
    <w:bookmarkEnd w:id="139"/>
    <w:p w14:paraId="07A4A505">
      <w:pPr>
        <w:pStyle w:val="5"/>
        <w:spacing w:before="0" w:after="0" w:line="360" w:lineRule="auto"/>
        <w:rPr>
          <w:rFonts w:hint="eastAsia" w:ascii="仿宋" w:hAnsi="仿宋" w:eastAsia="仿宋" w:cs="仿宋"/>
          <w:color w:val="auto"/>
          <w:sz w:val="24"/>
          <w:szCs w:val="24"/>
        </w:rPr>
      </w:pPr>
      <w:bookmarkStart w:id="140" w:name="_Toc15780"/>
      <w:r>
        <w:rPr>
          <w:rFonts w:hint="eastAsia" w:ascii="仿宋" w:hAnsi="仿宋" w:eastAsia="仿宋" w:cs="仿宋"/>
          <w:color w:val="auto"/>
          <w:sz w:val="24"/>
          <w:szCs w:val="24"/>
        </w:rPr>
        <w:t>三、无效响应</w:t>
      </w:r>
      <w:bookmarkEnd w:id="140"/>
    </w:p>
    <w:p w14:paraId="750BB971">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供应商发生以下条款情况之一者，视为无效响应，其响应文件将被拒绝：</w:t>
      </w:r>
    </w:p>
    <w:p w14:paraId="4F87B9A0">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（一）供应商不符合规定的基本资格条件或特定资格条件的；</w:t>
      </w:r>
    </w:p>
    <w:p w14:paraId="009D56AA">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（二）供应商未按</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规定购买</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w:t>
      </w:r>
    </w:p>
    <w:p w14:paraId="38D7990E">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（三）供应商的法定代表人或其授权代表未参加</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w:t>
      </w:r>
    </w:p>
    <w:p w14:paraId="39C7F386">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（四）供应商所提交的响应文件不按第七篇“响应文件编制要求”规定签字、盖章；</w:t>
      </w:r>
    </w:p>
    <w:p w14:paraId="0EF69BAF">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（五）供应商的最后报价超过采购预算的；</w:t>
      </w:r>
    </w:p>
    <w:p w14:paraId="61ECA6A1">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（六）法定代表人为同一个人的两个及两个以上法人，母公司、全资子公司及其控股公司，在同一分包采购中同时参与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w:t>
      </w:r>
    </w:p>
    <w:p w14:paraId="23855149">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（七）单位负责人为同一人或者存在直接控股、管理关系的不同供应商，参加同一合同项下的政府采购活动的；</w:t>
      </w:r>
    </w:p>
    <w:p w14:paraId="424298CD">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（八）为采购项目提供整体设计、规范编制或者项目管理、监理、检测等服务的供应商，再参加该采购项目的其他采购活动；</w:t>
      </w:r>
    </w:p>
    <w:p w14:paraId="52815B46">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（九）供应商</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有效期不满足</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要求的；</w:t>
      </w:r>
    </w:p>
    <w:p w14:paraId="54C25CEA">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（十）供应商响应文件内容有与国家现行法律法规相违背的内容，或附有采购人无法接受的条件。</w:t>
      </w:r>
    </w:p>
    <w:p w14:paraId="1775328C">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（十一）供应商被列入失信被执行人、重大税收违法案件当事人名单、政府采购严重违法失信行为记录名单及其他不符合《中华人民共和国政府采购法》第二十二条规定条件的。</w:t>
      </w:r>
    </w:p>
    <w:p w14:paraId="79689505">
      <w:pPr>
        <w:pStyle w:val="5"/>
        <w:spacing w:before="0" w:after="0" w:line="360" w:lineRule="auto"/>
        <w:rPr>
          <w:rFonts w:hint="eastAsia" w:ascii="仿宋" w:hAnsi="仿宋" w:eastAsia="仿宋" w:cs="仿宋"/>
          <w:color w:val="auto"/>
          <w:sz w:val="24"/>
          <w:szCs w:val="24"/>
        </w:rPr>
      </w:pPr>
      <w:bookmarkStart w:id="141" w:name="_Toc32758"/>
      <w:r>
        <w:rPr>
          <w:rFonts w:hint="eastAsia" w:ascii="仿宋" w:hAnsi="仿宋" w:eastAsia="仿宋" w:cs="仿宋"/>
          <w:color w:val="auto"/>
          <w:sz w:val="24"/>
          <w:szCs w:val="24"/>
        </w:rPr>
        <w:t>四、</w:t>
      </w:r>
      <w:bookmarkEnd w:id="130"/>
      <w:bookmarkEnd w:id="131"/>
      <w:r>
        <w:rPr>
          <w:rFonts w:hint="eastAsia" w:ascii="仿宋" w:hAnsi="仿宋" w:eastAsia="仿宋" w:cs="仿宋"/>
          <w:color w:val="auto"/>
          <w:sz w:val="24"/>
          <w:szCs w:val="24"/>
        </w:rPr>
        <w:t>采购终止</w:t>
      </w:r>
      <w:bookmarkEnd w:id="141"/>
    </w:p>
    <w:p w14:paraId="7A90EC7F">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出现下列情形之一的，采购人或者采购代理机构应当终止</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采购活动，发布项目终止公告并说明原因，重新开展采购活动：</w:t>
      </w:r>
    </w:p>
    <w:p w14:paraId="55B255F2">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（一）因情况变化，不再符合规定的</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采购方式适用情形的；</w:t>
      </w:r>
    </w:p>
    <w:p w14:paraId="28BD869D">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（二）出现影响采购公正的违法、违规行为的；</w:t>
      </w:r>
    </w:p>
    <w:p w14:paraId="55429DD0">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（三）在</w:t>
      </w:r>
      <w:r>
        <w:rPr>
          <w:rFonts w:hint="eastAsia" w:ascii="仿宋" w:hAnsi="仿宋" w:eastAsia="仿宋" w:cs="仿宋"/>
          <w:color w:val="auto"/>
          <w:sz w:val="24"/>
          <w:szCs w:val="24"/>
          <w:lang w:eastAsia="zh-CN"/>
        </w:rPr>
        <w:t>采购</w:t>
      </w:r>
      <w:r>
        <w:rPr>
          <w:rFonts w:hint="eastAsia" w:ascii="仿宋" w:hAnsi="仿宋" w:eastAsia="仿宋" w:cs="仿宋"/>
          <w:color w:val="auto"/>
          <w:sz w:val="24"/>
          <w:szCs w:val="24"/>
        </w:rPr>
        <w:t>过程中符合要求的供应商或者报价未超过预算的供应商不足</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家的。</w:t>
      </w:r>
    </w:p>
    <w:p w14:paraId="5162124E">
      <w:pPr>
        <w:pStyle w:val="10"/>
        <w:rPr>
          <w:rFonts w:hint="eastAsia"/>
          <w:color w:val="auto"/>
        </w:rPr>
        <w:sectPr>
          <w:footerReference r:id="rId8" w:type="default"/>
          <w:pgSz w:w="11907" w:h="16840"/>
          <w:pgMar w:top="1134" w:right="1191" w:bottom="1134" w:left="1304" w:header="964" w:footer="992" w:gutter="0"/>
          <w:pgNumType w:fmt="numberInDash"/>
          <w:cols w:space="720" w:num="1"/>
          <w:docGrid w:linePitch="312" w:charSpace="0"/>
        </w:sectPr>
      </w:pPr>
    </w:p>
    <w:p w14:paraId="48075038">
      <w:pPr>
        <w:pStyle w:val="4"/>
        <w:spacing w:before="100" w:beforeAutospacing="1" w:after="100" w:afterAutospacing="1" w:line="360" w:lineRule="auto"/>
        <w:jc w:val="center"/>
        <w:rPr>
          <w:rFonts w:hint="eastAsia" w:ascii="仿宋" w:hAnsi="仿宋" w:eastAsia="仿宋" w:cs="仿宋"/>
          <w:b w:val="0"/>
          <w:color w:val="auto"/>
          <w:szCs w:val="30"/>
        </w:rPr>
      </w:pPr>
      <w:bookmarkStart w:id="142" w:name="_Toc102227313"/>
      <w:bookmarkStart w:id="143" w:name="_Toc3680"/>
      <w:r>
        <w:rPr>
          <w:rFonts w:hint="eastAsia" w:ascii="仿宋" w:hAnsi="仿宋" w:eastAsia="仿宋" w:cs="仿宋"/>
          <w:b w:val="0"/>
          <w:color w:val="auto"/>
          <w:sz w:val="36"/>
          <w:szCs w:val="30"/>
        </w:rPr>
        <w:t>第五篇  供应商须知</w:t>
      </w:r>
      <w:bookmarkEnd w:id="142"/>
      <w:bookmarkEnd w:id="143"/>
    </w:p>
    <w:p w14:paraId="5DA96BA6">
      <w:pPr>
        <w:pStyle w:val="5"/>
        <w:spacing w:before="0" w:after="0" w:line="360" w:lineRule="auto"/>
        <w:rPr>
          <w:rFonts w:hint="eastAsia" w:ascii="仿宋" w:hAnsi="仿宋" w:eastAsia="仿宋" w:cs="仿宋"/>
          <w:color w:val="auto"/>
          <w:sz w:val="24"/>
          <w:szCs w:val="24"/>
        </w:rPr>
      </w:pPr>
      <w:bookmarkStart w:id="144" w:name="_Toc26030"/>
      <w:bookmarkStart w:id="145" w:name="_Toc342913389"/>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费用</w:t>
      </w:r>
      <w:bookmarkEnd w:id="144"/>
      <w:bookmarkEnd w:id="145"/>
    </w:p>
    <w:p w14:paraId="78FC429C">
      <w:pPr>
        <w:pStyle w:val="19"/>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的供应商应承担其编制响应文件与递交响应文件所涉及的一切费用，不论</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结果如何，采购人和采购代理机构在任何情况下无义务也无责任承担这些费用。</w:t>
      </w:r>
    </w:p>
    <w:p w14:paraId="51AFA837">
      <w:pPr>
        <w:pStyle w:val="5"/>
        <w:tabs>
          <w:tab w:val="left" w:pos="2640"/>
        </w:tabs>
        <w:spacing w:before="0" w:after="0" w:line="360" w:lineRule="auto"/>
        <w:rPr>
          <w:rFonts w:hint="eastAsia" w:ascii="仿宋" w:hAnsi="仿宋" w:eastAsia="仿宋" w:cs="仿宋"/>
          <w:color w:val="auto"/>
          <w:sz w:val="24"/>
          <w:szCs w:val="24"/>
          <w:lang w:eastAsia="zh-CN"/>
        </w:rPr>
      </w:pPr>
      <w:bookmarkStart w:id="146" w:name="_Toc342913391"/>
      <w:bookmarkStart w:id="147" w:name="_Toc4109"/>
      <w:r>
        <w:rPr>
          <w:rFonts w:hint="eastAsia" w:ascii="仿宋" w:hAnsi="仿宋" w:eastAsia="仿宋" w:cs="仿宋"/>
          <w:color w:val="auto"/>
          <w:sz w:val="24"/>
          <w:szCs w:val="24"/>
        </w:rPr>
        <w:t>二、</w:t>
      </w:r>
      <w:bookmarkEnd w:id="146"/>
      <w:r>
        <w:rPr>
          <w:rFonts w:hint="eastAsia" w:ascii="仿宋" w:hAnsi="仿宋" w:eastAsia="仿宋" w:cs="仿宋"/>
          <w:color w:val="auto"/>
          <w:sz w:val="24"/>
          <w:szCs w:val="24"/>
          <w:lang w:eastAsia="zh-CN"/>
        </w:rPr>
        <w:t>询比文件</w:t>
      </w:r>
      <w:bookmarkEnd w:id="147"/>
    </w:p>
    <w:p w14:paraId="288BFB92">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由采购邀请书、项目服务需求、供应商须知、项目商务需求、</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程序及方法、评审标准、无效响应和采购终止、供应商须知</w:t>
      </w:r>
      <w:r>
        <w:rPr>
          <w:rFonts w:hint="eastAsia" w:ascii="仿宋" w:hAnsi="仿宋" w:eastAsia="仿宋" w:cs="仿宋"/>
          <w:b/>
          <w:color w:val="auto"/>
          <w:sz w:val="24"/>
          <w:szCs w:val="24"/>
        </w:rPr>
        <w:t>、</w:t>
      </w:r>
      <w:r>
        <w:rPr>
          <w:rFonts w:hint="eastAsia" w:ascii="仿宋" w:hAnsi="仿宋" w:eastAsia="仿宋" w:cs="仿宋"/>
          <w:color w:val="auto"/>
          <w:sz w:val="24"/>
          <w:szCs w:val="24"/>
          <w:lang w:eastAsia="zh-CN"/>
        </w:rPr>
        <w:t>采购合同</w:t>
      </w:r>
      <w:r>
        <w:rPr>
          <w:rFonts w:hint="eastAsia" w:ascii="仿宋" w:hAnsi="仿宋" w:eastAsia="仿宋" w:cs="仿宋"/>
          <w:b/>
          <w:color w:val="auto"/>
          <w:sz w:val="24"/>
          <w:szCs w:val="24"/>
        </w:rPr>
        <w:t>、</w:t>
      </w:r>
      <w:r>
        <w:rPr>
          <w:rFonts w:hint="eastAsia" w:ascii="仿宋" w:hAnsi="仿宋" w:eastAsia="仿宋" w:cs="仿宋"/>
          <w:color w:val="auto"/>
          <w:sz w:val="24"/>
          <w:szCs w:val="24"/>
        </w:rPr>
        <w:t>响应文件编制要求七部分组成。</w:t>
      </w:r>
    </w:p>
    <w:p w14:paraId="4A26B760">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（二）采购人（或采购代理机构）所作的一切有效的书面通知、修改及补充，都是</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不可分割的部分。</w:t>
      </w:r>
    </w:p>
    <w:p w14:paraId="45CEE62D">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的解释</w:t>
      </w:r>
    </w:p>
    <w:p w14:paraId="3E918ACC">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供应商如对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有疑问，必须以书面形式在提交响应文件截止时间3个工作日前向采购人（或采购代理机构）要求澄清，采购人（或采购代理机构）可视具体情况做出处理或答复。如供应商未提出疑问，视为完全理解并同意本</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。一经进入</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程序，即视为供应商已详细阅读全部文件资料，完全理解</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所有条款内容并同意放弃对这方面有不明白及误解的权利。</w:t>
      </w:r>
      <w:bookmarkStart w:id="148" w:name="_Toc318159349"/>
      <w:bookmarkStart w:id="149" w:name="_Toc318159780"/>
      <w:bookmarkStart w:id="150" w:name="_Toc318159160"/>
      <w:bookmarkStart w:id="151" w:name="_Toc318166429"/>
    </w:p>
    <w:p w14:paraId="53AB0DDC">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（四）本</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中，</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根据与供应商进行</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可能实质性变动的内容为</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第二、三、四篇全部内容。</w:t>
      </w:r>
    </w:p>
    <w:p w14:paraId="094D191A">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（五）评审的依据为</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和响应文件（含有效的书面承诺）。</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判断响应文件对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的响应，仅基于响应文件本身而不靠外部证据。</w:t>
      </w:r>
    </w:p>
    <w:bookmarkEnd w:id="148"/>
    <w:bookmarkEnd w:id="149"/>
    <w:bookmarkEnd w:id="150"/>
    <w:bookmarkEnd w:id="151"/>
    <w:p w14:paraId="3528F2EC">
      <w:pPr>
        <w:pStyle w:val="5"/>
        <w:spacing w:before="0" w:after="0" w:line="360" w:lineRule="auto"/>
        <w:rPr>
          <w:rFonts w:hint="eastAsia" w:ascii="仿宋" w:hAnsi="仿宋" w:eastAsia="仿宋" w:cs="仿宋"/>
          <w:color w:val="auto"/>
          <w:sz w:val="24"/>
          <w:szCs w:val="24"/>
        </w:rPr>
      </w:pPr>
      <w:bookmarkStart w:id="152" w:name="_Toc179714297"/>
      <w:bookmarkStart w:id="153" w:name="_Toc6217"/>
      <w:bookmarkStart w:id="154" w:name="_Toc342913392"/>
      <w:bookmarkStart w:id="155" w:name="_Toc102227318"/>
      <w:r>
        <w:rPr>
          <w:rFonts w:hint="eastAsia" w:ascii="仿宋" w:hAnsi="仿宋" w:eastAsia="仿宋" w:cs="仿宋"/>
          <w:color w:val="auto"/>
          <w:sz w:val="24"/>
          <w:szCs w:val="24"/>
        </w:rPr>
        <w:t>三、</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要求</w:t>
      </w:r>
      <w:bookmarkEnd w:id="152"/>
      <w:bookmarkEnd w:id="153"/>
      <w:bookmarkEnd w:id="154"/>
      <w:bookmarkEnd w:id="155"/>
    </w:p>
    <w:p w14:paraId="2D469CBD">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（一）响应文件</w:t>
      </w:r>
    </w:p>
    <w:p w14:paraId="3734D8E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1.供应商应当按照</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的要求编制响应文件，并对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提出的要求和条件作出实质性响应，响应文件原则上采用软面订本，同时应编制完整的页码、目录。</w:t>
      </w:r>
    </w:p>
    <w:p w14:paraId="22A88208">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2.响应文件组成</w:t>
      </w:r>
    </w:p>
    <w:p w14:paraId="5DDCD53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响应文件由第七篇“响应文件编制要求”规定的部分和供应商所作的一切有效补充、修改和承诺等文件组成，供应商应按照第七篇“响应文件编制要求”规定的目录顺序组织编写和装订，也可在基本格式基础上对表格进行扩展，未规定格式的由供应商自定格式。</w:t>
      </w:r>
    </w:p>
    <w:p w14:paraId="0ADD9523">
      <w:pPr>
        <w:spacing w:line="360" w:lineRule="auto"/>
        <w:ind w:firstLine="482" w:firstLineChars="200"/>
        <w:rPr>
          <w:rFonts w:hint="eastAsia" w:ascii="仿宋" w:hAnsi="仿宋" w:eastAsia="仿宋" w:cs="仿宋"/>
          <w:b/>
          <w:color w:val="auto"/>
          <w:sz w:val="24"/>
          <w:szCs w:val="24"/>
        </w:rPr>
      </w:pPr>
      <w:r>
        <w:rPr>
          <w:rFonts w:hint="eastAsia" w:ascii="仿宋" w:hAnsi="仿宋" w:eastAsia="仿宋" w:cs="仿宋"/>
          <w:b/>
          <w:color w:val="auto"/>
          <w:sz w:val="24"/>
          <w:szCs w:val="24"/>
        </w:rPr>
        <w:t>（二）联合体</w:t>
      </w:r>
    </w:p>
    <w:p w14:paraId="290E10B4">
      <w:pPr>
        <w:spacing w:line="360" w:lineRule="auto"/>
        <w:ind w:firstLine="482" w:firstLineChars="200"/>
        <w:rPr>
          <w:rFonts w:hint="eastAsia" w:ascii="仿宋" w:hAnsi="仿宋" w:eastAsia="仿宋" w:cs="仿宋"/>
          <w:b/>
          <w:color w:val="auto"/>
          <w:sz w:val="24"/>
          <w:szCs w:val="24"/>
        </w:rPr>
      </w:pPr>
      <w:r>
        <w:rPr>
          <w:rFonts w:hint="eastAsia" w:ascii="仿宋" w:hAnsi="仿宋" w:eastAsia="仿宋" w:cs="仿宋"/>
          <w:b/>
          <w:color w:val="auto"/>
          <w:sz w:val="24"/>
          <w:szCs w:val="24"/>
        </w:rPr>
        <w:t>本项目不接受联合体</w:t>
      </w:r>
      <w:r>
        <w:rPr>
          <w:rFonts w:hint="eastAsia" w:ascii="仿宋" w:hAnsi="仿宋" w:eastAsia="仿宋" w:cs="仿宋"/>
          <w:b/>
          <w:color w:val="auto"/>
          <w:sz w:val="24"/>
          <w:szCs w:val="24"/>
          <w:lang w:eastAsia="zh-CN"/>
        </w:rPr>
        <w:t>询比</w:t>
      </w:r>
      <w:r>
        <w:rPr>
          <w:rFonts w:hint="eastAsia" w:ascii="仿宋" w:hAnsi="仿宋" w:eastAsia="仿宋" w:cs="仿宋"/>
          <w:b/>
          <w:color w:val="auto"/>
          <w:sz w:val="24"/>
          <w:szCs w:val="24"/>
        </w:rPr>
        <w:t>。</w:t>
      </w:r>
    </w:p>
    <w:p w14:paraId="1C44B9B9">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有效期：响应文件及有关承诺文件有效期为提交响应文件截止时间起90天。</w:t>
      </w:r>
    </w:p>
    <w:p w14:paraId="0D1598E5">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（四）修正错误</w:t>
      </w:r>
    </w:p>
    <w:p w14:paraId="000FFE4F">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1.若供应商所递交的响应文件或最后报价中的价格出现大写金额和小写金额不一致的错误，以大写金额修正为准。</w:t>
      </w:r>
    </w:p>
    <w:p w14:paraId="27131978">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按上述修正错误的原则及方法修正供应商的报价，供应商同意并签字确认后，修正后的报价对供应商具有约束作用。如果供应商不接受修正后的价格，将失去成为成交供应商的资格。</w:t>
      </w:r>
    </w:p>
    <w:p w14:paraId="1A8BD68E">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（五）提交响应文件的份数和签署</w:t>
      </w:r>
    </w:p>
    <w:p w14:paraId="3999C02A">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1.响应文件一式四份，其中</w:t>
      </w:r>
      <w:r>
        <w:rPr>
          <w:rFonts w:hint="eastAsia" w:ascii="仿宋" w:hAnsi="仿宋" w:eastAsia="仿宋" w:cs="仿宋"/>
          <w:b/>
          <w:bCs/>
          <w:color w:val="auto"/>
          <w:sz w:val="24"/>
          <w:szCs w:val="24"/>
        </w:rPr>
        <w:t>正本一份，副本二份，电子文档一份</w:t>
      </w:r>
      <w:r>
        <w:rPr>
          <w:rFonts w:hint="eastAsia" w:ascii="仿宋" w:hAnsi="仿宋" w:eastAsia="仿宋" w:cs="仿宋"/>
          <w:color w:val="auto"/>
          <w:sz w:val="24"/>
          <w:szCs w:val="24"/>
        </w:rPr>
        <w:t>（电子文档内容应与纸质文件正本一致，如不一致以纸质文件正本为准。推荐采用光盘或U盘为电子文档载体）；副本可为正本的复印件，应与正本一致，如出现不一致情况以正本为准。</w:t>
      </w:r>
    </w:p>
    <w:p w14:paraId="45565AB6">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2.在响应文件正本中，</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第六篇响应文件编制要求中规定签字、盖章的地方必须按其规定签字、盖章。</w:t>
      </w:r>
    </w:p>
    <w:p w14:paraId="6E6F8519">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（六）响应文件的递交</w:t>
      </w:r>
    </w:p>
    <w:p w14:paraId="3F9F1A7F">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1.响应文件的密封与标记</w:t>
      </w:r>
    </w:p>
    <w:p w14:paraId="3EF54BA7">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1.1响应文件的正本、副本以及电子文档均应密封送达</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地点，应在封套上注明</w:t>
      </w:r>
      <w:r>
        <w:rPr>
          <w:rFonts w:hint="eastAsia" w:ascii="方正仿宋_GBK" w:hAnsi="宋体" w:eastAsia="方正仿宋_GBK"/>
          <w:color w:val="auto"/>
          <w:sz w:val="24"/>
          <w:szCs w:val="24"/>
          <w:lang w:eastAsia="zh-CN"/>
        </w:rPr>
        <w:t>项目名称</w:t>
      </w:r>
      <w:r>
        <w:rPr>
          <w:rFonts w:hint="eastAsia" w:ascii="仿宋" w:hAnsi="仿宋" w:eastAsia="仿宋" w:cs="仿宋"/>
          <w:color w:val="auto"/>
          <w:sz w:val="24"/>
          <w:szCs w:val="24"/>
        </w:rPr>
        <w:t>、供应商名称。若正本、副本以及电子文档分别进行密封的，还应在封套上注明“正本”、“副本”、“电子文档”字样。</w:t>
      </w:r>
    </w:p>
    <w:p w14:paraId="29E016C9">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1.2封套的封口处应加盖供应商公章或由法定代表人授权代表签字。</w:t>
      </w:r>
    </w:p>
    <w:p w14:paraId="77361AFA">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2.如果响应文件通过邮寄递交，供应商应将响应文件用内、外两层封套密封。</w:t>
      </w:r>
    </w:p>
    <w:p w14:paraId="46AAE614">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2.1内层封套的封装与标记同 “1、”款规定。</w:t>
      </w:r>
    </w:p>
    <w:p w14:paraId="0C98191F">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2.2外层封套装入“1、”款所述全部内封资料，并注明</w:t>
      </w:r>
      <w:r>
        <w:rPr>
          <w:rFonts w:hint="eastAsia" w:ascii="仿宋" w:hAnsi="仿宋" w:eastAsia="仿宋" w:cs="仿宋"/>
          <w:color w:val="auto"/>
          <w:sz w:val="24"/>
          <w:szCs w:val="24"/>
          <w:lang w:eastAsia="zh-CN"/>
        </w:rPr>
        <w:t>项目名称、</w:t>
      </w:r>
      <w:r>
        <w:rPr>
          <w:rFonts w:hint="eastAsia" w:ascii="仿宋" w:hAnsi="仿宋" w:eastAsia="仿宋" w:cs="仿宋"/>
          <w:color w:val="auto"/>
          <w:sz w:val="24"/>
          <w:szCs w:val="24"/>
        </w:rPr>
        <w:t>同时应写明供应商的名称、地址，以便将迟交的响应文件原封退还。</w:t>
      </w:r>
    </w:p>
    <w:p w14:paraId="618B7DFC">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3.如果未按上述规定进行密封和标记，采购代理机构对响应文件误投、丢失或提前拆封不负责任。</w:t>
      </w:r>
    </w:p>
    <w:p w14:paraId="1D420A1A">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（七）供应商参与人员</w:t>
      </w:r>
    </w:p>
    <w:p w14:paraId="449B0BEA">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各个供应商应当派1-2名代表参与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，至少1人应为法定代表人或具有法定代表人授权委托书的授权代表。</w:t>
      </w:r>
    </w:p>
    <w:p w14:paraId="33041244">
      <w:pPr>
        <w:pStyle w:val="5"/>
        <w:spacing w:before="0" w:after="0" w:line="360" w:lineRule="auto"/>
        <w:rPr>
          <w:rFonts w:hint="eastAsia" w:ascii="仿宋" w:hAnsi="仿宋" w:eastAsia="仿宋" w:cs="仿宋"/>
          <w:color w:val="auto"/>
          <w:sz w:val="24"/>
          <w:szCs w:val="24"/>
        </w:rPr>
      </w:pPr>
      <w:bookmarkStart w:id="156" w:name="_Toc24831"/>
      <w:r>
        <w:rPr>
          <w:rFonts w:hint="eastAsia" w:ascii="仿宋" w:hAnsi="仿宋" w:eastAsia="仿宋" w:cs="仿宋"/>
          <w:color w:val="auto"/>
          <w:sz w:val="24"/>
          <w:szCs w:val="24"/>
        </w:rPr>
        <w:t>四、成交供应商的确认和变更</w:t>
      </w:r>
      <w:bookmarkEnd w:id="156"/>
    </w:p>
    <w:p w14:paraId="45DD1FF5">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（一）成交供应商的确认</w:t>
      </w:r>
    </w:p>
    <w:p w14:paraId="4EF6735D">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采购代理机构应当在评审结束后2个工作日内将评审报告送采购人确认。采购人应当在收到评审报告后5个工作日内，从评审报告提出的成交候选供应商中，按照排序由高到低的原则确定成交供应商，也可以书面授权</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直接确定成交供应商。采购人逾期未确定成交供应商且不提出异议的，视为确定评审报告提出的排序第一的供应商为成交供应商。</w:t>
      </w:r>
    </w:p>
    <w:p w14:paraId="0D833469">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（二）成交供应商的变更</w:t>
      </w:r>
    </w:p>
    <w:p w14:paraId="596C9D75">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成交供应商拒绝与采购人签订合同的，采购人可以按照评标报告推荐的成交候选供应商顺序，确定排名下一位的候选人为成交供应商，也可以重新开展政府采购活动。</w:t>
      </w:r>
    </w:p>
    <w:p w14:paraId="24CE9B8C">
      <w:pPr>
        <w:pStyle w:val="5"/>
        <w:spacing w:before="0" w:after="0" w:line="360" w:lineRule="auto"/>
        <w:rPr>
          <w:rFonts w:hint="eastAsia" w:ascii="仿宋" w:hAnsi="仿宋" w:eastAsia="仿宋" w:cs="仿宋"/>
          <w:color w:val="auto"/>
          <w:sz w:val="24"/>
          <w:szCs w:val="24"/>
        </w:rPr>
      </w:pPr>
      <w:bookmarkStart w:id="157" w:name="_Toc15436"/>
      <w:bookmarkStart w:id="158" w:name="_Toc102227321"/>
      <w:bookmarkStart w:id="159" w:name="_Toc342913395"/>
      <w:r>
        <w:rPr>
          <w:rFonts w:hint="eastAsia" w:ascii="仿宋" w:hAnsi="仿宋" w:eastAsia="仿宋" w:cs="仿宋"/>
          <w:color w:val="auto"/>
          <w:sz w:val="24"/>
          <w:szCs w:val="24"/>
        </w:rPr>
        <w:t>五、成交通知</w:t>
      </w:r>
      <w:bookmarkEnd w:id="157"/>
      <w:bookmarkEnd w:id="158"/>
      <w:bookmarkEnd w:id="159"/>
    </w:p>
    <w:p w14:paraId="4F4F5991">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（一）结果出来后三个工作日，采购代理机构将以书面形式发出《成交通知书》。《成交通知书》一经发出即发生法律效力。</w:t>
      </w:r>
    </w:p>
    <w:p w14:paraId="3B994A18">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（二）《成交通知书》将作为签订合同的依据。</w:t>
      </w:r>
    </w:p>
    <w:p w14:paraId="0EC76022">
      <w:pPr>
        <w:pStyle w:val="5"/>
        <w:spacing w:before="0" w:after="0" w:line="360" w:lineRule="auto"/>
        <w:rPr>
          <w:rFonts w:hint="eastAsia" w:ascii="仿宋" w:hAnsi="仿宋" w:eastAsia="仿宋" w:cs="仿宋"/>
          <w:color w:val="auto"/>
          <w:sz w:val="24"/>
          <w:szCs w:val="24"/>
        </w:rPr>
      </w:pPr>
      <w:bookmarkStart w:id="160" w:name="_Toc15621"/>
      <w:r>
        <w:rPr>
          <w:rFonts w:hint="eastAsia" w:ascii="仿宋" w:hAnsi="仿宋" w:eastAsia="仿宋" w:cs="仿宋"/>
          <w:color w:val="auto"/>
          <w:sz w:val="24"/>
          <w:szCs w:val="24"/>
          <w:lang w:val="en-US" w:eastAsia="zh-CN"/>
        </w:rPr>
        <w:t>六</w:t>
      </w:r>
      <w:r>
        <w:rPr>
          <w:rFonts w:hint="eastAsia" w:ascii="仿宋" w:hAnsi="仿宋" w:eastAsia="仿宋" w:cs="仿宋"/>
          <w:color w:val="auto"/>
          <w:sz w:val="24"/>
          <w:szCs w:val="24"/>
        </w:rPr>
        <w:t>、采购代理服务费</w:t>
      </w:r>
      <w:bookmarkEnd w:id="160"/>
    </w:p>
    <w:p w14:paraId="18AFB06E">
      <w:pPr>
        <w:pStyle w:val="5"/>
        <w:spacing w:before="0" w:after="0" w:line="360" w:lineRule="auto"/>
        <w:ind w:firstLine="720" w:firstLineChars="300"/>
        <w:rPr>
          <w:rFonts w:hint="eastAsia" w:ascii="仿宋" w:hAnsi="仿宋" w:eastAsia="仿宋" w:cs="仿宋"/>
          <w:b w:val="0"/>
          <w:color w:val="auto"/>
          <w:kern w:val="2"/>
          <w:sz w:val="24"/>
          <w:szCs w:val="24"/>
          <w:lang w:val="en-US" w:eastAsia="zh-CN" w:bidi="ar-SA"/>
        </w:rPr>
      </w:pPr>
      <w:bookmarkStart w:id="161" w:name="_Toc838"/>
      <w:bookmarkStart w:id="162" w:name="_Toc2127"/>
      <w:bookmarkStart w:id="163" w:name="_Toc19437"/>
      <w:bookmarkStart w:id="164" w:name="_Toc10795"/>
      <w:bookmarkStart w:id="165" w:name="_Toc102227322"/>
      <w:bookmarkStart w:id="166" w:name="_Toc342913396"/>
      <w:bookmarkStart w:id="167" w:name="_Toc11641055"/>
      <w:bookmarkStart w:id="168" w:name="_Toc12789059"/>
      <w:r>
        <w:rPr>
          <w:rFonts w:hint="eastAsia" w:ascii="仿宋" w:hAnsi="仿宋" w:eastAsia="仿宋" w:cs="仿宋"/>
          <w:b w:val="0"/>
          <w:color w:val="auto"/>
          <w:kern w:val="2"/>
          <w:sz w:val="24"/>
          <w:szCs w:val="24"/>
          <w:lang w:val="en-US" w:eastAsia="zh-CN" w:bidi="ar-SA"/>
        </w:rPr>
        <w:t>成交供应商在领取成交通知书前向代理机构缴纳采购代理服务费，</w:t>
      </w:r>
      <w:bookmarkEnd w:id="161"/>
      <w:bookmarkEnd w:id="162"/>
      <w:bookmarkEnd w:id="163"/>
      <w:r>
        <w:rPr>
          <w:rFonts w:hint="eastAsia" w:ascii="仿宋" w:hAnsi="仿宋" w:eastAsia="仿宋" w:cs="仿宋"/>
          <w:b w:val="0"/>
          <w:color w:val="auto"/>
          <w:kern w:val="2"/>
          <w:sz w:val="24"/>
          <w:szCs w:val="24"/>
          <w:lang w:val="en-US" w:eastAsia="zh-CN" w:bidi="ar-SA"/>
        </w:rPr>
        <w:t>计算方式：参照计价格〔2002〕1980号和发改价格〔2011〕534号，计算基数暂按486120元，486120×1.50％=7291.80元，打7折5104.26元，后续以此价格再按中标折扣打折（同比例下浮）。</w:t>
      </w:r>
      <w:bookmarkEnd w:id="164"/>
    </w:p>
    <w:p w14:paraId="74EACFF4">
      <w:pPr>
        <w:pStyle w:val="5"/>
        <w:spacing w:before="0" w:after="0" w:line="360" w:lineRule="auto"/>
        <w:rPr>
          <w:rFonts w:hint="eastAsia" w:ascii="仿宋" w:hAnsi="仿宋" w:eastAsia="仿宋" w:cs="仿宋"/>
          <w:color w:val="auto"/>
          <w:sz w:val="24"/>
          <w:szCs w:val="24"/>
        </w:rPr>
      </w:pPr>
      <w:bookmarkStart w:id="169" w:name="_Toc24376"/>
      <w:r>
        <w:rPr>
          <w:rFonts w:hint="eastAsia" w:ascii="仿宋" w:hAnsi="仿宋" w:eastAsia="仿宋" w:cs="仿宋"/>
          <w:color w:val="auto"/>
          <w:sz w:val="24"/>
          <w:szCs w:val="24"/>
          <w:lang w:val="en-US" w:eastAsia="zh-CN"/>
        </w:rPr>
        <w:t>七</w:t>
      </w:r>
      <w:r>
        <w:rPr>
          <w:rFonts w:hint="eastAsia" w:ascii="仿宋" w:hAnsi="仿宋" w:eastAsia="仿宋" w:cs="仿宋"/>
          <w:color w:val="auto"/>
          <w:sz w:val="24"/>
          <w:szCs w:val="24"/>
        </w:rPr>
        <w:t>、签订</w:t>
      </w:r>
      <w:bookmarkEnd w:id="165"/>
      <w:r>
        <w:rPr>
          <w:rFonts w:hint="eastAsia" w:ascii="仿宋" w:hAnsi="仿宋" w:eastAsia="仿宋" w:cs="仿宋"/>
          <w:color w:val="auto"/>
          <w:sz w:val="24"/>
          <w:szCs w:val="24"/>
        </w:rPr>
        <w:t>合同</w:t>
      </w:r>
      <w:bookmarkEnd w:id="166"/>
      <w:bookmarkEnd w:id="169"/>
    </w:p>
    <w:p w14:paraId="0A5ACA89">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b w:val="0"/>
          <w:bCs w:val="0"/>
          <w:color w:val="auto"/>
          <w:sz w:val="24"/>
          <w:szCs w:val="24"/>
        </w:rPr>
        <w:t>（一）采购人应当自成交通知书发出之日起</w:t>
      </w:r>
      <w:r>
        <w:rPr>
          <w:rFonts w:hint="eastAsia" w:ascii="仿宋" w:hAnsi="仿宋" w:eastAsia="仿宋" w:cs="仿宋"/>
          <w:b w:val="0"/>
          <w:bCs w:val="0"/>
          <w:color w:val="auto"/>
          <w:sz w:val="24"/>
          <w:szCs w:val="24"/>
          <w:lang w:val="en-US" w:eastAsia="zh-CN"/>
        </w:rPr>
        <w:t>二</w:t>
      </w:r>
      <w:r>
        <w:rPr>
          <w:rFonts w:hint="eastAsia" w:ascii="仿宋" w:hAnsi="仿宋" w:eastAsia="仿宋" w:cs="仿宋"/>
          <w:b w:val="0"/>
          <w:bCs w:val="0"/>
          <w:color w:val="auto"/>
          <w:sz w:val="24"/>
          <w:szCs w:val="24"/>
        </w:rPr>
        <w:t>十日内，按照</w:t>
      </w:r>
      <w:r>
        <w:rPr>
          <w:rFonts w:hint="eastAsia" w:ascii="仿宋" w:hAnsi="仿宋" w:eastAsia="仿宋" w:cs="仿宋"/>
          <w:b w:val="0"/>
          <w:bCs w:val="0"/>
          <w:color w:val="auto"/>
          <w:sz w:val="24"/>
          <w:szCs w:val="24"/>
          <w:lang w:eastAsia="zh-CN"/>
        </w:rPr>
        <w:t>询比文件</w:t>
      </w:r>
      <w:r>
        <w:rPr>
          <w:rFonts w:hint="eastAsia" w:ascii="仿宋" w:hAnsi="仿宋" w:eastAsia="仿宋" w:cs="仿宋"/>
          <w:b w:val="0"/>
          <w:bCs w:val="0"/>
          <w:color w:val="auto"/>
          <w:sz w:val="24"/>
          <w:szCs w:val="24"/>
        </w:rPr>
        <w:t>和成交供应商响应文件的约定，与成交供应商签订书面合同。所签订的合同</w:t>
      </w:r>
      <w:r>
        <w:rPr>
          <w:rFonts w:hint="eastAsia" w:ascii="仿宋" w:hAnsi="仿宋" w:eastAsia="仿宋" w:cs="仿宋"/>
          <w:color w:val="auto"/>
          <w:sz w:val="24"/>
          <w:szCs w:val="24"/>
        </w:rPr>
        <w:t>不得对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和供应商的响应文件作实质性修改。</w:t>
      </w:r>
    </w:p>
    <w:p w14:paraId="099C6E63">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、供应商的响应文件及澄清文件等，均为签订</w:t>
      </w:r>
      <w:r>
        <w:rPr>
          <w:rFonts w:hint="eastAsia" w:ascii="仿宋" w:hAnsi="仿宋" w:eastAsia="仿宋" w:cs="仿宋"/>
          <w:color w:val="auto"/>
          <w:sz w:val="24"/>
          <w:szCs w:val="24"/>
          <w:lang w:eastAsia="zh-CN"/>
        </w:rPr>
        <w:t>采购合同</w:t>
      </w:r>
      <w:r>
        <w:rPr>
          <w:rFonts w:hint="eastAsia" w:ascii="仿宋" w:hAnsi="仿宋" w:eastAsia="仿宋" w:cs="仿宋"/>
          <w:color w:val="auto"/>
          <w:sz w:val="24"/>
          <w:szCs w:val="24"/>
        </w:rPr>
        <w:t>的依据。</w:t>
      </w:r>
    </w:p>
    <w:p w14:paraId="0E9BB15F">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（三）合同生效条款由供需双方约定，法律、行政法规规定应当办理批准、登记等手续后生效的合同，依照其规定。</w:t>
      </w:r>
    </w:p>
    <w:p w14:paraId="2045A1EE">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（四）合同原则上应按照《重庆市</w:t>
      </w:r>
      <w:r>
        <w:rPr>
          <w:rFonts w:hint="eastAsia" w:ascii="仿宋" w:hAnsi="仿宋" w:eastAsia="仿宋" w:cs="仿宋"/>
          <w:color w:val="auto"/>
          <w:sz w:val="24"/>
          <w:szCs w:val="24"/>
          <w:lang w:eastAsia="zh-CN"/>
        </w:rPr>
        <w:t>采购合同</w:t>
      </w:r>
      <w:r>
        <w:rPr>
          <w:rFonts w:hint="eastAsia" w:ascii="仿宋" w:hAnsi="仿宋" w:eastAsia="仿宋" w:cs="仿宋"/>
          <w:color w:val="auto"/>
          <w:sz w:val="24"/>
          <w:szCs w:val="24"/>
        </w:rPr>
        <w:t>》签订，相关单位要求适用合同通用格式版本的，应按其要求另行签订其他合同。</w:t>
      </w:r>
    </w:p>
    <w:p w14:paraId="67BAB739">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（五）采购人要求成交供应商提供履约保证金的，应当在</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中予以约定。成交供应商履约完毕后，采购人根据采购文件规定无息退还其履约保证金。</w:t>
      </w:r>
    </w:p>
    <w:p w14:paraId="3170228B">
      <w:pPr>
        <w:pStyle w:val="4"/>
        <w:spacing w:before="0" w:after="0" w:line="360" w:lineRule="auto"/>
        <w:jc w:val="center"/>
        <w:rPr>
          <w:rFonts w:hint="eastAsia" w:ascii="仿宋" w:hAnsi="仿宋" w:eastAsia="仿宋" w:cs="仿宋"/>
          <w:b w:val="0"/>
          <w:color w:val="auto"/>
          <w:sz w:val="36"/>
          <w:szCs w:val="30"/>
          <w:lang w:eastAsia="zh-CN"/>
        </w:rPr>
      </w:pPr>
      <w:bookmarkStart w:id="170" w:name="_Toc11072"/>
      <w:r>
        <w:rPr>
          <w:rFonts w:hint="eastAsia" w:ascii="仿宋" w:hAnsi="仿宋" w:eastAsia="仿宋" w:cs="仿宋"/>
          <w:b w:val="0"/>
          <w:color w:val="auto"/>
          <w:sz w:val="36"/>
          <w:szCs w:val="30"/>
        </w:rPr>
        <w:t xml:space="preserve">第六篇  </w:t>
      </w:r>
      <w:bookmarkEnd w:id="167"/>
      <w:bookmarkEnd w:id="168"/>
      <w:r>
        <w:rPr>
          <w:rFonts w:hint="eastAsia" w:ascii="仿宋" w:hAnsi="仿宋" w:eastAsia="仿宋" w:cs="仿宋"/>
          <w:b w:val="0"/>
          <w:color w:val="auto"/>
          <w:sz w:val="36"/>
          <w:szCs w:val="30"/>
          <w:lang w:eastAsia="zh-CN"/>
        </w:rPr>
        <w:t>采购合同</w:t>
      </w:r>
      <w:bookmarkEnd w:id="170"/>
    </w:p>
    <w:p w14:paraId="0B38C0D1">
      <w:pPr>
        <w:tabs>
          <w:tab w:val="left" w:pos="9000"/>
        </w:tabs>
        <w:spacing w:line="360" w:lineRule="auto"/>
        <w:jc w:val="center"/>
        <w:rPr>
          <w:rFonts w:hint="eastAsia" w:ascii="仿宋" w:hAnsi="仿宋" w:eastAsia="仿宋" w:cs="仿宋"/>
          <w:color w:val="auto"/>
          <w:sz w:val="21"/>
          <w:szCs w:val="21"/>
        </w:rPr>
        <w:sectPr>
          <w:footerReference r:id="rId9" w:type="default"/>
          <w:footerReference r:id="rId10" w:type="even"/>
          <w:pgSz w:w="11907" w:h="16840"/>
          <w:pgMar w:top="1134" w:right="1191" w:bottom="1134" w:left="1304" w:header="964" w:footer="992" w:gutter="0"/>
          <w:pgNumType w:fmt="numberInDash"/>
          <w:cols w:space="720" w:num="1"/>
          <w:docGrid w:linePitch="312" w:charSpace="0"/>
        </w:sectPr>
      </w:pPr>
      <w:bookmarkStart w:id="171" w:name="_Hlt41879464"/>
      <w:bookmarkEnd w:id="171"/>
      <w:bookmarkStart w:id="172" w:name="_Toc9102"/>
      <w:r>
        <w:rPr>
          <w:rFonts w:hint="eastAsia" w:ascii="仿宋" w:hAnsi="仿宋" w:eastAsia="仿宋" w:cs="仿宋"/>
          <w:b w:val="0"/>
          <w:color w:val="auto"/>
          <w:sz w:val="28"/>
          <w:szCs w:val="24"/>
          <w:lang w:eastAsia="zh-CN"/>
        </w:rPr>
        <w:t>根据项目情况自拟。</w:t>
      </w:r>
    </w:p>
    <w:p w14:paraId="775847E4">
      <w:pPr>
        <w:pStyle w:val="4"/>
        <w:spacing w:before="0" w:after="0" w:line="360" w:lineRule="auto"/>
        <w:jc w:val="center"/>
        <w:rPr>
          <w:rFonts w:hint="eastAsia" w:ascii="仿宋" w:hAnsi="仿宋" w:eastAsia="仿宋" w:cs="仿宋"/>
          <w:b w:val="0"/>
          <w:color w:val="auto"/>
          <w:sz w:val="36"/>
          <w:szCs w:val="30"/>
        </w:rPr>
      </w:pPr>
      <w:r>
        <w:rPr>
          <w:rFonts w:hint="eastAsia" w:ascii="仿宋" w:hAnsi="仿宋" w:eastAsia="仿宋" w:cs="仿宋"/>
          <w:b w:val="0"/>
          <w:color w:val="auto"/>
          <w:sz w:val="36"/>
          <w:szCs w:val="30"/>
        </w:rPr>
        <w:t>第七篇  响应文件编制要求</w:t>
      </w:r>
      <w:bookmarkEnd w:id="172"/>
    </w:p>
    <w:p w14:paraId="3460D95C">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一、经济部分</w:t>
      </w:r>
    </w:p>
    <w:p w14:paraId="0747D7F4">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（一）报价函</w:t>
      </w:r>
    </w:p>
    <w:p w14:paraId="43E9BA2F">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二、服务部分</w:t>
      </w:r>
    </w:p>
    <w:p w14:paraId="1644C608">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（一）服务方案</w:t>
      </w:r>
    </w:p>
    <w:p w14:paraId="15247BF9">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（二）服务响应偏离表</w:t>
      </w:r>
    </w:p>
    <w:p w14:paraId="2D291064">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三、商务部分</w:t>
      </w:r>
    </w:p>
    <w:p w14:paraId="5645A5AB">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（一）商务要求响应情况：服务期及地点、报价要求、质量保证及售后服务等。</w:t>
      </w:r>
    </w:p>
    <w:p w14:paraId="7B6D45C4">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（二）商务响应偏离表</w:t>
      </w:r>
    </w:p>
    <w:p w14:paraId="5796CE58">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（三）商务部分评分资料</w:t>
      </w:r>
    </w:p>
    <w:p w14:paraId="2B448D42">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四、资格条件及其他</w:t>
      </w:r>
    </w:p>
    <w:p w14:paraId="74041399">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（一）营业执照（副本）或事业单位法人证书（副本）复印件</w:t>
      </w:r>
    </w:p>
    <w:p w14:paraId="00A1F358">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二</w:t>
      </w:r>
      <w:r>
        <w:rPr>
          <w:rFonts w:hint="eastAsia" w:ascii="仿宋" w:hAnsi="仿宋" w:eastAsia="仿宋" w:cs="仿宋"/>
          <w:color w:val="auto"/>
          <w:sz w:val="24"/>
          <w:szCs w:val="24"/>
        </w:rPr>
        <w:t>）法定代表人身份证明书（格式）</w:t>
      </w:r>
    </w:p>
    <w:p w14:paraId="737DF07C">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三</w:t>
      </w:r>
      <w:r>
        <w:rPr>
          <w:rFonts w:hint="eastAsia" w:ascii="仿宋" w:hAnsi="仿宋" w:eastAsia="仿宋" w:cs="仿宋"/>
          <w:color w:val="auto"/>
          <w:sz w:val="24"/>
          <w:szCs w:val="24"/>
        </w:rPr>
        <w:t>）法定代表人授权委托书（格式）</w:t>
      </w:r>
    </w:p>
    <w:p w14:paraId="697760DB">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四</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基本资格条件承诺函</w:t>
      </w:r>
      <w:r>
        <w:rPr>
          <w:rFonts w:hint="eastAsia" w:ascii="仿宋" w:hAnsi="仿宋" w:eastAsia="仿宋" w:cs="仿宋"/>
          <w:color w:val="auto"/>
          <w:sz w:val="24"/>
          <w:szCs w:val="24"/>
        </w:rPr>
        <w:t>（格式）</w:t>
      </w:r>
    </w:p>
    <w:p w14:paraId="13AD6D14">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五</w:t>
      </w:r>
      <w:r>
        <w:rPr>
          <w:rFonts w:hint="eastAsia" w:ascii="仿宋" w:hAnsi="仿宋" w:eastAsia="仿宋" w:cs="仿宋"/>
          <w:color w:val="auto"/>
          <w:sz w:val="24"/>
          <w:szCs w:val="24"/>
        </w:rPr>
        <w:t>）特定资格条件证书或证明文件</w:t>
      </w:r>
    </w:p>
    <w:p w14:paraId="19C1B089">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五、其他资料</w:t>
      </w:r>
    </w:p>
    <w:p w14:paraId="14653C73">
      <w:pPr>
        <w:snapToGrid w:val="0"/>
        <w:spacing w:line="360" w:lineRule="auto"/>
        <w:rPr>
          <w:rFonts w:hint="eastAsia" w:ascii="仿宋" w:hAnsi="仿宋" w:eastAsia="仿宋" w:cs="仿宋"/>
          <w:color w:val="auto"/>
          <w:sz w:val="24"/>
          <w:szCs w:val="24"/>
          <w:bdr w:val="single" w:color="auto" w:sz="4" w:space="0"/>
        </w:rPr>
        <w:sectPr>
          <w:footerReference r:id="rId11" w:type="default"/>
          <w:pgSz w:w="11907" w:h="16840"/>
          <w:pgMar w:top="1134" w:right="1191" w:bottom="1134" w:left="1304" w:header="851" w:footer="992" w:gutter="0"/>
          <w:pgNumType w:fmt="numberInDash"/>
          <w:cols w:space="720" w:num="1"/>
          <w:docGrid w:linePitch="380" w:charSpace="-5735"/>
        </w:sect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en-US" w:eastAsia="zh-CN"/>
        </w:rPr>
        <w:t>一</w:t>
      </w:r>
      <w:r>
        <w:rPr>
          <w:rFonts w:hint="eastAsia" w:ascii="仿宋" w:hAnsi="仿宋" w:eastAsia="仿宋" w:cs="仿宋"/>
          <w:color w:val="auto"/>
          <w:sz w:val="24"/>
          <w:szCs w:val="24"/>
        </w:rPr>
        <w:t>）其他与项目有关的资料</w:t>
      </w:r>
    </w:p>
    <w:p w14:paraId="63D81F00">
      <w:pPr>
        <w:pStyle w:val="5"/>
        <w:spacing w:before="0" w:after="0" w:line="360" w:lineRule="auto"/>
        <w:rPr>
          <w:rFonts w:hint="eastAsia" w:ascii="仿宋" w:hAnsi="仿宋" w:eastAsia="仿宋" w:cs="仿宋"/>
          <w:color w:val="auto"/>
          <w:sz w:val="24"/>
          <w:szCs w:val="24"/>
        </w:rPr>
      </w:pPr>
      <w:bookmarkStart w:id="173" w:name="_Toc313888360"/>
      <w:bookmarkStart w:id="174" w:name="_Toc342913419"/>
      <w:bookmarkStart w:id="175" w:name="_Toc313008356"/>
      <w:bookmarkStart w:id="176" w:name="_Toc2985"/>
      <w:bookmarkStart w:id="177" w:name="_Toc12789073"/>
      <w:bookmarkStart w:id="178" w:name="_Toc283382454"/>
      <w:r>
        <w:rPr>
          <w:rFonts w:hint="eastAsia" w:ascii="仿宋" w:hAnsi="仿宋" w:eastAsia="仿宋" w:cs="仿宋"/>
          <w:color w:val="auto"/>
          <w:sz w:val="24"/>
          <w:szCs w:val="24"/>
        </w:rPr>
        <w:t>一、经济部分</w:t>
      </w:r>
      <w:bookmarkEnd w:id="173"/>
      <w:bookmarkEnd w:id="174"/>
      <w:bookmarkEnd w:id="175"/>
      <w:bookmarkEnd w:id="176"/>
    </w:p>
    <w:bookmarkEnd w:id="177"/>
    <w:bookmarkEnd w:id="178"/>
    <w:p w14:paraId="2B7D29B2">
      <w:pPr>
        <w:tabs>
          <w:tab w:val="left" w:pos="6300"/>
        </w:tabs>
        <w:snapToGrid w:val="0"/>
        <w:spacing w:line="360" w:lineRule="auto"/>
        <w:ind w:firstLine="420" w:firstLineChars="200"/>
        <w:rPr>
          <w:rFonts w:hint="eastAsia" w:ascii="仿宋" w:hAnsi="仿宋" w:eastAsia="仿宋" w:cs="仿宋"/>
          <w:color w:val="auto"/>
          <w:szCs w:val="28"/>
        </w:rPr>
      </w:pPr>
      <w:r>
        <w:rPr>
          <w:rFonts w:hint="eastAsia" w:ascii="仿宋" w:hAnsi="仿宋" w:eastAsia="仿宋" w:cs="仿宋"/>
          <w:color w:val="auto"/>
          <w:szCs w:val="28"/>
        </w:rPr>
        <w:t>（一）报价函</w:t>
      </w:r>
    </w:p>
    <w:p w14:paraId="4534D089">
      <w:pPr>
        <w:tabs>
          <w:tab w:val="left" w:pos="6300"/>
        </w:tabs>
        <w:snapToGrid w:val="0"/>
        <w:spacing w:line="360" w:lineRule="auto"/>
        <w:jc w:val="center"/>
        <w:outlineLvl w:val="0"/>
        <w:rPr>
          <w:rFonts w:hint="eastAsia" w:ascii="仿宋" w:hAnsi="仿宋" w:eastAsia="仿宋" w:cs="仿宋"/>
          <w:b/>
          <w:color w:val="auto"/>
          <w:szCs w:val="28"/>
        </w:rPr>
      </w:pPr>
      <w:r>
        <w:rPr>
          <w:rFonts w:hint="eastAsia" w:ascii="仿宋" w:hAnsi="仿宋" w:eastAsia="仿宋" w:cs="仿宋"/>
          <w:b/>
          <w:color w:val="auto"/>
          <w:szCs w:val="28"/>
        </w:rPr>
        <w:t>报价函</w:t>
      </w:r>
    </w:p>
    <w:p w14:paraId="5B8F117B">
      <w:pPr>
        <w:tabs>
          <w:tab w:val="left" w:pos="6300"/>
        </w:tabs>
        <w:snapToGrid w:val="0"/>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u w:val="single"/>
        </w:rPr>
        <w:t>（采购人名称）</w:t>
      </w:r>
      <w:r>
        <w:rPr>
          <w:rFonts w:hint="eastAsia" w:ascii="仿宋" w:hAnsi="仿宋" w:eastAsia="仿宋" w:cs="仿宋"/>
          <w:color w:val="auto"/>
          <w:sz w:val="24"/>
          <w:szCs w:val="24"/>
        </w:rPr>
        <w:t>：</w:t>
      </w:r>
    </w:p>
    <w:p w14:paraId="07F16D5D">
      <w:pPr>
        <w:tabs>
          <w:tab w:val="left" w:pos="6300"/>
        </w:tabs>
        <w:snapToGrid w:val="0"/>
        <w:spacing w:line="312" w:lineRule="auto"/>
        <w:ind w:firstLine="480" w:firstLineChars="200"/>
        <w:rPr>
          <w:rFonts w:hint="eastAsia" w:ascii="方正仿宋_GBK" w:hAnsi="宋体" w:eastAsia="方正仿宋_GBK"/>
          <w:color w:val="auto"/>
          <w:sz w:val="24"/>
          <w:szCs w:val="24"/>
        </w:rPr>
      </w:pPr>
      <w:r>
        <w:rPr>
          <w:rFonts w:hint="eastAsia" w:ascii="方正仿宋_GBK" w:hAnsi="宋体" w:eastAsia="方正仿宋_GBK"/>
          <w:color w:val="auto"/>
          <w:sz w:val="24"/>
          <w:szCs w:val="24"/>
        </w:rPr>
        <w:t>我方收到</w:t>
      </w:r>
      <w:r>
        <w:rPr>
          <w:rFonts w:hint="eastAsia" w:ascii="方正仿宋_GBK" w:hAnsi="宋体" w:eastAsia="方正仿宋_GBK"/>
          <w:color w:val="auto"/>
          <w:sz w:val="24"/>
          <w:szCs w:val="24"/>
          <w:u w:val="single"/>
          <w:lang w:val="en-US" w:eastAsia="zh-CN"/>
        </w:rPr>
        <w:t xml:space="preserve">                   </w:t>
      </w:r>
      <w:r>
        <w:rPr>
          <w:rFonts w:hint="eastAsia" w:ascii="方正仿宋_GBK" w:hAnsi="宋体" w:eastAsia="方正仿宋_GBK"/>
          <w:color w:val="auto"/>
          <w:sz w:val="24"/>
          <w:szCs w:val="24"/>
        </w:rPr>
        <w:t>（项目名称）的</w:t>
      </w:r>
      <w:r>
        <w:rPr>
          <w:rFonts w:hint="eastAsia" w:ascii="方正仿宋_GBK" w:hAnsi="宋体" w:eastAsia="方正仿宋_GBK"/>
          <w:color w:val="auto"/>
          <w:sz w:val="24"/>
          <w:szCs w:val="24"/>
          <w:lang w:eastAsia="zh-CN"/>
        </w:rPr>
        <w:t>询比文件</w:t>
      </w:r>
      <w:r>
        <w:rPr>
          <w:rFonts w:hint="eastAsia" w:ascii="方正仿宋_GBK" w:hAnsi="宋体" w:eastAsia="方正仿宋_GBK"/>
          <w:color w:val="auto"/>
          <w:sz w:val="24"/>
          <w:szCs w:val="24"/>
        </w:rPr>
        <w:t>，经详细研究，决定参加该项目的</w:t>
      </w:r>
      <w:r>
        <w:rPr>
          <w:rFonts w:hint="eastAsia" w:ascii="方正仿宋_GBK" w:hAnsi="宋体" w:eastAsia="方正仿宋_GBK"/>
          <w:color w:val="auto"/>
          <w:sz w:val="24"/>
          <w:szCs w:val="24"/>
          <w:lang w:eastAsia="zh-CN"/>
        </w:rPr>
        <w:t>询比</w:t>
      </w:r>
      <w:r>
        <w:rPr>
          <w:rFonts w:hint="eastAsia" w:ascii="方正仿宋_GBK" w:hAnsi="宋体" w:eastAsia="方正仿宋_GBK"/>
          <w:color w:val="auto"/>
          <w:sz w:val="24"/>
          <w:szCs w:val="24"/>
        </w:rPr>
        <w:t>。</w:t>
      </w:r>
    </w:p>
    <w:p w14:paraId="4F7A07FC">
      <w:pPr>
        <w:tabs>
          <w:tab w:val="left" w:pos="6300"/>
        </w:tabs>
        <w:snapToGrid w:val="0"/>
        <w:spacing w:line="360" w:lineRule="auto"/>
        <w:ind w:left="10" w:leftChars="5" w:firstLine="458" w:firstLineChars="191"/>
        <w:jc w:val="left"/>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rPr>
        <w:t>1.愿意按照</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中的一切要求，提供本项目的服务，报价</w:t>
      </w:r>
      <w:r>
        <w:rPr>
          <w:rFonts w:hint="eastAsia" w:ascii="仿宋" w:hAnsi="仿宋" w:eastAsia="仿宋" w:cs="仿宋"/>
          <w:color w:val="auto"/>
          <w:sz w:val="24"/>
          <w:szCs w:val="24"/>
          <w:lang w:val="en-US" w:eastAsia="zh-CN"/>
        </w:rPr>
        <w:t>折扣</w:t>
      </w: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lang w:val="en-US" w:eastAsia="zh-CN"/>
        </w:rPr>
        <w:t>%，</w:t>
      </w:r>
      <w:r>
        <w:rPr>
          <w:rFonts w:hint="eastAsia" w:ascii="仿宋" w:hAnsi="仿宋" w:eastAsia="仿宋" w:cs="仿宋"/>
          <w:color w:val="auto"/>
          <w:sz w:val="24"/>
          <w:szCs w:val="24"/>
        </w:rPr>
        <w:t>大写</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w:t>
      </w:r>
    </w:p>
    <w:p w14:paraId="4B4DF28E">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2.我方现提交的响应文件为：响应文件正本</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份，副本</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份，电子文档</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份。</w:t>
      </w:r>
    </w:p>
    <w:p w14:paraId="77965F95">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3.我方承诺：本次</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的有效期为90天。</w:t>
      </w:r>
    </w:p>
    <w:p w14:paraId="30F9EA99">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4.我方完全理解和接受贵方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的一切规定和要求及评审办法。</w:t>
      </w:r>
    </w:p>
    <w:p w14:paraId="300EA633">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5.在整个</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过程中，我方若有违规行为，接受按照《中华人民共和国政府采购法》和《</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》之规定给予惩罚。</w:t>
      </w:r>
    </w:p>
    <w:p w14:paraId="0DD67AF4">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6.我方若成为成交供应商，将按照最终</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结果签订合同，并且严格履行合同义务。本承诺函将成为合同不可分割的一部分，与合同具有同等的法律效力。</w:t>
      </w:r>
    </w:p>
    <w:p w14:paraId="3F576F96">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7.如果我方成为成交供应商，保证在接到成交通知书后，向采购代理机构缴纳</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规定的采购代理服务费。</w:t>
      </w:r>
    </w:p>
    <w:p w14:paraId="458D1EDA">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供应商（公章）：</w:t>
      </w:r>
    </w:p>
    <w:p w14:paraId="7B45AF1E">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地址：  </w:t>
      </w:r>
    </w:p>
    <w:p w14:paraId="703A4916">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电话：                                             传真：</w:t>
      </w:r>
    </w:p>
    <w:p w14:paraId="55AFF580">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网址：                                             邮编：</w:t>
      </w:r>
    </w:p>
    <w:p w14:paraId="617975B8">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联系人：</w:t>
      </w:r>
    </w:p>
    <w:p w14:paraId="51BC5A1C">
      <w:pPr>
        <w:spacing w:line="36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4DD0AFF6">
      <w:pPr>
        <w:spacing w:line="360" w:lineRule="auto"/>
        <w:jc w:val="center"/>
        <w:rPr>
          <w:rFonts w:hint="eastAsia" w:ascii="仿宋" w:hAnsi="仿宋" w:eastAsia="仿宋" w:cs="仿宋"/>
          <w:color w:val="auto"/>
          <w:szCs w:val="28"/>
        </w:rPr>
      </w:pPr>
    </w:p>
    <w:p w14:paraId="65FAB93C">
      <w:pPr>
        <w:spacing w:line="360" w:lineRule="auto"/>
        <w:jc w:val="center"/>
        <w:rPr>
          <w:rFonts w:hint="eastAsia" w:ascii="仿宋" w:hAnsi="仿宋" w:eastAsia="仿宋" w:cs="仿宋"/>
          <w:color w:val="auto"/>
          <w:szCs w:val="28"/>
        </w:rPr>
      </w:pPr>
    </w:p>
    <w:p w14:paraId="6565B412">
      <w:pPr>
        <w:snapToGrid w:val="0"/>
        <w:spacing w:line="360" w:lineRule="auto"/>
        <w:ind w:firstLine="480" w:firstLineChars="200"/>
        <w:rPr>
          <w:rFonts w:hint="eastAsia" w:ascii="仿宋" w:hAnsi="仿宋" w:eastAsia="仿宋" w:cs="仿宋"/>
          <w:color w:val="auto"/>
          <w:sz w:val="24"/>
          <w:szCs w:val="24"/>
        </w:rPr>
      </w:pPr>
    </w:p>
    <w:p w14:paraId="597CE0AB">
      <w:pPr>
        <w:snapToGrid w:val="0"/>
        <w:spacing w:line="360" w:lineRule="auto"/>
        <w:ind w:firstLine="480" w:firstLineChars="200"/>
        <w:rPr>
          <w:rFonts w:hint="eastAsia" w:ascii="仿宋" w:hAnsi="仿宋" w:eastAsia="仿宋" w:cs="仿宋"/>
          <w:color w:val="auto"/>
          <w:sz w:val="24"/>
          <w:szCs w:val="24"/>
        </w:rPr>
      </w:pPr>
    </w:p>
    <w:p w14:paraId="58DE2CED">
      <w:pPr>
        <w:pStyle w:val="10"/>
        <w:rPr>
          <w:rFonts w:hint="eastAsia"/>
          <w:color w:val="auto"/>
        </w:rPr>
      </w:pPr>
    </w:p>
    <w:p w14:paraId="4069A973">
      <w:pPr>
        <w:snapToGrid w:val="0"/>
        <w:spacing w:line="360" w:lineRule="auto"/>
        <w:ind w:firstLine="480" w:firstLineChars="200"/>
        <w:rPr>
          <w:rFonts w:hint="eastAsia" w:ascii="仿宋" w:hAnsi="仿宋" w:eastAsia="仿宋" w:cs="仿宋"/>
          <w:color w:val="auto"/>
          <w:sz w:val="24"/>
          <w:szCs w:val="24"/>
        </w:rPr>
      </w:pPr>
    </w:p>
    <w:p w14:paraId="18343DA8">
      <w:pPr>
        <w:snapToGrid w:val="0"/>
        <w:spacing w:line="360" w:lineRule="auto"/>
        <w:ind w:firstLine="480" w:firstLineChars="200"/>
        <w:rPr>
          <w:rFonts w:hint="eastAsia" w:ascii="仿宋" w:hAnsi="仿宋" w:eastAsia="仿宋" w:cs="仿宋"/>
          <w:color w:val="auto"/>
          <w:sz w:val="24"/>
          <w:szCs w:val="24"/>
        </w:rPr>
      </w:pPr>
    </w:p>
    <w:p w14:paraId="55CF26F4">
      <w:pPr>
        <w:pStyle w:val="5"/>
        <w:spacing w:before="0" w:after="0" w:line="360" w:lineRule="auto"/>
        <w:rPr>
          <w:rFonts w:hint="eastAsia" w:ascii="仿宋" w:hAnsi="仿宋" w:eastAsia="仿宋" w:cs="仿宋"/>
          <w:color w:val="auto"/>
          <w:sz w:val="24"/>
          <w:szCs w:val="24"/>
        </w:rPr>
      </w:pPr>
      <w:bookmarkStart w:id="179" w:name="_Toc342913420"/>
      <w:bookmarkStart w:id="180" w:name="_Toc313888361"/>
      <w:bookmarkStart w:id="181" w:name="_Toc313008357"/>
    </w:p>
    <w:p w14:paraId="681F3924">
      <w:pPr>
        <w:pStyle w:val="5"/>
        <w:spacing w:before="0" w:after="0" w:line="360" w:lineRule="auto"/>
        <w:rPr>
          <w:rFonts w:hint="eastAsia" w:ascii="仿宋" w:hAnsi="仿宋" w:eastAsia="仿宋" w:cs="仿宋"/>
          <w:color w:val="auto"/>
          <w:sz w:val="24"/>
          <w:szCs w:val="24"/>
        </w:rPr>
      </w:pPr>
      <w:bookmarkStart w:id="182" w:name="_Toc28090"/>
      <w:r>
        <w:rPr>
          <w:rFonts w:hint="eastAsia" w:ascii="仿宋" w:hAnsi="仿宋" w:eastAsia="仿宋" w:cs="仿宋"/>
          <w:color w:val="auto"/>
          <w:sz w:val="24"/>
          <w:szCs w:val="24"/>
        </w:rPr>
        <w:t>二、服务部</w:t>
      </w:r>
      <w:bookmarkEnd w:id="179"/>
      <w:bookmarkEnd w:id="180"/>
      <w:bookmarkEnd w:id="181"/>
      <w:r>
        <w:rPr>
          <w:rFonts w:hint="eastAsia" w:ascii="仿宋" w:hAnsi="仿宋" w:eastAsia="仿宋" w:cs="仿宋"/>
          <w:color w:val="auto"/>
          <w:sz w:val="24"/>
          <w:szCs w:val="24"/>
        </w:rPr>
        <w:t>分</w:t>
      </w:r>
      <w:bookmarkEnd w:id="182"/>
    </w:p>
    <w:p w14:paraId="5775849B">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一</w:t>
      </w:r>
      <w:r>
        <w:rPr>
          <w:rFonts w:hint="eastAsia" w:ascii="仿宋" w:hAnsi="仿宋" w:eastAsia="仿宋" w:cs="仿宋"/>
          <w:color w:val="auto"/>
          <w:sz w:val="24"/>
          <w:szCs w:val="24"/>
        </w:rPr>
        <w:t xml:space="preserve">）项目服务需求偏离表                          </w:t>
      </w:r>
    </w:p>
    <w:p w14:paraId="28AF2450">
      <w:pPr>
        <w:pStyle w:val="8"/>
        <w:tabs>
          <w:tab w:val="left" w:pos="6300"/>
        </w:tabs>
        <w:snapToGrid w:val="0"/>
        <w:spacing w:line="360" w:lineRule="auto"/>
        <w:ind w:firstLine="480" w:firstLineChars="200"/>
        <w:outlineLvl w:val="0"/>
        <w:rPr>
          <w:rFonts w:hint="eastAsia" w:ascii="仿宋" w:hAnsi="仿宋" w:eastAsia="方正仿宋_GBK" w:cs="仿宋"/>
          <w:color w:val="auto"/>
          <w:sz w:val="24"/>
          <w:szCs w:val="24"/>
          <w:lang w:val="en-US" w:eastAsia="zh-CN"/>
        </w:rPr>
      </w:pPr>
      <w:r>
        <w:rPr>
          <w:rFonts w:hint="eastAsia" w:ascii="方正仿宋_GBK" w:hAnsi="宋体" w:eastAsia="方正仿宋_GBK"/>
          <w:color w:val="auto"/>
          <w:sz w:val="24"/>
          <w:szCs w:val="24"/>
        </w:rPr>
        <w:t>项目名称</w:t>
      </w:r>
      <w:r>
        <w:rPr>
          <w:rFonts w:hint="eastAsia" w:ascii="方正仿宋_GBK" w:hAnsi="宋体" w:eastAsia="方正仿宋_GBK"/>
          <w:color w:val="auto"/>
          <w:sz w:val="24"/>
          <w:szCs w:val="24"/>
          <w:lang w:val="en-US" w:eastAsia="zh-CN"/>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2658"/>
        <w:gridCol w:w="2759"/>
        <w:gridCol w:w="2067"/>
      </w:tblGrid>
      <w:tr w14:paraId="59FCB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138" w:type="dxa"/>
            <w:noWrap w:val="0"/>
            <w:vAlign w:val="center"/>
          </w:tcPr>
          <w:p w14:paraId="0F1A1BBA">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序号</w:t>
            </w:r>
          </w:p>
        </w:tc>
        <w:tc>
          <w:tcPr>
            <w:tcW w:w="2658" w:type="dxa"/>
            <w:noWrap w:val="0"/>
            <w:vAlign w:val="center"/>
          </w:tcPr>
          <w:p w14:paraId="2E2EC203">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采购需求</w:t>
            </w:r>
          </w:p>
        </w:tc>
        <w:tc>
          <w:tcPr>
            <w:tcW w:w="2759" w:type="dxa"/>
            <w:noWrap w:val="0"/>
            <w:vAlign w:val="center"/>
          </w:tcPr>
          <w:p w14:paraId="25A4AADC">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响应情况</w:t>
            </w:r>
          </w:p>
        </w:tc>
        <w:tc>
          <w:tcPr>
            <w:tcW w:w="2067" w:type="dxa"/>
            <w:noWrap w:val="0"/>
            <w:vAlign w:val="center"/>
          </w:tcPr>
          <w:p w14:paraId="3C33711D">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差异说明</w:t>
            </w:r>
          </w:p>
        </w:tc>
      </w:tr>
      <w:tr w14:paraId="2BAF9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6EFDF0E7">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7E665E92">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13576B7F">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29DD02ED">
            <w:pPr>
              <w:tabs>
                <w:tab w:val="left" w:pos="6300"/>
              </w:tabs>
              <w:snapToGrid w:val="0"/>
              <w:spacing w:line="360" w:lineRule="auto"/>
              <w:jc w:val="center"/>
              <w:outlineLvl w:val="0"/>
              <w:rPr>
                <w:rFonts w:hint="eastAsia" w:ascii="仿宋" w:hAnsi="仿宋" w:eastAsia="仿宋" w:cs="仿宋"/>
                <w:color w:val="auto"/>
                <w:sz w:val="24"/>
                <w:szCs w:val="24"/>
              </w:rPr>
            </w:pPr>
          </w:p>
        </w:tc>
      </w:tr>
      <w:tr w14:paraId="46A3B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652350DE">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4A8E84DC">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17E41E49">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41CC573F">
            <w:pPr>
              <w:tabs>
                <w:tab w:val="left" w:pos="6300"/>
              </w:tabs>
              <w:snapToGrid w:val="0"/>
              <w:spacing w:line="360" w:lineRule="auto"/>
              <w:jc w:val="center"/>
              <w:outlineLvl w:val="0"/>
              <w:rPr>
                <w:rFonts w:hint="eastAsia" w:ascii="仿宋" w:hAnsi="仿宋" w:eastAsia="仿宋" w:cs="仿宋"/>
                <w:color w:val="auto"/>
                <w:sz w:val="24"/>
                <w:szCs w:val="24"/>
              </w:rPr>
            </w:pPr>
          </w:p>
        </w:tc>
      </w:tr>
      <w:tr w14:paraId="7ACC2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2C49D64B">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701213E9">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28FC5D23">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2BB37C10">
            <w:pPr>
              <w:tabs>
                <w:tab w:val="left" w:pos="6300"/>
              </w:tabs>
              <w:snapToGrid w:val="0"/>
              <w:spacing w:line="360" w:lineRule="auto"/>
              <w:jc w:val="center"/>
              <w:outlineLvl w:val="0"/>
              <w:rPr>
                <w:rFonts w:hint="eastAsia" w:ascii="仿宋" w:hAnsi="仿宋" w:eastAsia="仿宋" w:cs="仿宋"/>
                <w:color w:val="auto"/>
                <w:sz w:val="24"/>
                <w:szCs w:val="24"/>
              </w:rPr>
            </w:pPr>
          </w:p>
        </w:tc>
      </w:tr>
      <w:tr w14:paraId="07798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06576485">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0FC1995B">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740E1E36">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33D7188D">
            <w:pPr>
              <w:tabs>
                <w:tab w:val="left" w:pos="6300"/>
              </w:tabs>
              <w:snapToGrid w:val="0"/>
              <w:spacing w:line="360" w:lineRule="auto"/>
              <w:jc w:val="center"/>
              <w:outlineLvl w:val="0"/>
              <w:rPr>
                <w:rFonts w:hint="eastAsia" w:ascii="仿宋" w:hAnsi="仿宋" w:eastAsia="仿宋" w:cs="仿宋"/>
                <w:color w:val="auto"/>
                <w:sz w:val="24"/>
                <w:szCs w:val="24"/>
              </w:rPr>
            </w:pPr>
          </w:p>
        </w:tc>
      </w:tr>
      <w:tr w14:paraId="464BA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588FA22A">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1DC28729">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26D0087C">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1EC31503">
            <w:pPr>
              <w:tabs>
                <w:tab w:val="left" w:pos="6300"/>
              </w:tabs>
              <w:snapToGrid w:val="0"/>
              <w:spacing w:line="360" w:lineRule="auto"/>
              <w:jc w:val="center"/>
              <w:outlineLvl w:val="0"/>
              <w:rPr>
                <w:rFonts w:hint="eastAsia" w:ascii="仿宋" w:hAnsi="仿宋" w:eastAsia="仿宋" w:cs="仿宋"/>
                <w:color w:val="auto"/>
                <w:sz w:val="24"/>
                <w:szCs w:val="24"/>
              </w:rPr>
            </w:pPr>
          </w:p>
        </w:tc>
      </w:tr>
      <w:tr w14:paraId="163D5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2DC239CA">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6ED3423C">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46313BBC">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129F03AC">
            <w:pPr>
              <w:tabs>
                <w:tab w:val="left" w:pos="6300"/>
              </w:tabs>
              <w:snapToGrid w:val="0"/>
              <w:spacing w:line="360" w:lineRule="auto"/>
              <w:jc w:val="center"/>
              <w:outlineLvl w:val="0"/>
              <w:rPr>
                <w:rFonts w:hint="eastAsia" w:ascii="仿宋" w:hAnsi="仿宋" w:eastAsia="仿宋" w:cs="仿宋"/>
                <w:color w:val="auto"/>
                <w:sz w:val="24"/>
                <w:szCs w:val="24"/>
              </w:rPr>
            </w:pPr>
          </w:p>
        </w:tc>
      </w:tr>
      <w:tr w14:paraId="65573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3CC3432C">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7F6AEBD0">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3B997748">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48B37B3E">
            <w:pPr>
              <w:tabs>
                <w:tab w:val="left" w:pos="6300"/>
              </w:tabs>
              <w:snapToGrid w:val="0"/>
              <w:spacing w:line="360" w:lineRule="auto"/>
              <w:jc w:val="center"/>
              <w:outlineLvl w:val="0"/>
              <w:rPr>
                <w:rFonts w:hint="eastAsia" w:ascii="仿宋" w:hAnsi="仿宋" w:eastAsia="仿宋" w:cs="仿宋"/>
                <w:color w:val="auto"/>
                <w:sz w:val="24"/>
                <w:szCs w:val="24"/>
              </w:rPr>
            </w:pPr>
          </w:p>
        </w:tc>
      </w:tr>
      <w:tr w14:paraId="1030D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7680B9A2">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71BFC130">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2D9CE0F1">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0F7101C8">
            <w:pPr>
              <w:tabs>
                <w:tab w:val="left" w:pos="6300"/>
              </w:tabs>
              <w:snapToGrid w:val="0"/>
              <w:spacing w:line="360" w:lineRule="auto"/>
              <w:jc w:val="center"/>
              <w:outlineLvl w:val="0"/>
              <w:rPr>
                <w:rFonts w:hint="eastAsia" w:ascii="仿宋" w:hAnsi="仿宋" w:eastAsia="仿宋" w:cs="仿宋"/>
                <w:color w:val="auto"/>
                <w:sz w:val="24"/>
                <w:szCs w:val="24"/>
              </w:rPr>
            </w:pPr>
          </w:p>
        </w:tc>
      </w:tr>
      <w:tr w14:paraId="73054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458E61FB">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0287DC8E">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47094B9C">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542EF8FC">
            <w:pPr>
              <w:tabs>
                <w:tab w:val="left" w:pos="6300"/>
              </w:tabs>
              <w:snapToGrid w:val="0"/>
              <w:spacing w:line="360" w:lineRule="auto"/>
              <w:jc w:val="center"/>
              <w:outlineLvl w:val="0"/>
              <w:rPr>
                <w:rFonts w:hint="eastAsia" w:ascii="仿宋" w:hAnsi="仿宋" w:eastAsia="仿宋" w:cs="仿宋"/>
                <w:color w:val="auto"/>
                <w:sz w:val="24"/>
                <w:szCs w:val="24"/>
              </w:rPr>
            </w:pPr>
          </w:p>
        </w:tc>
      </w:tr>
      <w:tr w14:paraId="047EE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46291C1A">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469EE8A3">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1E2E822C">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2A76166B">
            <w:pPr>
              <w:tabs>
                <w:tab w:val="left" w:pos="6300"/>
              </w:tabs>
              <w:snapToGrid w:val="0"/>
              <w:spacing w:line="360" w:lineRule="auto"/>
              <w:jc w:val="center"/>
              <w:outlineLvl w:val="0"/>
              <w:rPr>
                <w:rFonts w:hint="eastAsia" w:ascii="仿宋" w:hAnsi="仿宋" w:eastAsia="仿宋" w:cs="仿宋"/>
                <w:color w:val="auto"/>
                <w:sz w:val="24"/>
                <w:szCs w:val="24"/>
              </w:rPr>
            </w:pPr>
          </w:p>
        </w:tc>
      </w:tr>
    </w:tbl>
    <w:p w14:paraId="798C56DF">
      <w:pPr>
        <w:spacing w:line="360" w:lineRule="auto"/>
        <w:ind w:firstLine="600" w:firstLineChars="250"/>
        <w:rPr>
          <w:rFonts w:hint="eastAsia" w:ascii="仿宋" w:hAnsi="仿宋" w:eastAsia="仿宋" w:cs="仿宋"/>
          <w:color w:val="auto"/>
          <w:sz w:val="24"/>
          <w:szCs w:val="24"/>
        </w:rPr>
      </w:pPr>
      <w:r>
        <w:rPr>
          <w:rFonts w:hint="eastAsia" w:ascii="仿宋" w:hAnsi="仿宋" w:eastAsia="仿宋" w:cs="仿宋"/>
          <w:color w:val="auto"/>
          <w:sz w:val="24"/>
          <w:szCs w:val="24"/>
        </w:rPr>
        <w:t>供应商：                                      法定代表人授权代表：</w:t>
      </w:r>
    </w:p>
    <w:p w14:paraId="0F1394AE">
      <w:pPr>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14:paraId="52FFF5C0">
      <w:pPr>
        <w:spacing w:line="360" w:lineRule="auto"/>
        <w:ind w:firstLine="720" w:firstLineChars="300"/>
        <w:rPr>
          <w:rFonts w:hint="eastAsia" w:ascii="仿宋" w:hAnsi="仿宋" w:eastAsia="仿宋" w:cs="仿宋"/>
          <w:color w:val="auto"/>
          <w:sz w:val="24"/>
          <w:szCs w:val="24"/>
        </w:rPr>
      </w:pPr>
      <w:r>
        <w:rPr>
          <w:rFonts w:hint="eastAsia" w:ascii="仿宋" w:hAnsi="仿宋" w:eastAsia="仿宋" w:cs="仿宋"/>
          <w:color w:val="auto"/>
          <w:sz w:val="24"/>
          <w:szCs w:val="24"/>
        </w:rPr>
        <w:t>（供应商公章）                               （签字或盖章）</w:t>
      </w:r>
    </w:p>
    <w:p w14:paraId="044679D7">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1EF169F1">
      <w:pPr>
        <w:tabs>
          <w:tab w:val="left" w:pos="6300"/>
        </w:tabs>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注：</w:t>
      </w:r>
      <w:r>
        <w:rPr>
          <w:rFonts w:hint="eastAsia" w:ascii="仿宋" w:hAnsi="仿宋" w:eastAsia="仿宋" w:cs="仿宋"/>
          <w:color w:val="auto"/>
          <w:sz w:val="24"/>
          <w:szCs w:val="24"/>
          <w:lang w:eastAsia="zh-CN"/>
        </w:rPr>
        <w:t>根据所投分包号要求按以下要求进行比较和响应。</w:t>
      </w:r>
    </w:p>
    <w:p w14:paraId="3188CED3">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1.本表即为对本项目“第二篇  项目服务需求”中所列服务要求进行比较和响应；</w:t>
      </w:r>
    </w:p>
    <w:p w14:paraId="03A7C87A">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2.该表必须按照</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要求逐条如实填写，根据响应情况在“差异说明”项填写正偏离或负偏离及原因，完全符合的填写“无差异”；</w:t>
      </w:r>
    </w:p>
    <w:p w14:paraId="508E4ADB">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3.该表可扩展，并逐页签字或盖章；</w:t>
      </w:r>
    </w:p>
    <w:p w14:paraId="0B4CC0B7">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4.可附相关支撑材料。（格式自定）</w:t>
      </w:r>
    </w:p>
    <w:p w14:paraId="1120E6A2">
      <w:pPr>
        <w:spacing w:line="360" w:lineRule="auto"/>
        <w:rPr>
          <w:rFonts w:hint="eastAsia" w:ascii="仿宋" w:hAnsi="仿宋" w:eastAsia="仿宋" w:cs="仿宋"/>
          <w:color w:val="auto"/>
        </w:rPr>
      </w:pPr>
      <w:r>
        <w:rPr>
          <w:rFonts w:hint="eastAsia" w:ascii="仿宋" w:hAnsi="仿宋" w:eastAsia="仿宋" w:cs="仿宋"/>
          <w:b w:val="0"/>
          <w:color w:val="auto"/>
        </w:rPr>
        <w:br w:type="page"/>
      </w:r>
      <w:r>
        <w:rPr>
          <w:rFonts w:hint="eastAsia" w:ascii="仿宋" w:hAnsi="仿宋" w:eastAsia="仿宋" w:cs="仿宋"/>
          <w:b w:val="0"/>
          <w:color w:val="auto"/>
          <w:lang w:eastAsia="zh-CN"/>
        </w:rPr>
        <w:t>（二）</w:t>
      </w:r>
      <w:r>
        <w:rPr>
          <w:rFonts w:hint="eastAsia" w:ascii="仿宋" w:hAnsi="仿宋" w:eastAsia="仿宋" w:cs="仿宋"/>
          <w:color w:val="auto"/>
          <w:lang w:eastAsia="zh-CN"/>
        </w:rPr>
        <w:t>服务方案</w:t>
      </w:r>
      <w:r>
        <w:rPr>
          <w:rFonts w:hint="eastAsia" w:ascii="仿宋" w:hAnsi="仿宋" w:eastAsia="仿宋" w:cs="仿宋"/>
          <w:color w:val="auto"/>
          <w:sz w:val="24"/>
          <w:szCs w:val="24"/>
          <w:highlight w:val="none"/>
          <w:lang w:eastAsia="zh-CN"/>
        </w:rPr>
        <w:t>（格式自定）</w:t>
      </w:r>
    </w:p>
    <w:p w14:paraId="7745AE5A">
      <w:pPr>
        <w:pStyle w:val="5"/>
        <w:spacing w:before="0" w:after="0" w:line="360" w:lineRule="auto"/>
        <w:rPr>
          <w:rFonts w:hint="eastAsia" w:ascii="仿宋" w:hAnsi="仿宋" w:eastAsia="仿宋" w:cs="仿宋"/>
          <w:color w:val="auto"/>
          <w:sz w:val="24"/>
          <w:szCs w:val="24"/>
        </w:rPr>
      </w:pPr>
      <w:r>
        <w:rPr>
          <w:rFonts w:hint="eastAsia" w:ascii="仿宋" w:hAnsi="仿宋" w:eastAsia="仿宋" w:cs="仿宋"/>
          <w:color w:val="auto"/>
          <w:szCs w:val="24"/>
        </w:rPr>
        <w:br w:type="page"/>
      </w:r>
      <w:bookmarkStart w:id="183" w:name="_Toc4112"/>
      <w:bookmarkStart w:id="184" w:name="_Toc313008358"/>
      <w:bookmarkStart w:id="185" w:name="_Toc313888362"/>
      <w:bookmarkStart w:id="186" w:name="_Toc342913421"/>
      <w:r>
        <w:rPr>
          <w:rFonts w:hint="eastAsia" w:ascii="仿宋" w:hAnsi="仿宋" w:eastAsia="仿宋" w:cs="仿宋"/>
          <w:color w:val="auto"/>
          <w:sz w:val="24"/>
          <w:szCs w:val="24"/>
        </w:rPr>
        <w:t>三、商务部分</w:t>
      </w:r>
      <w:bookmarkEnd w:id="183"/>
      <w:bookmarkEnd w:id="184"/>
      <w:bookmarkEnd w:id="185"/>
      <w:bookmarkEnd w:id="186"/>
    </w:p>
    <w:p w14:paraId="7089928A">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一</w:t>
      </w:r>
      <w:r>
        <w:rPr>
          <w:rFonts w:hint="eastAsia" w:ascii="仿宋" w:hAnsi="仿宋" w:eastAsia="仿宋" w:cs="仿宋"/>
          <w:color w:val="auto"/>
          <w:sz w:val="24"/>
          <w:szCs w:val="24"/>
        </w:rPr>
        <w:t>）项目商务需求偏离表</w:t>
      </w:r>
    </w:p>
    <w:p w14:paraId="4E00124F">
      <w:pPr>
        <w:snapToGrid w:val="0"/>
        <w:spacing w:line="360" w:lineRule="auto"/>
        <w:jc w:val="center"/>
        <w:rPr>
          <w:rFonts w:hint="eastAsia" w:ascii="仿宋" w:hAnsi="仿宋" w:eastAsia="仿宋" w:cs="仿宋"/>
          <w:b/>
          <w:color w:val="auto"/>
          <w:sz w:val="24"/>
          <w:szCs w:val="24"/>
        </w:rPr>
      </w:pPr>
      <w:r>
        <w:rPr>
          <w:rFonts w:hint="eastAsia" w:ascii="仿宋" w:hAnsi="仿宋" w:eastAsia="仿宋" w:cs="仿宋"/>
          <w:b/>
          <w:color w:val="auto"/>
          <w:sz w:val="24"/>
          <w:szCs w:val="24"/>
        </w:rPr>
        <w:t>商务响应偏离表</w:t>
      </w:r>
    </w:p>
    <w:p w14:paraId="5F21EB0A">
      <w:pPr>
        <w:snapToGrid w:val="0"/>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方正仿宋_GBK" w:hAnsi="宋体" w:eastAsia="方正仿宋_GBK"/>
          <w:color w:val="auto"/>
          <w:sz w:val="24"/>
          <w:szCs w:val="24"/>
        </w:rPr>
        <w:t>项目名称：</w:t>
      </w:r>
    </w:p>
    <w:tbl>
      <w:tblPr>
        <w:tblStyle w:val="1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0"/>
        <w:gridCol w:w="3179"/>
        <w:gridCol w:w="2434"/>
        <w:gridCol w:w="2355"/>
      </w:tblGrid>
      <w:tr w14:paraId="5128A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510" w:type="dxa"/>
            <w:noWrap w:val="0"/>
            <w:vAlign w:val="center"/>
          </w:tcPr>
          <w:p w14:paraId="7E89525D">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序号</w:t>
            </w:r>
          </w:p>
        </w:tc>
        <w:tc>
          <w:tcPr>
            <w:tcW w:w="3179" w:type="dxa"/>
            <w:noWrap w:val="0"/>
            <w:vAlign w:val="center"/>
          </w:tcPr>
          <w:p w14:paraId="55810B53">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项目商务需求</w:t>
            </w:r>
          </w:p>
        </w:tc>
        <w:tc>
          <w:tcPr>
            <w:tcW w:w="2434" w:type="dxa"/>
            <w:noWrap w:val="0"/>
            <w:vAlign w:val="center"/>
          </w:tcPr>
          <w:p w14:paraId="40C52D1B">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响应情况</w:t>
            </w:r>
          </w:p>
        </w:tc>
        <w:tc>
          <w:tcPr>
            <w:tcW w:w="2355" w:type="dxa"/>
            <w:noWrap w:val="0"/>
            <w:vAlign w:val="center"/>
          </w:tcPr>
          <w:p w14:paraId="173C6E08">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差异说明</w:t>
            </w:r>
          </w:p>
        </w:tc>
      </w:tr>
      <w:tr w14:paraId="519EC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173F8CF7">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751C225A">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4DEEA67A">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546D10B0">
            <w:pPr>
              <w:tabs>
                <w:tab w:val="left" w:pos="6300"/>
              </w:tabs>
              <w:snapToGrid w:val="0"/>
              <w:spacing w:line="360" w:lineRule="auto"/>
              <w:jc w:val="center"/>
              <w:outlineLvl w:val="0"/>
              <w:rPr>
                <w:rFonts w:hint="eastAsia" w:ascii="仿宋" w:hAnsi="仿宋" w:eastAsia="仿宋" w:cs="仿宋"/>
                <w:color w:val="auto"/>
                <w:sz w:val="24"/>
                <w:szCs w:val="24"/>
              </w:rPr>
            </w:pPr>
          </w:p>
        </w:tc>
      </w:tr>
      <w:tr w14:paraId="35302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78F1D419">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76F2E823">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55F35307">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0CAFCD7A">
            <w:pPr>
              <w:tabs>
                <w:tab w:val="left" w:pos="6300"/>
              </w:tabs>
              <w:snapToGrid w:val="0"/>
              <w:spacing w:line="360" w:lineRule="auto"/>
              <w:jc w:val="center"/>
              <w:outlineLvl w:val="0"/>
              <w:rPr>
                <w:rFonts w:hint="eastAsia" w:ascii="仿宋" w:hAnsi="仿宋" w:eastAsia="仿宋" w:cs="仿宋"/>
                <w:color w:val="auto"/>
                <w:sz w:val="24"/>
                <w:szCs w:val="24"/>
              </w:rPr>
            </w:pPr>
          </w:p>
        </w:tc>
      </w:tr>
      <w:tr w14:paraId="58758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0CC17F16">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6DD0916D">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2F23A225">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7CFE13CE">
            <w:pPr>
              <w:tabs>
                <w:tab w:val="left" w:pos="6300"/>
              </w:tabs>
              <w:snapToGrid w:val="0"/>
              <w:spacing w:line="360" w:lineRule="auto"/>
              <w:jc w:val="center"/>
              <w:outlineLvl w:val="0"/>
              <w:rPr>
                <w:rFonts w:hint="eastAsia" w:ascii="仿宋" w:hAnsi="仿宋" w:eastAsia="仿宋" w:cs="仿宋"/>
                <w:color w:val="auto"/>
                <w:sz w:val="24"/>
                <w:szCs w:val="24"/>
              </w:rPr>
            </w:pPr>
          </w:p>
        </w:tc>
      </w:tr>
      <w:tr w14:paraId="3F24A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6A7C0C5C">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162C4B0B">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4FEE9D2B">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340F93BE">
            <w:pPr>
              <w:tabs>
                <w:tab w:val="left" w:pos="6300"/>
              </w:tabs>
              <w:snapToGrid w:val="0"/>
              <w:spacing w:line="360" w:lineRule="auto"/>
              <w:jc w:val="center"/>
              <w:outlineLvl w:val="0"/>
              <w:rPr>
                <w:rFonts w:hint="eastAsia" w:ascii="仿宋" w:hAnsi="仿宋" w:eastAsia="仿宋" w:cs="仿宋"/>
                <w:color w:val="auto"/>
                <w:sz w:val="24"/>
                <w:szCs w:val="24"/>
              </w:rPr>
            </w:pPr>
          </w:p>
        </w:tc>
      </w:tr>
      <w:tr w14:paraId="0FBB4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55CECD69">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69D006AF">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1B53D8AA">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127F088F">
            <w:pPr>
              <w:tabs>
                <w:tab w:val="left" w:pos="6300"/>
              </w:tabs>
              <w:snapToGrid w:val="0"/>
              <w:spacing w:line="360" w:lineRule="auto"/>
              <w:jc w:val="center"/>
              <w:outlineLvl w:val="0"/>
              <w:rPr>
                <w:rFonts w:hint="eastAsia" w:ascii="仿宋" w:hAnsi="仿宋" w:eastAsia="仿宋" w:cs="仿宋"/>
                <w:color w:val="auto"/>
                <w:sz w:val="24"/>
                <w:szCs w:val="24"/>
              </w:rPr>
            </w:pPr>
          </w:p>
        </w:tc>
      </w:tr>
      <w:tr w14:paraId="49744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0C1134B8">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335E1402">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7FAB073C">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6D6AB34C">
            <w:pPr>
              <w:tabs>
                <w:tab w:val="left" w:pos="6300"/>
              </w:tabs>
              <w:snapToGrid w:val="0"/>
              <w:spacing w:line="360" w:lineRule="auto"/>
              <w:jc w:val="center"/>
              <w:outlineLvl w:val="0"/>
              <w:rPr>
                <w:rFonts w:hint="eastAsia" w:ascii="仿宋" w:hAnsi="仿宋" w:eastAsia="仿宋" w:cs="仿宋"/>
                <w:color w:val="auto"/>
                <w:sz w:val="24"/>
                <w:szCs w:val="24"/>
              </w:rPr>
            </w:pPr>
          </w:p>
        </w:tc>
      </w:tr>
    </w:tbl>
    <w:p w14:paraId="7A9D8489">
      <w:pPr>
        <w:snapToGrid w:val="0"/>
        <w:spacing w:line="360" w:lineRule="auto"/>
        <w:ind w:firstLine="465"/>
        <w:rPr>
          <w:rFonts w:hint="eastAsia" w:ascii="仿宋" w:hAnsi="仿宋" w:eastAsia="仿宋" w:cs="仿宋"/>
          <w:color w:val="auto"/>
          <w:sz w:val="24"/>
          <w:szCs w:val="24"/>
        </w:rPr>
      </w:pPr>
    </w:p>
    <w:p w14:paraId="7ACC2F4A">
      <w:pPr>
        <w:spacing w:line="360" w:lineRule="auto"/>
        <w:ind w:firstLine="600" w:firstLineChars="250"/>
        <w:rPr>
          <w:rFonts w:hint="eastAsia" w:ascii="仿宋" w:hAnsi="仿宋" w:eastAsia="仿宋" w:cs="仿宋"/>
          <w:color w:val="auto"/>
          <w:sz w:val="24"/>
          <w:szCs w:val="24"/>
        </w:rPr>
      </w:pPr>
      <w:r>
        <w:rPr>
          <w:rFonts w:hint="eastAsia" w:ascii="仿宋" w:hAnsi="仿宋" w:eastAsia="仿宋" w:cs="仿宋"/>
          <w:color w:val="auto"/>
          <w:sz w:val="24"/>
          <w:szCs w:val="24"/>
        </w:rPr>
        <w:t>供应商：                                      法定代表人授权代表：</w:t>
      </w:r>
    </w:p>
    <w:p w14:paraId="02601E2D">
      <w:pPr>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14:paraId="48B5D0A7">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（供应商公章）                                 （签字或盖章）</w:t>
      </w:r>
    </w:p>
    <w:p w14:paraId="3D57ED8A">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2934C02E">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注：</w:t>
      </w:r>
    </w:p>
    <w:p w14:paraId="13F83B8C">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1.本表即为对本项目“第三篇 项目商务需求”中所列服务要求进行比较和响应；</w:t>
      </w:r>
    </w:p>
    <w:p w14:paraId="47726D21">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2.该表必须按照</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要求逐条如实填写，根据响应情况在“差异说明”项填写正偏离或负偏离及原因，完全符合的填写“无</w:t>
      </w:r>
      <w:r>
        <w:rPr>
          <w:rFonts w:hint="eastAsia" w:ascii="仿宋" w:hAnsi="仿宋" w:eastAsia="仿宋" w:cs="仿宋"/>
          <w:color w:val="auto"/>
          <w:sz w:val="24"/>
          <w:szCs w:val="24"/>
          <w:lang w:eastAsia="zh-CN"/>
        </w:rPr>
        <w:t>偏离</w:t>
      </w:r>
      <w:r>
        <w:rPr>
          <w:rFonts w:hint="eastAsia" w:ascii="仿宋" w:hAnsi="仿宋" w:eastAsia="仿宋" w:cs="仿宋"/>
          <w:color w:val="auto"/>
          <w:sz w:val="24"/>
          <w:szCs w:val="24"/>
        </w:rPr>
        <w:t>”；</w:t>
      </w:r>
    </w:p>
    <w:p w14:paraId="267B6DAF">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3.该表可扩展，并逐页签字或盖章。</w:t>
      </w:r>
    </w:p>
    <w:p w14:paraId="68588FDE">
      <w:pPr>
        <w:snapToGrid w:val="0"/>
        <w:spacing w:line="360" w:lineRule="auto"/>
        <w:ind w:firstLine="480" w:firstLineChars="200"/>
        <w:rPr>
          <w:rFonts w:hint="eastAsia" w:ascii="仿宋" w:hAnsi="仿宋" w:eastAsia="仿宋" w:cs="仿宋"/>
          <w:color w:val="auto"/>
          <w:sz w:val="24"/>
          <w:szCs w:val="24"/>
        </w:rPr>
      </w:pPr>
    </w:p>
    <w:p w14:paraId="02423111">
      <w:pPr>
        <w:snapToGrid w:val="0"/>
        <w:spacing w:line="360" w:lineRule="auto"/>
        <w:ind w:firstLine="480" w:firstLineChars="200"/>
        <w:rPr>
          <w:rFonts w:hint="eastAsia" w:ascii="仿宋" w:hAnsi="仿宋" w:eastAsia="仿宋" w:cs="仿宋"/>
          <w:color w:val="auto"/>
          <w:sz w:val="24"/>
          <w:szCs w:val="24"/>
        </w:rPr>
      </w:pPr>
    </w:p>
    <w:p w14:paraId="55D9E1CA">
      <w:pPr>
        <w:snapToGrid w:val="0"/>
        <w:spacing w:line="360" w:lineRule="auto"/>
        <w:ind w:firstLine="480" w:firstLineChars="200"/>
        <w:rPr>
          <w:rFonts w:hint="eastAsia" w:ascii="仿宋" w:hAnsi="仿宋" w:eastAsia="仿宋" w:cs="仿宋"/>
          <w:color w:val="auto"/>
          <w:sz w:val="24"/>
          <w:szCs w:val="24"/>
        </w:rPr>
      </w:pPr>
    </w:p>
    <w:p w14:paraId="3AE681A4">
      <w:pPr>
        <w:snapToGrid w:val="0"/>
        <w:spacing w:line="360" w:lineRule="auto"/>
        <w:ind w:firstLine="480" w:firstLineChars="200"/>
        <w:rPr>
          <w:rFonts w:hint="eastAsia" w:ascii="仿宋" w:hAnsi="仿宋" w:eastAsia="仿宋" w:cs="仿宋"/>
          <w:color w:val="auto"/>
          <w:sz w:val="24"/>
          <w:szCs w:val="24"/>
        </w:rPr>
      </w:pPr>
    </w:p>
    <w:p w14:paraId="7D4E3EE9">
      <w:pPr>
        <w:snapToGrid w:val="0"/>
        <w:spacing w:line="360" w:lineRule="auto"/>
        <w:ind w:firstLine="480" w:firstLineChars="200"/>
        <w:rPr>
          <w:rFonts w:hint="eastAsia" w:ascii="仿宋" w:hAnsi="仿宋" w:eastAsia="仿宋" w:cs="仿宋"/>
          <w:color w:val="auto"/>
          <w:sz w:val="24"/>
          <w:szCs w:val="24"/>
        </w:rPr>
      </w:pPr>
    </w:p>
    <w:p w14:paraId="75604C8F">
      <w:pPr>
        <w:snapToGrid w:val="0"/>
        <w:spacing w:line="360" w:lineRule="auto"/>
        <w:ind w:firstLine="480" w:firstLineChars="200"/>
        <w:rPr>
          <w:rFonts w:hint="eastAsia" w:ascii="仿宋" w:hAnsi="仿宋" w:eastAsia="仿宋" w:cs="仿宋"/>
          <w:color w:val="auto"/>
          <w:sz w:val="24"/>
          <w:szCs w:val="24"/>
        </w:rPr>
      </w:pPr>
    </w:p>
    <w:p w14:paraId="10025A07">
      <w:pPr>
        <w:snapToGrid w:val="0"/>
        <w:spacing w:line="360" w:lineRule="auto"/>
        <w:ind w:firstLine="480" w:firstLineChars="200"/>
        <w:rPr>
          <w:rFonts w:hint="eastAsia" w:ascii="仿宋" w:hAnsi="仿宋" w:eastAsia="仿宋" w:cs="仿宋"/>
          <w:b/>
          <w:color w:val="auto"/>
        </w:rPr>
        <w:sectPr>
          <w:headerReference r:id="rId12" w:type="default"/>
          <w:pgSz w:w="11907" w:h="16840"/>
          <w:pgMar w:top="1134" w:right="1191" w:bottom="1134" w:left="1304" w:header="851" w:footer="992" w:gutter="0"/>
          <w:pgNumType w:fmt="numberInDash"/>
          <w:cols w:space="720" w:num="1"/>
          <w:docGrid w:linePitch="380" w:charSpace="-5735"/>
        </w:sect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二</w:t>
      </w:r>
      <w:r>
        <w:rPr>
          <w:rFonts w:hint="eastAsia" w:ascii="仿宋" w:hAnsi="仿宋" w:eastAsia="仿宋" w:cs="仿宋"/>
          <w:color w:val="auto"/>
          <w:sz w:val="24"/>
          <w:szCs w:val="24"/>
        </w:rPr>
        <w:t>）</w:t>
      </w:r>
      <w:r>
        <w:rPr>
          <w:rFonts w:hint="eastAsia" w:ascii="仿宋" w:hAnsi="仿宋" w:eastAsia="仿宋" w:cs="仿宋"/>
          <w:color w:val="auto"/>
          <w:sz w:val="24"/>
          <w:szCs w:val="24"/>
          <w:highlight w:val="none"/>
        </w:rPr>
        <w:t>其它资料（格式自定）</w:t>
      </w:r>
    </w:p>
    <w:p w14:paraId="27991C5F">
      <w:pPr>
        <w:pStyle w:val="5"/>
        <w:spacing w:before="0" w:after="0" w:line="360" w:lineRule="auto"/>
        <w:rPr>
          <w:rFonts w:hint="eastAsia" w:ascii="仿宋" w:hAnsi="仿宋" w:eastAsia="仿宋" w:cs="仿宋"/>
          <w:color w:val="auto"/>
          <w:sz w:val="24"/>
          <w:szCs w:val="24"/>
        </w:rPr>
      </w:pPr>
      <w:bookmarkStart w:id="187" w:name="_Toc342913422"/>
      <w:bookmarkStart w:id="188" w:name="_Toc18530"/>
      <w:bookmarkStart w:id="189" w:name="_Toc313888363"/>
      <w:bookmarkStart w:id="190" w:name="_Toc313008359"/>
      <w:r>
        <w:rPr>
          <w:rFonts w:hint="eastAsia" w:ascii="仿宋" w:hAnsi="仿宋" w:eastAsia="仿宋" w:cs="仿宋"/>
          <w:color w:val="auto"/>
          <w:sz w:val="24"/>
          <w:szCs w:val="24"/>
        </w:rPr>
        <w:t>四、资格条件及其他</w:t>
      </w:r>
      <w:bookmarkEnd w:id="187"/>
      <w:bookmarkEnd w:id="188"/>
      <w:bookmarkEnd w:id="189"/>
      <w:bookmarkEnd w:id="190"/>
    </w:p>
    <w:p w14:paraId="5A59D040">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（一）</w:t>
      </w:r>
      <w:r>
        <w:rPr>
          <w:rFonts w:hint="eastAsia" w:ascii="仿宋" w:hAnsi="仿宋" w:eastAsia="仿宋" w:cs="仿宋"/>
          <w:color w:val="auto"/>
          <w:sz w:val="24"/>
          <w:highlight w:val="none"/>
        </w:rPr>
        <w:t>法人营业执照（副本）或事业单位法人证书（副本）或个体工商户营业执照或有效的自然人身份证明或社会团体法人登记证书复印件</w:t>
      </w:r>
    </w:p>
    <w:p w14:paraId="17075560">
      <w:pPr>
        <w:tabs>
          <w:tab w:val="left" w:pos="6300"/>
        </w:tabs>
        <w:snapToGrid w:val="0"/>
        <w:spacing w:line="360" w:lineRule="auto"/>
        <w:ind w:firstLine="570"/>
        <w:rPr>
          <w:rFonts w:hint="eastAsia" w:ascii="仿宋" w:hAnsi="仿宋" w:eastAsia="仿宋" w:cs="仿宋"/>
          <w:color w:val="auto"/>
        </w:rPr>
      </w:pPr>
    </w:p>
    <w:p w14:paraId="4A2112C7">
      <w:pPr>
        <w:tabs>
          <w:tab w:val="left" w:pos="6300"/>
        </w:tabs>
        <w:snapToGrid w:val="0"/>
        <w:spacing w:line="360" w:lineRule="auto"/>
        <w:ind w:firstLine="570"/>
        <w:rPr>
          <w:rFonts w:hint="eastAsia" w:ascii="仿宋" w:hAnsi="仿宋" w:eastAsia="仿宋" w:cs="仿宋"/>
          <w:color w:val="auto"/>
        </w:rPr>
      </w:pPr>
    </w:p>
    <w:p w14:paraId="14C1E8D1">
      <w:pPr>
        <w:tabs>
          <w:tab w:val="left" w:pos="6300"/>
        </w:tabs>
        <w:snapToGrid w:val="0"/>
        <w:spacing w:line="360" w:lineRule="auto"/>
        <w:ind w:firstLine="570"/>
        <w:rPr>
          <w:rFonts w:hint="eastAsia" w:ascii="仿宋" w:hAnsi="仿宋" w:eastAsia="仿宋" w:cs="仿宋"/>
          <w:color w:val="auto"/>
        </w:rPr>
      </w:pPr>
    </w:p>
    <w:p w14:paraId="45EFCD50">
      <w:pPr>
        <w:widowControl/>
        <w:spacing w:line="360" w:lineRule="auto"/>
        <w:ind w:firstLine="420" w:firstLineChars="200"/>
        <w:jc w:val="left"/>
        <w:rPr>
          <w:rFonts w:hint="eastAsia" w:ascii="仿宋" w:hAnsi="仿宋" w:eastAsia="仿宋" w:cs="仿宋"/>
          <w:color w:val="auto"/>
          <w:sz w:val="24"/>
          <w:szCs w:val="24"/>
        </w:rPr>
      </w:pPr>
      <w:r>
        <w:rPr>
          <w:rFonts w:hint="eastAsia" w:ascii="仿宋" w:hAnsi="仿宋" w:eastAsia="仿宋" w:cs="仿宋"/>
          <w:color w:val="auto"/>
        </w:rPr>
        <w:br w:type="page"/>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二</w:t>
      </w:r>
      <w:r>
        <w:rPr>
          <w:rFonts w:hint="eastAsia" w:ascii="仿宋" w:hAnsi="仿宋" w:eastAsia="仿宋" w:cs="仿宋"/>
          <w:color w:val="auto"/>
          <w:sz w:val="24"/>
          <w:szCs w:val="24"/>
        </w:rPr>
        <w:t>）法定代表人身份证明书（格式）</w:t>
      </w:r>
    </w:p>
    <w:p w14:paraId="43F4E22C">
      <w:pPr>
        <w:tabs>
          <w:tab w:val="left" w:pos="6300"/>
        </w:tabs>
        <w:snapToGrid w:val="0"/>
        <w:spacing w:line="360" w:lineRule="auto"/>
        <w:ind w:firstLine="570"/>
        <w:rPr>
          <w:rFonts w:hint="eastAsia" w:ascii="仿宋" w:hAnsi="仿宋" w:eastAsia="仿宋" w:cs="仿宋"/>
          <w:color w:val="auto"/>
          <w:sz w:val="24"/>
          <w:szCs w:val="24"/>
        </w:rPr>
      </w:pPr>
    </w:p>
    <w:p w14:paraId="57112436">
      <w:pPr>
        <w:tabs>
          <w:tab w:val="left" w:pos="6300"/>
        </w:tabs>
        <w:snapToGrid w:val="0"/>
        <w:spacing w:line="360" w:lineRule="auto"/>
        <w:ind w:firstLine="570"/>
        <w:rPr>
          <w:rFonts w:hint="eastAsia" w:ascii="仿宋" w:hAnsi="仿宋" w:eastAsia="仿宋" w:cs="仿宋"/>
          <w:color w:val="auto"/>
          <w:sz w:val="24"/>
          <w:szCs w:val="24"/>
        </w:rPr>
      </w:pPr>
      <w:r>
        <w:rPr>
          <w:rFonts w:hint="eastAsia" w:ascii="方正仿宋_GBK" w:hAnsi="宋体" w:eastAsia="方正仿宋_GBK"/>
          <w:color w:val="auto"/>
          <w:sz w:val="24"/>
          <w:szCs w:val="24"/>
          <w:lang w:eastAsia="zh-CN"/>
        </w:rPr>
        <w:t>项目名称</w:t>
      </w:r>
      <w:r>
        <w:rPr>
          <w:rFonts w:hint="eastAsia" w:ascii="方正仿宋_GBK" w:hAnsi="宋体" w:eastAsia="方正仿宋_GBK"/>
          <w:color w:val="auto"/>
          <w:sz w:val="24"/>
          <w:szCs w:val="24"/>
        </w:rPr>
        <w:t>：</w:t>
      </w:r>
      <w:r>
        <w:rPr>
          <w:rFonts w:hint="eastAsia" w:ascii="仿宋" w:hAnsi="仿宋" w:eastAsia="仿宋" w:cs="仿宋"/>
          <w:color w:val="auto"/>
          <w:sz w:val="24"/>
          <w:szCs w:val="24"/>
          <w:u w:val="single"/>
        </w:rPr>
        <w:t xml:space="preserve">                                                </w:t>
      </w:r>
    </w:p>
    <w:p w14:paraId="5BF8B264">
      <w:pPr>
        <w:tabs>
          <w:tab w:val="left" w:pos="6300"/>
        </w:tabs>
        <w:snapToGrid w:val="0"/>
        <w:spacing w:line="360" w:lineRule="auto"/>
        <w:ind w:firstLine="570"/>
        <w:rPr>
          <w:rFonts w:hint="eastAsia" w:ascii="仿宋" w:hAnsi="仿宋" w:eastAsia="仿宋" w:cs="仿宋"/>
          <w:color w:val="auto"/>
          <w:sz w:val="24"/>
          <w:szCs w:val="24"/>
        </w:rPr>
      </w:pPr>
    </w:p>
    <w:p w14:paraId="58405624">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（采购人名称）：</w:t>
      </w:r>
    </w:p>
    <w:p w14:paraId="5DCB63FE">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（法定代表人姓名）在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（供应商名称）任</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（职务名称）职务，是（供应商名称）</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的法定代表人。</w:t>
      </w:r>
    </w:p>
    <w:p w14:paraId="6B238A68">
      <w:pPr>
        <w:tabs>
          <w:tab w:val="left" w:pos="6300"/>
        </w:tabs>
        <w:snapToGrid w:val="0"/>
        <w:spacing w:line="360" w:lineRule="auto"/>
        <w:ind w:firstLine="570"/>
        <w:rPr>
          <w:rFonts w:hint="eastAsia" w:ascii="仿宋" w:hAnsi="仿宋" w:eastAsia="仿宋" w:cs="仿宋"/>
          <w:color w:val="auto"/>
          <w:sz w:val="24"/>
          <w:szCs w:val="24"/>
        </w:rPr>
      </w:pPr>
    </w:p>
    <w:p w14:paraId="22A12EAE">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特此证明。</w:t>
      </w:r>
    </w:p>
    <w:p w14:paraId="0F18296D">
      <w:pPr>
        <w:tabs>
          <w:tab w:val="left" w:pos="6300"/>
        </w:tabs>
        <w:snapToGrid w:val="0"/>
        <w:spacing w:line="360" w:lineRule="auto"/>
        <w:ind w:firstLine="570"/>
        <w:rPr>
          <w:rFonts w:hint="eastAsia" w:ascii="仿宋" w:hAnsi="仿宋" w:eastAsia="仿宋" w:cs="仿宋"/>
          <w:color w:val="auto"/>
          <w:sz w:val="24"/>
          <w:szCs w:val="24"/>
        </w:rPr>
      </w:pPr>
    </w:p>
    <w:p w14:paraId="35DB8EE9">
      <w:pPr>
        <w:tabs>
          <w:tab w:val="left" w:pos="6300"/>
        </w:tabs>
        <w:snapToGrid w:val="0"/>
        <w:spacing w:line="360" w:lineRule="auto"/>
        <w:ind w:firstLine="570"/>
        <w:rPr>
          <w:rFonts w:hint="eastAsia" w:ascii="仿宋" w:hAnsi="仿宋" w:eastAsia="仿宋" w:cs="仿宋"/>
          <w:color w:val="auto"/>
          <w:sz w:val="24"/>
          <w:szCs w:val="24"/>
        </w:rPr>
      </w:pPr>
    </w:p>
    <w:p w14:paraId="7FECB2AD">
      <w:pPr>
        <w:tabs>
          <w:tab w:val="left" w:pos="6300"/>
        </w:tabs>
        <w:snapToGrid w:val="0"/>
        <w:spacing w:line="360" w:lineRule="auto"/>
        <w:ind w:firstLine="570"/>
        <w:rPr>
          <w:rFonts w:hint="eastAsia" w:ascii="仿宋" w:hAnsi="仿宋" w:eastAsia="仿宋" w:cs="仿宋"/>
          <w:color w:val="auto"/>
          <w:sz w:val="24"/>
          <w:szCs w:val="24"/>
        </w:rPr>
      </w:pPr>
    </w:p>
    <w:p w14:paraId="4628A749">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（供应商公章）</w:t>
      </w:r>
    </w:p>
    <w:p w14:paraId="2F632E03">
      <w:pPr>
        <w:tabs>
          <w:tab w:val="left" w:pos="6300"/>
        </w:tabs>
        <w:snapToGrid w:val="0"/>
        <w:spacing w:line="360" w:lineRule="auto"/>
        <w:ind w:firstLine="570"/>
        <w:rPr>
          <w:rFonts w:hint="eastAsia" w:ascii="仿宋" w:hAnsi="仿宋" w:eastAsia="仿宋" w:cs="仿宋"/>
          <w:color w:val="auto"/>
          <w:sz w:val="24"/>
          <w:szCs w:val="24"/>
        </w:rPr>
      </w:pPr>
    </w:p>
    <w:p w14:paraId="6A06835A">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43DC04C6">
      <w:pPr>
        <w:tabs>
          <w:tab w:val="left" w:pos="6300"/>
        </w:tabs>
        <w:snapToGrid w:val="0"/>
        <w:spacing w:line="360" w:lineRule="auto"/>
        <w:ind w:firstLine="570"/>
        <w:rPr>
          <w:rFonts w:hint="eastAsia" w:ascii="仿宋" w:hAnsi="仿宋" w:eastAsia="仿宋" w:cs="仿宋"/>
          <w:color w:val="auto"/>
          <w:sz w:val="24"/>
          <w:szCs w:val="24"/>
        </w:rPr>
      </w:pPr>
    </w:p>
    <w:p w14:paraId="719AAA1F">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（附：法定代表人身份证正反面复印件）</w:t>
      </w:r>
    </w:p>
    <w:p w14:paraId="05956B33">
      <w:pPr>
        <w:tabs>
          <w:tab w:val="left" w:pos="6300"/>
        </w:tabs>
        <w:snapToGrid w:val="0"/>
        <w:spacing w:line="360" w:lineRule="auto"/>
        <w:ind w:firstLine="570"/>
        <w:rPr>
          <w:rFonts w:hint="eastAsia" w:ascii="仿宋" w:hAnsi="仿宋" w:eastAsia="仿宋" w:cs="仿宋"/>
          <w:color w:val="auto"/>
          <w:sz w:val="24"/>
        </w:rPr>
      </w:pPr>
    </w:p>
    <w:p w14:paraId="75BC1011">
      <w:pPr>
        <w:tabs>
          <w:tab w:val="left" w:pos="6300"/>
        </w:tabs>
        <w:snapToGrid w:val="0"/>
        <w:spacing w:line="360" w:lineRule="auto"/>
        <w:ind w:firstLine="570"/>
        <w:rPr>
          <w:rFonts w:hint="eastAsia" w:ascii="仿宋" w:hAnsi="仿宋" w:eastAsia="仿宋" w:cs="仿宋"/>
          <w:color w:val="auto"/>
          <w:sz w:val="24"/>
        </w:rPr>
      </w:pPr>
    </w:p>
    <w:p w14:paraId="43D3DA68">
      <w:pPr>
        <w:tabs>
          <w:tab w:val="left" w:pos="6300"/>
        </w:tabs>
        <w:snapToGrid w:val="0"/>
        <w:spacing w:line="360" w:lineRule="auto"/>
        <w:ind w:firstLine="570"/>
        <w:rPr>
          <w:rFonts w:hint="eastAsia" w:ascii="仿宋" w:hAnsi="仿宋" w:eastAsia="仿宋" w:cs="仿宋"/>
          <w:color w:val="auto"/>
          <w:sz w:val="24"/>
        </w:rPr>
      </w:pPr>
    </w:p>
    <w:p w14:paraId="30C1D03F">
      <w:pPr>
        <w:tabs>
          <w:tab w:val="left" w:pos="6300"/>
        </w:tabs>
        <w:snapToGrid w:val="0"/>
        <w:spacing w:line="360" w:lineRule="auto"/>
        <w:ind w:firstLine="570"/>
        <w:rPr>
          <w:rFonts w:hint="eastAsia" w:ascii="仿宋" w:hAnsi="仿宋" w:eastAsia="仿宋" w:cs="仿宋"/>
          <w:color w:val="auto"/>
          <w:sz w:val="24"/>
        </w:rPr>
      </w:pPr>
    </w:p>
    <w:p w14:paraId="2113D66D">
      <w:pPr>
        <w:tabs>
          <w:tab w:val="left" w:pos="6300"/>
        </w:tabs>
        <w:snapToGrid w:val="0"/>
        <w:spacing w:line="360" w:lineRule="auto"/>
        <w:ind w:firstLine="570"/>
        <w:rPr>
          <w:rFonts w:hint="eastAsia" w:ascii="仿宋" w:hAnsi="仿宋" w:eastAsia="仿宋" w:cs="仿宋"/>
          <w:color w:val="auto"/>
          <w:sz w:val="24"/>
        </w:rPr>
      </w:pPr>
    </w:p>
    <w:p w14:paraId="70DFC106">
      <w:pPr>
        <w:tabs>
          <w:tab w:val="left" w:pos="6300"/>
        </w:tabs>
        <w:snapToGrid w:val="0"/>
        <w:spacing w:line="360" w:lineRule="auto"/>
        <w:ind w:firstLine="570"/>
        <w:rPr>
          <w:rFonts w:hint="eastAsia" w:ascii="仿宋" w:hAnsi="仿宋" w:eastAsia="仿宋" w:cs="仿宋"/>
          <w:color w:val="auto"/>
          <w:sz w:val="24"/>
        </w:rPr>
      </w:pPr>
    </w:p>
    <w:p w14:paraId="05E79332">
      <w:pPr>
        <w:tabs>
          <w:tab w:val="left" w:pos="6300"/>
        </w:tabs>
        <w:snapToGrid w:val="0"/>
        <w:spacing w:line="360" w:lineRule="auto"/>
        <w:ind w:firstLine="570"/>
        <w:rPr>
          <w:rFonts w:hint="eastAsia" w:ascii="仿宋" w:hAnsi="仿宋" w:eastAsia="仿宋" w:cs="仿宋"/>
          <w:color w:val="auto"/>
        </w:rPr>
      </w:pPr>
      <w:r>
        <w:rPr>
          <w:rFonts w:hint="eastAsia" w:ascii="仿宋" w:hAnsi="仿宋" w:eastAsia="仿宋" w:cs="仿宋"/>
          <w:color w:val="auto"/>
        </w:rPr>
        <w:br w:type="column"/>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三</w:t>
      </w:r>
      <w:r>
        <w:rPr>
          <w:rFonts w:hint="eastAsia" w:ascii="仿宋" w:hAnsi="仿宋" w:eastAsia="仿宋" w:cs="仿宋"/>
          <w:color w:val="auto"/>
          <w:sz w:val="24"/>
          <w:szCs w:val="24"/>
        </w:rPr>
        <w:t>）法定代表人授权委托书（格式）</w:t>
      </w:r>
    </w:p>
    <w:p w14:paraId="7EE467DC">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 xml:space="preserve">    </w:t>
      </w:r>
    </w:p>
    <w:p w14:paraId="65812078">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方正仿宋_GBK" w:hAnsi="宋体" w:eastAsia="方正仿宋_GBK"/>
          <w:color w:val="auto"/>
          <w:sz w:val="24"/>
          <w:szCs w:val="24"/>
          <w:lang w:eastAsia="zh-CN"/>
        </w:rPr>
        <w:t>项目名称</w:t>
      </w:r>
      <w:r>
        <w:rPr>
          <w:rFonts w:hint="eastAsia" w:ascii="方正仿宋_GBK" w:hAnsi="宋体" w:eastAsia="方正仿宋_GBK"/>
          <w:color w:val="auto"/>
          <w:sz w:val="24"/>
          <w:szCs w:val="24"/>
        </w:rPr>
        <w:t>：</w:t>
      </w:r>
      <w:r>
        <w:rPr>
          <w:rFonts w:hint="eastAsia" w:ascii="仿宋" w:hAnsi="仿宋" w:eastAsia="仿宋" w:cs="仿宋"/>
          <w:color w:val="auto"/>
          <w:sz w:val="24"/>
          <w:u w:val="single"/>
        </w:rPr>
        <w:t xml:space="preserve">                                                </w:t>
      </w:r>
    </w:p>
    <w:p w14:paraId="0EA0FDB3">
      <w:pPr>
        <w:tabs>
          <w:tab w:val="left" w:pos="6300"/>
        </w:tabs>
        <w:snapToGrid w:val="0"/>
        <w:spacing w:line="360" w:lineRule="auto"/>
        <w:ind w:firstLine="570"/>
        <w:rPr>
          <w:rFonts w:hint="eastAsia" w:ascii="仿宋" w:hAnsi="仿宋" w:eastAsia="仿宋" w:cs="仿宋"/>
          <w:color w:val="auto"/>
          <w:sz w:val="24"/>
        </w:rPr>
      </w:pPr>
    </w:p>
    <w:p w14:paraId="46B2056A">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致：</w:t>
      </w:r>
      <w:r>
        <w:rPr>
          <w:rFonts w:hint="eastAsia" w:ascii="仿宋" w:hAnsi="仿宋" w:eastAsia="仿宋" w:cs="仿宋"/>
          <w:color w:val="auto"/>
          <w:sz w:val="24"/>
          <w:u w:val="single"/>
        </w:rPr>
        <w:t xml:space="preserve">                     </w:t>
      </w:r>
      <w:r>
        <w:rPr>
          <w:rFonts w:hint="eastAsia" w:ascii="仿宋" w:hAnsi="仿宋" w:eastAsia="仿宋" w:cs="仿宋"/>
          <w:color w:val="auto"/>
          <w:sz w:val="24"/>
        </w:rPr>
        <w:t>（采购人名称）：</w:t>
      </w:r>
    </w:p>
    <w:p w14:paraId="086B73B9">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u w:val="single"/>
        </w:rPr>
        <w:t xml:space="preserve">            </w:t>
      </w:r>
      <w:r>
        <w:rPr>
          <w:rFonts w:hint="eastAsia" w:ascii="仿宋" w:hAnsi="仿宋" w:eastAsia="仿宋" w:cs="仿宋"/>
          <w:color w:val="auto"/>
          <w:sz w:val="24"/>
        </w:rPr>
        <w:t>（供应商法定代表人名称）是</w:t>
      </w:r>
      <w:r>
        <w:rPr>
          <w:rFonts w:hint="eastAsia" w:ascii="仿宋" w:hAnsi="仿宋" w:eastAsia="仿宋" w:cs="仿宋"/>
          <w:color w:val="auto"/>
          <w:sz w:val="24"/>
          <w:u w:val="single"/>
        </w:rPr>
        <w:t xml:space="preserve">                    </w:t>
      </w:r>
      <w:r>
        <w:rPr>
          <w:rFonts w:hint="eastAsia" w:ascii="仿宋" w:hAnsi="仿宋" w:eastAsia="仿宋" w:cs="仿宋"/>
          <w:color w:val="auto"/>
          <w:sz w:val="24"/>
        </w:rPr>
        <w:t>（供应商名称）的法定代表人，特授权</w:t>
      </w:r>
      <w:r>
        <w:rPr>
          <w:rFonts w:hint="eastAsia" w:ascii="仿宋" w:hAnsi="仿宋" w:eastAsia="仿宋" w:cs="仿宋"/>
          <w:color w:val="auto"/>
          <w:sz w:val="24"/>
          <w:u w:val="single"/>
        </w:rPr>
        <w:t xml:space="preserve">          </w:t>
      </w:r>
      <w:r>
        <w:rPr>
          <w:rFonts w:hint="eastAsia" w:ascii="仿宋" w:hAnsi="仿宋" w:eastAsia="仿宋" w:cs="仿宋"/>
          <w:color w:val="auto"/>
          <w:sz w:val="24"/>
        </w:rPr>
        <w:t>（被授权人姓名及身份证代码）代表我单位全权办理上述项目的</w:t>
      </w:r>
      <w:r>
        <w:rPr>
          <w:rFonts w:hint="eastAsia" w:ascii="仿宋" w:hAnsi="仿宋" w:eastAsia="仿宋" w:cs="仿宋"/>
          <w:color w:val="auto"/>
          <w:sz w:val="24"/>
          <w:lang w:eastAsia="zh-CN"/>
        </w:rPr>
        <w:t>询比</w:t>
      </w:r>
      <w:r>
        <w:rPr>
          <w:rFonts w:hint="eastAsia" w:ascii="仿宋" w:hAnsi="仿宋" w:eastAsia="仿宋" w:cs="仿宋"/>
          <w:color w:val="auto"/>
          <w:sz w:val="24"/>
        </w:rPr>
        <w:t>、签约等具体工作，并签署全部有关文件、协议及合同。</w:t>
      </w:r>
    </w:p>
    <w:p w14:paraId="028F6829">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我单位对被授权人的签字负全部责任。</w:t>
      </w:r>
    </w:p>
    <w:p w14:paraId="38102E3C">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在撤消授权的书面通知以前，本授权书一直有效。被授权人在授权书有效期内签署的所有文件不因授权的撤消而失效。</w:t>
      </w:r>
    </w:p>
    <w:p w14:paraId="4237F5CC">
      <w:pPr>
        <w:tabs>
          <w:tab w:val="left" w:pos="6300"/>
        </w:tabs>
        <w:snapToGrid w:val="0"/>
        <w:spacing w:line="360" w:lineRule="auto"/>
        <w:ind w:firstLine="570"/>
        <w:rPr>
          <w:rFonts w:hint="eastAsia" w:ascii="仿宋" w:hAnsi="仿宋" w:eastAsia="仿宋" w:cs="仿宋"/>
          <w:color w:val="auto"/>
          <w:sz w:val="24"/>
        </w:rPr>
      </w:pPr>
    </w:p>
    <w:p w14:paraId="53FCBF94">
      <w:pPr>
        <w:tabs>
          <w:tab w:val="left" w:pos="6300"/>
        </w:tabs>
        <w:snapToGrid w:val="0"/>
        <w:spacing w:line="360" w:lineRule="auto"/>
        <w:ind w:firstLine="570"/>
        <w:rPr>
          <w:rFonts w:hint="eastAsia" w:ascii="仿宋" w:hAnsi="仿宋" w:eastAsia="仿宋" w:cs="仿宋"/>
          <w:color w:val="auto"/>
          <w:sz w:val="24"/>
        </w:rPr>
      </w:pPr>
    </w:p>
    <w:p w14:paraId="30C1DCB3">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被授权人：                                 供应商法定代表人：</w:t>
      </w:r>
    </w:p>
    <w:p w14:paraId="79B49BCB">
      <w:pPr>
        <w:tabs>
          <w:tab w:val="left" w:pos="6300"/>
        </w:tabs>
        <w:snapToGrid w:val="0"/>
        <w:spacing w:line="360" w:lineRule="auto"/>
        <w:ind w:firstLine="570"/>
        <w:rPr>
          <w:rFonts w:hint="eastAsia" w:ascii="仿宋" w:hAnsi="仿宋" w:eastAsia="仿宋" w:cs="仿宋"/>
          <w:color w:val="auto"/>
          <w:sz w:val="24"/>
          <w:szCs w:val="28"/>
        </w:rPr>
      </w:pPr>
      <w:r>
        <w:rPr>
          <w:rFonts w:hint="eastAsia" w:ascii="仿宋" w:hAnsi="仿宋" w:eastAsia="仿宋" w:cs="仿宋"/>
          <w:color w:val="auto"/>
          <w:sz w:val="24"/>
          <w:szCs w:val="28"/>
        </w:rPr>
        <w:t>（签字或盖章）                                （签字或盖章）</w:t>
      </w:r>
    </w:p>
    <w:p w14:paraId="256AA1CF">
      <w:pPr>
        <w:tabs>
          <w:tab w:val="left" w:pos="6300"/>
        </w:tabs>
        <w:snapToGrid w:val="0"/>
        <w:spacing w:line="360" w:lineRule="auto"/>
        <w:ind w:firstLine="570"/>
        <w:rPr>
          <w:rFonts w:hint="eastAsia" w:ascii="仿宋" w:hAnsi="仿宋" w:eastAsia="仿宋" w:cs="仿宋"/>
          <w:color w:val="auto"/>
          <w:sz w:val="24"/>
          <w:szCs w:val="28"/>
        </w:rPr>
      </w:pPr>
    </w:p>
    <w:p w14:paraId="4B7FEBAB">
      <w:pPr>
        <w:tabs>
          <w:tab w:val="left" w:pos="6300"/>
        </w:tabs>
        <w:snapToGrid w:val="0"/>
        <w:spacing w:line="360" w:lineRule="auto"/>
        <w:ind w:firstLine="570"/>
        <w:rPr>
          <w:rFonts w:hint="eastAsia" w:ascii="仿宋" w:hAnsi="仿宋" w:eastAsia="仿宋" w:cs="仿宋"/>
          <w:color w:val="auto"/>
          <w:sz w:val="24"/>
        </w:rPr>
      </w:pPr>
    </w:p>
    <w:p w14:paraId="717F98E9">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（附：被授权人身份证正反面复印件）</w:t>
      </w:r>
    </w:p>
    <w:p w14:paraId="609736D5">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 xml:space="preserve">                                          </w:t>
      </w:r>
    </w:p>
    <w:p w14:paraId="60BAAE48">
      <w:pPr>
        <w:tabs>
          <w:tab w:val="left" w:pos="6300"/>
        </w:tabs>
        <w:snapToGrid w:val="0"/>
        <w:spacing w:line="360" w:lineRule="auto"/>
        <w:ind w:firstLine="570"/>
        <w:rPr>
          <w:rFonts w:hint="eastAsia" w:ascii="仿宋" w:hAnsi="仿宋" w:eastAsia="仿宋" w:cs="仿宋"/>
          <w:color w:val="auto"/>
          <w:sz w:val="24"/>
        </w:rPr>
      </w:pPr>
    </w:p>
    <w:p w14:paraId="04997981">
      <w:pPr>
        <w:tabs>
          <w:tab w:val="left" w:pos="6300"/>
        </w:tabs>
        <w:snapToGrid w:val="0"/>
        <w:spacing w:line="360" w:lineRule="auto"/>
        <w:ind w:firstLine="570"/>
        <w:rPr>
          <w:rFonts w:hint="eastAsia" w:ascii="仿宋" w:hAnsi="仿宋" w:eastAsia="仿宋" w:cs="仿宋"/>
          <w:color w:val="auto"/>
          <w:sz w:val="24"/>
        </w:rPr>
      </w:pPr>
    </w:p>
    <w:p w14:paraId="1189D2E9">
      <w:pPr>
        <w:tabs>
          <w:tab w:val="left" w:pos="6300"/>
        </w:tabs>
        <w:snapToGrid w:val="0"/>
        <w:spacing w:line="360" w:lineRule="auto"/>
        <w:ind w:right="480" w:firstLine="570"/>
        <w:jc w:val="right"/>
        <w:rPr>
          <w:rFonts w:hint="eastAsia" w:ascii="仿宋" w:hAnsi="仿宋" w:eastAsia="仿宋" w:cs="仿宋"/>
          <w:color w:val="auto"/>
          <w:sz w:val="24"/>
        </w:rPr>
      </w:pPr>
      <w:r>
        <w:rPr>
          <w:rFonts w:hint="eastAsia" w:ascii="仿宋" w:hAnsi="仿宋" w:eastAsia="仿宋" w:cs="仿宋"/>
          <w:color w:val="auto"/>
          <w:sz w:val="24"/>
        </w:rPr>
        <w:t>（供应商公章）</w:t>
      </w:r>
    </w:p>
    <w:p w14:paraId="67CC2B51">
      <w:pPr>
        <w:tabs>
          <w:tab w:val="left" w:pos="6300"/>
        </w:tabs>
        <w:snapToGrid w:val="0"/>
        <w:spacing w:line="360" w:lineRule="auto"/>
        <w:ind w:right="480" w:firstLine="570"/>
        <w:jc w:val="right"/>
        <w:rPr>
          <w:rFonts w:hint="eastAsia" w:ascii="仿宋" w:hAnsi="仿宋" w:eastAsia="仿宋" w:cs="仿宋"/>
          <w:color w:val="auto"/>
          <w:sz w:val="24"/>
        </w:rPr>
      </w:pPr>
      <w:r>
        <w:rPr>
          <w:rFonts w:hint="eastAsia" w:ascii="仿宋" w:hAnsi="仿宋" w:eastAsia="仿宋" w:cs="仿宋"/>
          <w:color w:val="auto"/>
          <w:sz w:val="24"/>
        </w:rPr>
        <w:t>年   月   日</w:t>
      </w:r>
    </w:p>
    <w:p w14:paraId="563FF89C">
      <w:pPr>
        <w:tabs>
          <w:tab w:val="left" w:pos="6300"/>
        </w:tabs>
        <w:snapToGrid w:val="0"/>
        <w:spacing w:line="360" w:lineRule="auto"/>
        <w:ind w:firstLine="570"/>
        <w:rPr>
          <w:rFonts w:hint="eastAsia" w:ascii="仿宋" w:hAnsi="仿宋" w:eastAsia="仿宋" w:cs="仿宋"/>
          <w:color w:val="auto"/>
        </w:rPr>
      </w:pPr>
      <w:r>
        <w:rPr>
          <w:rFonts w:hint="eastAsia" w:ascii="仿宋" w:hAnsi="仿宋" w:eastAsia="仿宋" w:cs="仿宋"/>
          <w:color w:val="auto"/>
        </w:rPr>
        <w:br w:type="column"/>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四</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基本资格条件承诺函</w:t>
      </w:r>
      <w:r>
        <w:rPr>
          <w:rFonts w:hint="eastAsia" w:ascii="仿宋" w:hAnsi="仿宋" w:eastAsia="仿宋" w:cs="仿宋"/>
          <w:color w:val="auto"/>
          <w:sz w:val="24"/>
          <w:szCs w:val="24"/>
        </w:rPr>
        <w:t>（格式）</w:t>
      </w:r>
    </w:p>
    <w:p w14:paraId="21625795">
      <w:pPr>
        <w:tabs>
          <w:tab w:val="left" w:pos="6300"/>
        </w:tabs>
        <w:snapToGrid w:val="0"/>
        <w:spacing w:line="360" w:lineRule="auto"/>
        <w:rPr>
          <w:rFonts w:hint="eastAsia" w:ascii="仿宋" w:hAnsi="仿宋" w:eastAsia="仿宋" w:cs="仿宋"/>
          <w:color w:val="auto"/>
        </w:rPr>
      </w:pPr>
    </w:p>
    <w:p w14:paraId="6287B952">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 xml:space="preserve">致 </w:t>
      </w:r>
      <w:r>
        <w:rPr>
          <w:rFonts w:hint="eastAsia" w:ascii="仿宋" w:hAnsi="仿宋" w:eastAsia="仿宋" w:cs="仿宋"/>
          <w:color w:val="auto"/>
          <w:sz w:val="24"/>
          <w:u w:val="single"/>
          <w:lang w:eastAsia="zh-CN"/>
        </w:rPr>
        <w:t>重庆大足石刻国际文化旅游集团有限公司</w:t>
      </w:r>
      <w:r>
        <w:rPr>
          <w:rFonts w:hint="eastAsia" w:ascii="仿宋" w:hAnsi="仿宋" w:eastAsia="仿宋" w:cs="仿宋"/>
          <w:color w:val="auto"/>
          <w:sz w:val="24"/>
        </w:rPr>
        <w:t>：</w:t>
      </w:r>
    </w:p>
    <w:p w14:paraId="53947E0D">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u w:val="single"/>
        </w:rPr>
        <w:t xml:space="preserve">                  （供应商名称）</w:t>
      </w:r>
      <w:r>
        <w:rPr>
          <w:rFonts w:hint="eastAsia" w:ascii="仿宋" w:hAnsi="仿宋" w:eastAsia="仿宋" w:cs="仿宋"/>
          <w:color w:val="auto"/>
          <w:sz w:val="24"/>
        </w:rPr>
        <w:t>郑重承诺：</w:t>
      </w:r>
    </w:p>
    <w:p w14:paraId="395F192F">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1.我方具有良好的商业信誉和健全的财务会计制度，具有履行合同所必需的设备和专业技术能力，具</w:t>
      </w:r>
      <w:r>
        <w:rPr>
          <w:rFonts w:hint="eastAsia" w:ascii="仿宋" w:hAnsi="仿宋" w:eastAsia="仿宋" w:cs="仿宋"/>
          <w:color w:val="auto"/>
          <w:sz w:val="24"/>
          <w:lang w:val="zh-CN"/>
        </w:rPr>
        <w:t>有依法缴纳税收和社会保障金的良好记录</w:t>
      </w:r>
      <w:r>
        <w:rPr>
          <w:rFonts w:hint="eastAsia" w:ascii="仿宋" w:hAnsi="仿宋" w:eastAsia="仿宋" w:cs="仿宋"/>
          <w:color w:val="auto"/>
          <w:sz w:val="24"/>
        </w:rPr>
        <w:t>，参加本项目采购活动前三年内无重大违法活动记录。</w:t>
      </w:r>
    </w:p>
    <w:p w14:paraId="5860C6D6">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2.我方未列入在信用中国网站（www.creditchina.gov.cn）“失信被执行人”、“重大税收违法案件当事人名单”中，也未列入中国政府采购网（www.ccgp.gov.cn）“政府采购严重违法失信行为记录名单”中。</w:t>
      </w:r>
    </w:p>
    <w:p w14:paraId="2F6F3958">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3.我方在采购项目评审（评标）环节结束后，随时接受采购人、采购代理机构的检查验证，配合提供相关证明材料，证明符合《中华人民共和国政府采购法》规定的供应商基本资格条件。</w:t>
      </w:r>
    </w:p>
    <w:p w14:paraId="2CB88C57">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我方对以上承诺负全部法律责任。</w:t>
      </w:r>
    </w:p>
    <w:p w14:paraId="6B43B515">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特此承诺。</w:t>
      </w:r>
    </w:p>
    <w:p w14:paraId="5686C887">
      <w:pPr>
        <w:tabs>
          <w:tab w:val="left" w:pos="6300"/>
        </w:tabs>
        <w:snapToGrid w:val="0"/>
        <w:spacing w:line="360" w:lineRule="auto"/>
        <w:ind w:firstLine="480" w:firstLineChars="200"/>
        <w:rPr>
          <w:rFonts w:hint="eastAsia" w:ascii="仿宋" w:hAnsi="仿宋" w:eastAsia="仿宋" w:cs="仿宋"/>
          <w:color w:val="auto"/>
          <w:sz w:val="24"/>
        </w:rPr>
      </w:pPr>
    </w:p>
    <w:p w14:paraId="61344D88">
      <w:pPr>
        <w:tabs>
          <w:tab w:val="left" w:pos="6300"/>
        </w:tabs>
        <w:snapToGrid w:val="0"/>
        <w:spacing w:line="360" w:lineRule="auto"/>
        <w:ind w:firstLine="480" w:firstLineChars="200"/>
        <w:jc w:val="right"/>
        <w:rPr>
          <w:rFonts w:hint="eastAsia" w:ascii="仿宋" w:hAnsi="仿宋" w:eastAsia="仿宋" w:cs="仿宋"/>
          <w:color w:val="auto"/>
          <w:sz w:val="24"/>
        </w:rPr>
      </w:pPr>
      <w:r>
        <w:rPr>
          <w:rFonts w:hint="eastAsia" w:ascii="仿宋" w:hAnsi="仿宋" w:eastAsia="仿宋" w:cs="仿宋"/>
          <w:color w:val="auto"/>
          <w:sz w:val="24"/>
        </w:rPr>
        <w:t>（供应商公章）</w:t>
      </w:r>
    </w:p>
    <w:p w14:paraId="42B26A22">
      <w:pPr>
        <w:tabs>
          <w:tab w:val="left" w:pos="6300"/>
        </w:tabs>
        <w:snapToGrid w:val="0"/>
        <w:spacing w:line="360" w:lineRule="auto"/>
        <w:ind w:firstLine="480" w:firstLineChars="200"/>
        <w:jc w:val="right"/>
        <w:rPr>
          <w:rFonts w:hint="eastAsia" w:ascii="仿宋" w:hAnsi="仿宋" w:eastAsia="仿宋" w:cs="仿宋"/>
          <w:color w:val="auto"/>
          <w:sz w:val="24"/>
        </w:rPr>
      </w:pPr>
      <w:r>
        <w:rPr>
          <w:rFonts w:hint="eastAsia" w:ascii="仿宋" w:hAnsi="仿宋" w:eastAsia="仿宋" w:cs="仿宋"/>
          <w:color w:val="auto"/>
          <w:sz w:val="24"/>
        </w:rPr>
        <w:t>年   月   日</w:t>
      </w:r>
    </w:p>
    <w:p w14:paraId="0FA99FEA">
      <w:pPr>
        <w:tabs>
          <w:tab w:val="left" w:pos="6300"/>
        </w:tabs>
        <w:snapToGrid w:val="0"/>
        <w:spacing w:line="360" w:lineRule="auto"/>
        <w:ind w:firstLine="570"/>
        <w:rPr>
          <w:rFonts w:hint="eastAsia" w:ascii="仿宋" w:hAnsi="仿宋" w:eastAsia="仿宋" w:cs="仿宋"/>
          <w:color w:val="auto"/>
          <w:sz w:val="24"/>
          <w:szCs w:val="24"/>
        </w:rPr>
      </w:pPr>
    </w:p>
    <w:p w14:paraId="06FB06EF">
      <w:pPr>
        <w:tabs>
          <w:tab w:val="left" w:pos="6300"/>
        </w:tabs>
        <w:snapToGrid w:val="0"/>
        <w:spacing w:line="360" w:lineRule="auto"/>
        <w:ind w:right="480"/>
        <w:jc w:val="both"/>
        <w:rPr>
          <w:rFonts w:hint="eastAsia" w:ascii="仿宋" w:hAnsi="仿宋" w:eastAsia="仿宋" w:cs="仿宋"/>
          <w:color w:val="auto"/>
          <w:sz w:val="24"/>
          <w:szCs w:val="24"/>
        </w:rPr>
      </w:pPr>
      <w:r>
        <w:rPr>
          <w:rFonts w:hint="eastAsia" w:ascii="仿宋" w:hAnsi="仿宋" w:eastAsia="仿宋" w:cs="仿宋"/>
          <w:color w:val="auto"/>
        </w:rPr>
        <w:br w:type="page"/>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五</w:t>
      </w:r>
      <w:r>
        <w:rPr>
          <w:rFonts w:hint="eastAsia" w:ascii="仿宋" w:hAnsi="仿宋" w:eastAsia="仿宋" w:cs="仿宋"/>
          <w:color w:val="auto"/>
          <w:sz w:val="24"/>
          <w:szCs w:val="24"/>
          <w:lang w:eastAsia="zh-CN"/>
        </w:rPr>
        <w:t>）特定资格条件证书或证明文件</w:t>
      </w:r>
    </w:p>
    <w:p w14:paraId="0A281CC1">
      <w:pPr>
        <w:pStyle w:val="5"/>
        <w:spacing w:before="0" w:after="0" w:line="360" w:lineRule="auto"/>
        <w:rPr>
          <w:rFonts w:hint="eastAsia" w:ascii="仿宋" w:hAnsi="仿宋" w:eastAsia="仿宋" w:cs="仿宋"/>
          <w:color w:val="auto"/>
          <w:sz w:val="24"/>
          <w:szCs w:val="24"/>
        </w:rPr>
      </w:pPr>
      <w:bookmarkStart w:id="191" w:name="_Toc14422"/>
      <w:r>
        <w:rPr>
          <w:rFonts w:hint="eastAsia" w:ascii="仿宋" w:hAnsi="仿宋" w:eastAsia="仿宋" w:cs="仿宋"/>
          <w:b w:val="0"/>
          <w:color w:val="auto"/>
          <w:sz w:val="28"/>
        </w:rPr>
        <w:br w:type="page"/>
      </w:r>
      <w:bookmarkStart w:id="192" w:name="_Toc5793"/>
      <w:r>
        <w:rPr>
          <w:rFonts w:hint="eastAsia" w:ascii="仿宋" w:hAnsi="仿宋" w:eastAsia="仿宋" w:cs="仿宋"/>
          <w:color w:val="auto"/>
          <w:sz w:val="24"/>
          <w:szCs w:val="24"/>
        </w:rPr>
        <w:t>五、其他资料</w:t>
      </w:r>
      <w:bookmarkEnd w:id="191"/>
      <w:bookmarkEnd w:id="192"/>
    </w:p>
    <w:p w14:paraId="37B0DC94">
      <w:pPr>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一</w:t>
      </w:r>
      <w:r>
        <w:rPr>
          <w:rFonts w:hint="eastAsia" w:ascii="仿宋" w:hAnsi="仿宋" w:eastAsia="仿宋" w:cs="仿宋"/>
          <w:color w:val="auto"/>
          <w:sz w:val="24"/>
          <w:szCs w:val="24"/>
        </w:rPr>
        <w:t>）其他与项目有关的资料</w:t>
      </w:r>
    </w:p>
    <w:p w14:paraId="5F2B7262">
      <w:pPr>
        <w:spacing w:line="360" w:lineRule="auto"/>
        <w:ind w:firstLine="480" w:firstLineChars="200"/>
        <w:rPr>
          <w:rFonts w:hint="eastAsia" w:ascii="仿宋" w:hAnsi="仿宋" w:eastAsia="仿宋" w:cs="仿宋"/>
          <w:color w:val="auto"/>
          <w:sz w:val="24"/>
          <w:szCs w:val="24"/>
        </w:rPr>
      </w:pPr>
    </w:p>
    <w:p w14:paraId="5F8D240A">
      <w:pPr>
        <w:spacing w:line="360" w:lineRule="auto"/>
        <w:ind w:firstLine="480" w:firstLineChars="200"/>
        <w:jc w:val="center"/>
        <w:rPr>
          <w:rFonts w:hint="eastAsia" w:ascii="仿宋" w:hAnsi="仿宋" w:eastAsia="仿宋" w:cs="仿宋"/>
          <w:color w:val="auto"/>
          <w:sz w:val="24"/>
          <w:szCs w:val="24"/>
        </w:rPr>
      </w:pPr>
    </w:p>
    <w:p w14:paraId="2D399E06">
      <w:pPr>
        <w:spacing w:line="360" w:lineRule="auto"/>
        <w:ind w:firstLine="480" w:firstLineChars="200"/>
        <w:jc w:val="center"/>
        <w:rPr>
          <w:rFonts w:hint="eastAsia" w:ascii="仿宋" w:hAnsi="仿宋" w:eastAsia="仿宋" w:cs="仿宋"/>
          <w:color w:val="auto"/>
          <w:sz w:val="24"/>
          <w:szCs w:val="24"/>
        </w:rPr>
      </w:pPr>
    </w:p>
    <w:p w14:paraId="0BE19CDF">
      <w:pPr>
        <w:spacing w:line="360" w:lineRule="auto"/>
        <w:ind w:firstLine="480" w:firstLineChars="200"/>
        <w:jc w:val="center"/>
        <w:rPr>
          <w:rFonts w:hint="eastAsia" w:ascii="仿宋" w:hAnsi="仿宋" w:eastAsia="仿宋" w:cs="仿宋"/>
          <w:color w:val="auto"/>
          <w:sz w:val="24"/>
          <w:szCs w:val="24"/>
        </w:rPr>
      </w:pPr>
    </w:p>
    <w:p w14:paraId="72383F8D">
      <w:pPr>
        <w:spacing w:line="360" w:lineRule="auto"/>
        <w:ind w:firstLine="480" w:firstLineChars="200"/>
        <w:jc w:val="center"/>
        <w:rPr>
          <w:rFonts w:hint="eastAsia" w:ascii="仿宋" w:hAnsi="仿宋" w:eastAsia="仿宋" w:cs="仿宋"/>
          <w:color w:val="auto"/>
          <w:sz w:val="24"/>
          <w:szCs w:val="24"/>
        </w:rPr>
      </w:pPr>
    </w:p>
    <w:p w14:paraId="673BB02C">
      <w:pPr>
        <w:spacing w:line="360" w:lineRule="auto"/>
        <w:ind w:firstLine="480" w:firstLineChars="200"/>
        <w:jc w:val="center"/>
        <w:rPr>
          <w:rFonts w:hint="eastAsia" w:ascii="仿宋" w:hAnsi="仿宋" w:eastAsia="仿宋" w:cs="仿宋"/>
          <w:color w:val="auto"/>
          <w:sz w:val="24"/>
          <w:szCs w:val="24"/>
        </w:rPr>
      </w:pPr>
    </w:p>
    <w:p w14:paraId="674B58DB">
      <w:pPr>
        <w:spacing w:line="360" w:lineRule="auto"/>
        <w:ind w:firstLine="480" w:firstLineChars="200"/>
        <w:jc w:val="center"/>
        <w:rPr>
          <w:rFonts w:hint="eastAsia" w:ascii="仿宋" w:hAnsi="仿宋" w:eastAsia="仿宋" w:cs="仿宋"/>
          <w:color w:val="auto"/>
          <w:sz w:val="24"/>
          <w:szCs w:val="24"/>
        </w:rPr>
      </w:pPr>
    </w:p>
    <w:p w14:paraId="21FA439A">
      <w:pPr>
        <w:spacing w:line="360" w:lineRule="auto"/>
        <w:ind w:firstLine="480" w:firstLineChars="200"/>
        <w:jc w:val="center"/>
        <w:rPr>
          <w:rFonts w:hint="eastAsia" w:ascii="仿宋" w:hAnsi="仿宋" w:eastAsia="仿宋" w:cs="仿宋"/>
          <w:color w:val="auto"/>
          <w:sz w:val="24"/>
          <w:szCs w:val="24"/>
        </w:rPr>
      </w:pPr>
    </w:p>
    <w:p w14:paraId="0B90AD07">
      <w:pPr>
        <w:spacing w:line="360" w:lineRule="auto"/>
        <w:ind w:firstLine="480" w:firstLineChars="200"/>
        <w:jc w:val="center"/>
        <w:rPr>
          <w:rFonts w:hint="eastAsia" w:ascii="仿宋" w:hAnsi="仿宋" w:eastAsia="仿宋" w:cs="仿宋"/>
          <w:color w:val="auto"/>
          <w:sz w:val="24"/>
          <w:szCs w:val="24"/>
        </w:rPr>
      </w:pPr>
    </w:p>
    <w:p w14:paraId="3A46792F">
      <w:pPr>
        <w:spacing w:line="360" w:lineRule="auto"/>
        <w:ind w:firstLine="480" w:firstLineChars="200"/>
        <w:jc w:val="center"/>
        <w:rPr>
          <w:rFonts w:hint="eastAsia" w:ascii="仿宋" w:hAnsi="仿宋" w:eastAsia="仿宋" w:cs="仿宋"/>
          <w:color w:val="auto"/>
          <w:sz w:val="24"/>
          <w:szCs w:val="24"/>
        </w:rPr>
      </w:pPr>
    </w:p>
    <w:p w14:paraId="2E8CDECB">
      <w:pPr>
        <w:spacing w:line="360" w:lineRule="auto"/>
        <w:ind w:firstLine="480" w:firstLineChars="200"/>
        <w:jc w:val="center"/>
        <w:rPr>
          <w:rFonts w:hint="eastAsia" w:ascii="仿宋" w:hAnsi="仿宋" w:eastAsia="仿宋" w:cs="仿宋"/>
          <w:color w:val="auto"/>
          <w:sz w:val="24"/>
          <w:szCs w:val="24"/>
        </w:rPr>
      </w:pPr>
    </w:p>
    <w:p w14:paraId="4287D7E5">
      <w:pPr>
        <w:spacing w:line="360" w:lineRule="auto"/>
        <w:ind w:firstLine="480" w:firstLineChars="200"/>
        <w:jc w:val="center"/>
        <w:rPr>
          <w:rFonts w:hint="eastAsia" w:ascii="仿宋" w:hAnsi="仿宋" w:eastAsia="仿宋" w:cs="仿宋"/>
          <w:color w:val="auto"/>
          <w:sz w:val="24"/>
          <w:szCs w:val="24"/>
        </w:rPr>
      </w:pPr>
    </w:p>
    <w:p w14:paraId="24542C00">
      <w:pPr>
        <w:spacing w:line="360" w:lineRule="auto"/>
        <w:ind w:firstLine="480" w:firstLineChars="200"/>
        <w:jc w:val="center"/>
        <w:rPr>
          <w:rFonts w:hint="eastAsia" w:ascii="仿宋" w:hAnsi="仿宋" w:eastAsia="仿宋" w:cs="仿宋"/>
          <w:color w:val="auto"/>
          <w:sz w:val="24"/>
          <w:szCs w:val="24"/>
        </w:rPr>
      </w:pPr>
    </w:p>
    <w:p w14:paraId="4F4A689E">
      <w:pPr>
        <w:spacing w:line="360" w:lineRule="auto"/>
        <w:ind w:firstLine="480" w:firstLineChars="200"/>
        <w:jc w:val="center"/>
        <w:rPr>
          <w:rFonts w:hint="eastAsia" w:ascii="仿宋" w:hAnsi="仿宋" w:eastAsia="仿宋" w:cs="仿宋"/>
          <w:color w:val="auto"/>
          <w:sz w:val="24"/>
          <w:szCs w:val="24"/>
        </w:rPr>
      </w:pPr>
    </w:p>
    <w:p w14:paraId="6CD9B968">
      <w:pPr>
        <w:spacing w:line="360" w:lineRule="auto"/>
        <w:ind w:firstLine="480" w:firstLineChars="200"/>
        <w:jc w:val="center"/>
        <w:rPr>
          <w:rFonts w:hint="eastAsia" w:ascii="仿宋" w:hAnsi="仿宋" w:eastAsia="仿宋" w:cs="仿宋"/>
          <w:color w:val="auto"/>
          <w:sz w:val="24"/>
          <w:szCs w:val="24"/>
        </w:rPr>
      </w:pPr>
    </w:p>
    <w:p w14:paraId="05722F2D">
      <w:pPr>
        <w:spacing w:line="360" w:lineRule="auto"/>
        <w:ind w:firstLine="480" w:firstLineChars="200"/>
        <w:jc w:val="center"/>
        <w:rPr>
          <w:rFonts w:hint="eastAsia" w:ascii="仿宋" w:hAnsi="仿宋" w:eastAsia="仿宋" w:cs="仿宋"/>
          <w:color w:val="auto"/>
          <w:sz w:val="24"/>
          <w:szCs w:val="24"/>
        </w:rPr>
      </w:pPr>
    </w:p>
    <w:p w14:paraId="55B88393">
      <w:pPr>
        <w:spacing w:line="360" w:lineRule="auto"/>
        <w:ind w:firstLine="480" w:firstLineChars="200"/>
        <w:jc w:val="center"/>
        <w:rPr>
          <w:rFonts w:hint="eastAsia" w:ascii="仿宋" w:hAnsi="仿宋" w:eastAsia="仿宋" w:cs="仿宋"/>
          <w:color w:val="auto"/>
          <w:sz w:val="24"/>
          <w:szCs w:val="24"/>
        </w:rPr>
      </w:pPr>
      <w:r>
        <w:rPr>
          <w:rFonts w:hint="eastAsia" w:ascii="仿宋" w:hAnsi="仿宋" w:eastAsia="仿宋" w:cs="仿宋"/>
          <w:color w:val="auto"/>
          <w:sz w:val="24"/>
          <w:szCs w:val="24"/>
        </w:rPr>
        <w:t>（结束）</w:t>
      </w:r>
    </w:p>
    <w:p w14:paraId="0657416D">
      <w:pPr>
        <w:pStyle w:val="2"/>
        <w:spacing w:line="360" w:lineRule="auto"/>
        <w:rPr>
          <w:rFonts w:hint="eastAsia" w:ascii="仿宋" w:hAnsi="仿宋" w:eastAsia="仿宋" w:cs="仿宋"/>
          <w:color w:val="auto"/>
        </w:rPr>
      </w:pPr>
    </w:p>
    <w:p w14:paraId="6C8D4538">
      <w:pPr>
        <w:pStyle w:val="2"/>
        <w:spacing w:line="360" w:lineRule="auto"/>
        <w:rPr>
          <w:rFonts w:hint="eastAsia" w:ascii="仿宋" w:hAnsi="仿宋" w:eastAsia="仿宋" w:cs="仿宋"/>
          <w:color w:val="auto"/>
        </w:rPr>
      </w:pPr>
    </w:p>
    <w:p w14:paraId="4F344CA9">
      <w:pPr>
        <w:pStyle w:val="2"/>
        <w:spacing w:line="360" w:lineRule="auto"/>
        <w:rPr>
          <w:rFonts w:hint="eastAsia" w:ascii="仿宋" w:hAnsi="仿宋" w:eastAsia="仿宋" w:cs="仿宋"/>
          <w:color w:val="auto"/>
        </w:rPr>
      </w:pPr>
    </w:p>
    <w:p w14:paraId="23AB41C6">
      <w:pPr>
        <w:spacing w:line="360" w:lineRule="auto"/>
        <w:rPr>
          <w:rFonts w:hint="eastAsia" w:ascii="仿宋" w:hAnsi="仿宋" w:eastAsia="仿宋" w:cs="仿宋"/>
          <w:color w:val="auto"/>
        </w:rPr>
      </w:pPr>
    </w:p>
    <w:p w14:paraId="5AAF696B">
      <w:pPr>
        <w:pStyle w:val="2"/>
        <w:spacing w:line="360" w:lineRule="auto"/>
        <w:rPr>
          <w:rFonts w:hint="eastAsia" w:ascii="仿宋" w:hAnsi="仿宋" w:eastAsia="仿宋" w:cs="仿宋"/>
          <w:color w:val="auto"/>
        </w:rPr>
      </w:pPr>
    </w:p>
    <w:p w14:paraId="736C5DE0">
      <w:pPr>
        <w:rPr>
          <w:rFonts w:hint="eastAsia"/>
          <w:color w:val="auto"/>
        </w:rPr>
      </w:pPr>
    </w:p>
    <w:p w14:paraId="6D062A24">
      <w:pPr>
        <w:spacing w:line="360" w:lineRule="auto"/>
        <w:rPr>
          <w:rFonts w:hint="eastAsia" w:ascii="仿宋" w:hAnsi="仿宋" w:eastAsia="仿宋" w:cs="仿宋"/>
          <w:color w:val="auto"/>
        </w:rPr>
      </w:pPr>
    </w:p>
    <w:p w14:paraId="37BE7547">
      <w:pPr>
        <w:pStyle w:val="2"/>
        <w:spacing w:line="360" w:lineRule="auto"/>
        <w:rPr>
          <w:rFonts w:hint="eastAsia" w:ascii="仿宋" w:hAnsi="仿宋" w:eastAsia="仿宋" w:cs="仿宋"/>
          <w:color w:val="auto"/>
        </w:rPr>
      </w:pPr>
    </w:p>
    <w:p w14:paraId="396AD7A0">
      <w:pPr>
        <w:pStyle w:val="2"/>
        <w:spacing w:line="360" w:lineRule="auto"/>
        <w:rPr>
          <w:rFonts w:hint="eastAsia" w:ascii="仿宋" w:hAnsi="仿宋" w:eastAsia="仿宋" w:cs="仿宋"/>
          <w:color w:val="auto"/>
        </w:rPr>
      </w:pPr>
    </w:p>
    <w:p w14:paraId="7E96906E">
      <w:pPr>
        <w:spacing w:line="360" w:lineRule="auto"/>
        <w:jc w:val="center"/>
        <w:rPr>
          <w:rFonts w:hint="eastAsia" w:ascii="仿宋" w:hAnsi="仿宋" w:eastAsia="仿宋" w:cs="仿宋"/>
          <w:b/>
          <w:bCs/>
          <w:color w:val="auto"/>
          <w:sz w:val="44"/>
          <w:szCs w:val="44"/>
        </w:rPr>
      </w:pPr>
      <w:bookmarkStart w:id="193" w:name="_Toc477027621"/>
      <w:bookmarkStart w:id="194" w:name="_Toc28290"/>
      <w:r>
        <w:rPr>
          <w:rFonts w:hint="eastAsia" w:ascii="仿宋" w:hAnsi="仿宋" w:eastAsia="仿宋" w:cs="仿宋"/>
          <w:b/>
          <w:bCs/>
          <w:color w:val="auto"/>
          <w:sz w:val="44"/>
          <w:szCs w:val="44"/>
        </w:rPr>
        <w:t xml:space="preserve">  附件一：发售登记表</w:t>
      </w:r>
    </w:p>
    <w:bookmarkEnd w:id="193"/>
    <w:bookmarkEnd w:id="194"/>
    <w:tbl>
      <w:tblPr>
        <w:tblStyle w:val="15"/>
        <w:tblpPr w:leftFromText="180" w:rightFromText="180" w:vertAnchor="text" w:horzAnchor="page" w:tblpX="1495" w:tblpY="490"/>
        <w:tblOverlap w:val="never"/>
        <w:tblW w:w="0" w:type="auto"/>
        <w:tblInd w:w="0" w:type="dxa"/>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2"/>
        <w:gridCol w:w="2391"/>
        <w:gridCol w:w="1051"/>
        <w:gridCol w:w="3965"/>
      </w:tblGrid>
      <w:tr w14:paraId="732DE19F">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1832" w:type="dxa"/>
            <w:noWrap w:val="0"/>
            <w:vAlign w:val="center"/>
          </w:tcPr>
          <w:p w14:paraId="10A3A970">
            <w:pPr>
              <w:tabs>
                <w:tab w:val="left" w:pos="6300"/>
              </w:tabs>
              <w:snapToGrid w:val="0"/>
              <w:spacing w:line="500" w:lineRule="exact"/>
              <w:jc w:val="center"/>
              <w:rPr>
                <w:rFonts w:hint="eastAsia" w:ascii="仿宋" w:hAnsi="仿宋" w:eastAsia="仿宋" w:cs="仿宋"/>
                <w:color w:val="auto"/>
                <w:sz w:val="21"/>
                <w:szCs w:val="21"/>
              </w:rPr>
            </w:pPr>
            <w:r>
              <w:rPr>
                <w:rFonts w:hint="eastAsia" w:ascii="方正仿宋_GBK" w:hAnsi="宋体" w:eastAsia="方正仿宋_GBK"/>
                <w:color w:val="auto"/>
                <w:sz w:val="24"/>
                <w:szCs w:val="24"/>
                <w:lang w:eastAsia="zh-CN"/>
              </w:rPr>
              <w:t>项目名称</w:t>
            </w:r>
          </w:p>
        </w:tc>
        <w:tc>
          <w:tcPr>
            <w:tcW w:w="7407" w:type="dxa"/>
            <w:gridSpan w:val="3"/>
            <w:noWrap w:val="0"/>
            <w:vAlign w:val="center"/>
          </w:tcPr>
          <w:p w14:paraId="45D59BE6">
            <w:pPr>
              <w:tabs>
                <w:tab w:val="left" w:pos="6300"/>
              </w:tabs>
              <w:snapToGrid w:val="0"/>
              <w:spacing w:line="500" w:lineRule="exact"/>
              <w:jc w:val="center"/>
              <w:rPr>
                <w:rFonts w:hint="eastAsia" w:ascii="仿宋" w:hAnsi="仿宋" w:eastAsia="仿宋" w:cs="仿宋"/>
                <w:color w:val="auto"/>
                <w:sz w:val="21"/>
                <w:szCs w:val="21"/>
              </w:rPr>
            </w:pPr>
          </w:p>
        </w:tc>
      </w:tr>
      <w:tr w14:paraId="13A86FA6">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1832" w:type="dxa"/>
            <w:noWrap w:val="0"/>
            <w:vAlign w:val="center"/>
          </w:tcPr>
          <w:p w14:paraId="4EA2802C">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lang w:eastAsia="zh-CN"/>
              </w:rPr>
              <w:t>投标人</w:t>
            </w:r>
            <w:r>
              <w:rPr>
                <w:rFonts w:hint="eastAsia" w:ascii="仿宋" w:hAnsi="仿宋" w:eastAsia="仿宋" w:cs="仿宋"/>
                <w:color w:val="auto"/>
                <w:sz w:val="21"/>
                <w:szCs w:val="21"/>
              </w:rPr>
              <w:t>名称</w:t>
            </w:r>
          </w:p>
        </w:tc>
        <w:tc>
          <w:tcPr>
            <w:tcW w:w="7407" w:type="dxa"/>
            <w:gridSpan w:val="3"/>
            <w:noWrap w:val="0"/>
            <w:vAlign w:val="center"/>
          </w:tcPr>
          <w:p w14:paraId="598B9D22">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eastAsia="zh-CN"/>
              </w:rPr>
              <w:t>投标人</w:t>
            </w:r>
            <w:r>
              <w:rPr>
                <w:rFonts w:hint="eastAsia" w:ascii="仿宋" w:hAnsi="仿宋" w:eastAsia="仿宋" w:cs="仿宋"/>
                <w:color w:val="auto"/>
                <w:sz w:val="21"/>
                <w:szCs w:val="21"/>
              </w:rPr>
              <w:t>公章）</w:t>
            </w:r>
          </w:p>
        </w:tc>
      </w:tr>
      <w:tr w14:paraId="2C451C1B">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trPr>
        <w:tc>
          <w:tcPr>
            <w:tcW w:w="1832" w:type="dxa"/>
            <w:noWrap w:val="0"/>
            <w:vAlign w:val="center"/>
          </w:tcPr>
          <w:p w14:paraId="36F803B8">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联系人</w:t>
            </w:r>
          </w:p>
        </w:tc>
        <w:tc>
          <w:tcPr>
            <w:tcW w:w="2391" w:type="dxa"/>
            <w:noWrap w:val="0"/>
            <w:vAlign w:val="center"/>
          </w:tcPr>
          <w:p w14:paraId="7B1C81D9">
            <w:pPr>
              <w:tabs>
                <w:tab w:val="left" w:pos="6300"/>
              </w:tabs>
              <w:snapToGrid w:val="0"/>
              <w:spacing w:line="500" w:lineRule="exact"/>
              <w:ind w:firstLine="570"/>
              <w:rPr>
                <w:rFonts w:hint="eastAsia" w:ascii="仿宋" w:hAnsi="仿宋" w:eastAsia="仿宋" w:cs="仿宋"/>
                <w:color w:val="auto"/>
                <w:sz w:val="21"/>
                <w:szCs w:val="21"/>
              </w:rPr>
            </w:pPr>
          </w:p>
        </w:tc>
        <w:tc>
          <w:tcPr>
            <w:tcW w:w="1051" w:type="dxa"/>
            <w:noWrap w:val="0"/>
            <w:vAlign w:val="center"/>
          </w:tcPr>
          <w:p w14:paraId="52B4ABEA">
            <w:pPr>
              <w:tabs>
                <w:tab w:val="left" w:pos="6300"/>
              </w:tabs>
              <w:snapToGrid w:val="0"/>
              <w:spacing w:line="500" w:lineRule="exact"/>
              <w:rPr>
                <w:rFonts w:hint="eastAsia" w:ascii="仿宋" w:hAnsi="仿宋" w:eastAsia="仿宋" w:cs="仿宋"/>
                <w:color w:val="auto"/>
                <w:sz w:val="21"/>
                <w:szCs w:val="21"/>
              </w:rPr>
            </w:pPr>
            <w:r>
              <w:rPr>
                <w:rFonts w:hint="eastAsia" w:ascii="仿宋" w:hAnsi="仿宋" w:eastAsia="仿宋" w:cs="仿宋"/>
                <w:color w:val="auto"/>
                <w:sz w:val="21"/>
                <w:szCs w:val="21"/>
              </w:rPr>
              <w:t>手机</w:t>
            </w:r>
          </w:p>
        </w:tc>
        <w:tc>
          <w:tcPr>
            <w:tcW w:w="3965" w:type="dxa"/>
            <w:noWrap w:val="0"/>
            <w:vAlign w:val="center"/>
          </w:tcPr>
          <w:p w14:paraId="426B1320">
            <w:pPr>
              <w:tabs>
                <w:tab w:val="left" w:pos="6300"/>
              </w:tabs>
              <w:snapToGrid w:val="0"/>
              <w:spacing w:line="500" w:lineRule="exact"/>
              <w:ind w:firstLine="570"/>
              <w:rPr>
                <w:rFonts w:hint="eastAsia" w:ascii="仿宋" w:hAnsi="仿宋" w:eastAsia="仿宋" w:cs="仿宋"/>
                <w:color w:val="auto"/>
                <w:sz w:val="21"/>
                <w:szCs w:val="21"/>
              </w:rPr>
            </w:pPr>
          </w:p>
        </w:tc>
      </w:tr>
      <w:tr w14:paraId="459808B8">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trPr>
        <w:tc>
          <w:tcPr>
            <w:tcW w:w="1832" w:type="dxa"/>
            <w:noWrap w:val="0"/>
            <w:vAlign w:val="center"/>
          </w:tcPr>
          <w:p w14:paraId="133403CF">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办公电话</w:t>
            </w:r>
          </w:p>
        </w:tc>
        <w:tc>
          <w:tcPr>
            <w:tcW w:w="2391" w:type="dxa"/>
            <w:noWrap w:val="0"/>
            <w:vAlign w:val="center"/>
          </w:tcPr>
          <w:p w14:paraId="70688128">
            <w:pPr>
              <w:tabs>
                <w:tab w:val="left" w:pos="6300"/>
              </w:tabs>
              <w:snapToGrid w:val="0"/>
              <w:spacing w:line="500" w:lineRule="exact"/>
              <w:ind w:firstLine="570"/>
              <w:rPr>
                <w:rFonts w:hint="eastAsia" w:ascii="仿宋" w:hAnsi="仿宋" w:eastAsia="仿宋" w:cs="仿宋"/>
                <w:color w:val="auto"/>
                <w:sz w:val="21"/>
                <w:szCs w:val="21"/>
              </w:rPr>
            </w:pPr>
          </w:p>
        </w:tc>
        <w:tc>
          <w:tcPr>
            <w:tcW w:w="1051" w:type="dxa"/>
            <w:noWrap w:val="0"/>
            <w:vAlign w:val="center"/>
          </w:tcPr>
          <w:p w14:paraId="6642FF65">
            <w:pPr>
              <w:tabs>
                <w:tab w:val="left" w:pos="6300"/>
              </w:tabs>
              <w:snapToGrid w:val="0"/>
              <w:spacing w:line="500" w:lineRule="exact"/>
              <w:rPr>
                <w:rFonts w:hint="eastAsia" w:ascii="仿宋" w:hAnsi="仿宋" w:eastAsia="仿宋" w:cs="仿宋"/>
                <w:color w:val="auto"/>
                <w:sz w:val="21"/>
                <w:szCs w:val="21"/>
              </w:rPr>
            </w:pPr>
            <w:r>
              <w:rPr>
                <w:rFonts w:hint="eastAsia" w:ascii="仿宋" w:hAnsi="仿宋" w:eastAsia="仿宋" w:cs="仿宋"/>
                <w:color w:val="auto"/>
                <w:sz w:val="21"/>
                <w:szCs w:val="21"/>
              </w:rPr>
              <w:t>传真</w:t>
            </w:r>
          </w:p>
        </w:tc>
        <w:tc>
          <w:tcPr>
            <w:tcW w:w="3965" w:type="dxa"/>
            <w:noWrap w:val="0"/>
            <w:vAlign w:val="center"/>
          </w:tcPr>
          <w:p w14:paraId="11F91298">
            <w:pPr>
              <w:tabs>
                <w:tab w:val="left" w:pos="6300"/>
              </w:tabs>
              <w:snapToGrid w:val="0"/>
              <w:spacing w:line="500" w:lineRule="exact"/>
              <w:ind w:firstLine="570"/>
              <w:rPr>
                <w:rFonts w:hint="eastAsia" w:ascii="仿宋" w:hAnsi="仿宋" w:eastAsia="仿宋" w:cs="仿宋"/>
                <w:color w:val="auto"/>
                <w:sz w:val="21"/>
                <w:szCs w:val="21"/>
              </w:rPr>
            </w:pPr>
          </w:p>
        </w:tc>
      </w:tr>
      <w:tr w14:paraId="2E6ACEA6">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1832" w:type="dxa"/>
            <w:noWrap w:val="0"/>
            <w:vAlign w:val="center"/>
          </w:tcPr>
          <w:p w14:paraId="79F5180F">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E-mail</w:t>
            </w:r>
          </w:p>
        </w:tc>
        <w:tc>
          <w:tcPr>
            <w:tcW w:w="7407" w:type="dxa"/>
            <w:gridSpan w:val="3"/>
            <w:noWrap w:val="0"/>
            <w:vAlign w:val="center"/>
          </w:tcPr>
          <w:p w14:paraId="4329B5DC">
            <w:pPr>
              <w:tabs>
                <w:tab w:val="left" w:pos="6300"/>
              </w:tabs>
              <w:snapToGrid w:val="0"/>
              <w:spacing w:line="500" w:lineRule="exact"/>
              <w:ind w:firstLine="570"/>
              <w:rPr>
                <w:rFonts w:hint="eastAsia" w:ascii="仿宋" w:hAnsi="仿宋" w:eastAsia="仿宋" w:cs="仿宋"/>
                <w:color w:val="auto"/>
                <w:sz w:val="21"/>
                <w:szCs w:val="21"/>
              </w:rPr>
            </w:pPr>
          </w:p>
        </w:tc>
      </w:tr>
      <w:tr w14:paraId="044CECD6">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1832" w:type="dxa"/>
            <w:noWrap w:val="0"/>
            <w:vAlign w:val="center"/>
          </w:tcPr>
          <w:p w14:paraId="69A89FF7">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单位地址</w:t>
            </w:r>
          </w:p>
        </w:tc>
        <w:tc>
          <w:tcPr>
            <w:tcW w:w="7407" w:type="dxa"/>
            <w:gridSpan w:val="3"/>
            <w:noWrap w:val="0"/>
            <w:vAlign w:val="center"/>
          </w:tcPr>
          <w:p w14:paraId="2359E992">
            <w:pPr>
              <w:tabs>
                <w:tab w:val="left" w:pos="6300"/>
              </w:tabs>
              <w:snapToGrid w:val="0"/>
              <w:spacing w:line="500" w:lineRule="exact"/>
              <w:ind w:firstLine="570"/>
              <w:rPr>
                <w:rFonts w:hint="eastAsia" w:ascii="仿宋" w:hAnsi="仿宋" w:eastAsia="仿宋" w:cs="仿宋"/>
                <w:color w:val="auto"/>
                <w:sz w:val="21"/>
                <w:szCs w:val="21"/>
              </w:rPr>
            </w:pPr>
          </w:p>
        </w:tc>
      </w:tr>
    </w:tbl>
    <w:p w14:paraId="0578DEE3">
      <w:pPr>
        <w:spacing w:line="360" w:lineRule="auto"/>
        <w:jc w:val="center"/>
        <w:rPr>
          <w:rFonts w:hint="eastAsia" w:ascii="仿宋" w:hAnsi="仿宋" w:eastAsia="仿宋" w:cs="仿宋"/>
          <w:color w:val="auto"/>
          <w:sz w:val="28"/>
          <w:szCs w:val="20"/>
          <w:lang w:eastAsia="zh-CN"/>
        </w:rPr>
      </w:pPr>
    </w:p>
    <w:p w14:paraId="58B031EB">
      <w:pPr>
        <w:spacing w:line="520" w:lineRule="exact"/>
        <w:ind w:firstLine="480"/>
        <w:rPr>
          <w:rFonts w:hint="eastAsia" w:ascii="仿宋" w:hAnsi="仿宋" w:eastAsia="仿宋" w:cs="仿宋"/>
          <w:color w:val="auto"/>
          <w:highlight w:val="none"/>
        </w:rPr>
      </w:pPr>
      <w:r>
        <w:rPr>
          <w:rFonts w:hint="eastAsia" w:ascii="仿宋" w:hAnsi="仿宋" w:eastAsia="仿宋" w:cs="仿宋"/>
          <w:color w:val="auto"/>
          <w:highlight w:val="none"/>
        </w:rPr>
        <w:t>相关说明：</w:t>
      </w:r>
    </w:p>
    <w:p w14:paraId="424D1D56">
      <w:pPr>
        <w:tabs>
          <w:tab w:val="left" w:pos="6300"/>
        </w:tabs>
        <w:snapToGrid w:val="0"/>
        <w:spacing w:line="500" w:lineRule="exact"/>
        <w:ind w:firstLine="570"/>
        <w:outlineLvl w:val="1"/>
        <w:rPr>
          <w:rFonts w:hint="eastAsia" w:ascii="仿宋" w:hAnsi="仿宋" w:eastAsia="仿宋" w:cs="仿宋"/>
          <w:color w:val="auto"/>
          <w:sz w:val="21"/>
          <w:szCs w:val="21"/>
          <w:highlight w:val="none"/>
        </w:rPr>
      </w:pPr>
      <w:bookmarkStart w:id="195" w:name="_Toc3165"/>
      <w:bookmarkStart w:id="196" w:name="_Toc6684"/>
      <w:r>
        <w:rPr>
          <w:rFonts w:hint="eastAsia" w:ascii="仿宋" w:hAnsi="仿宋" w:eastAsia="仿宋" w:cs="仿宋"/>
          <w:color w:val="auto"/>
          <w:sz w:val="21"/>
          <w:szCs w:val="21"/>
          <w:highlight w:val="none"/>
        </w:rPr>
        <w:t>1.现金购买</w:t>
      </w:r>
      <w:bookmarkEnd w:id="195"/>
      <w:bookmarkEnd w:id="196"/>
    </w:p>
    <w:p w14:paraId="3FB22A44">
      <w:pPr>
        <w:tabs>
          <w:tab w:val="left" w:pos="6300"/>
        </w:tabs>
        <w:snapToGrid w:val="0"/>
        <w:spacing w:line="500" w:lineRule="exact"/>
        <w:ind w:firstLine="57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在</w:t>
      </w:r>
      <w:r>
        <w:rPr>
          <w:rFonts w:hint="eastAsia" w:ascii="仿宋" w:hAnsi="仿宋" w:eastAsia="仿宋" w:cs="仿宋"/>
          <w:color w:val="auto"/>
          <w:sz w:val="21"/>
          <w:szCs w:val="21"/>
          <w:highlight w:val="none"/>
          <w:lang w:eastAsia="zh-CN"/>
        </w:rPr>
        <w:t>文件</w:t>
      </w:r>
      <w:r>
        <w:rPr>
          <w:rFonts w:hint="eastAsia" w:ascii="仿宋" w:hAnsi="仿宋" w:eastAsia="仿宋" w:cs="仿宋"/>
          <w:color w:val="auto"/>
          <w:sz w:val="21"/>
          <w:szCs w:val="21"/>
          <w:highlight w:val="none"/>
        </w:rPr>
        <w:t>发售期内</w:t>
      </w:r>
      <w:r>
        <w:rPr>
          <w:rFonts w:hint="eastAsia" w:ascii="仿宋" w:hAnsi="仿宋" w:eastAsia="仿宋" w:cs="仿宋"/>
          <w:color w:val="auto"/>
          <w:sz w:val="21"/>
          <w:szCs w:val="21"/>
          <w:highlight w:val="none"/>
          <w:lang w:eastAsia="zh-CN"/>
        </w:rPr>
        <w:t>按</w:t>
      </w:r>
      <w:r>
        <w:rPr>
          <w:rFonts w:hint="eastAsia" w:ascii="仿宋" w:hAnsi="仿宋" w:eastAsia="仿宋" w:cs="仿宋"/>
          <w:color w:val="auto"/>
          <w:sz w:val="21"/>
          <w:szCs w:val="21"/>
          <w:highlight w:val="none"/>
          <w:lang w:val="en-US" w:eastAsia="zh-CN"/>
        </w:rPr>
        <w:t>采购文件</w:t>
      </w:r>
      <w:r>
        <w:rPr>
          <w:rFonts w:hint="eastAsia" w:ascii="仿宋" w:hAnsi="仿宋" w:eastAsia="仿宋" w:cs="仿宋"/>
          <w:color w:val="auto"/>
          <w:sz w:val="21"/>
          <w:szCs w:val="21"/>
          <w:highlight w:val="none"/>
          <w:lang w:eastAsia="zh-CN"/>
        </w:rPr>
        <w:t>要求购买</w:t>
      </w:r>
      <w:r>
        <w:rPr>
          <w:rFonts w:hint="eastAsia" w:ascii="仿宋" w:hAnsi="仿宋" w:eastAsia="仿宋" w:cs="仿宋"/>
          <w:color w:val="auto"/>
          <w:sz w:val="21"/>
          <w:szCs w:val="21"/>
          <w:highlight w:val="none"/>
        </w:rPr>
        <w:t>。</w:t>
      </w:r>
    </w:p>
    <w:p w14:paraId="24FC7EDB">
      <w:pPr>
        <w:spacing w:line="520" w:lineRule="exact"/>
        <w:ind w:firstLine="480"/>
        <w:outlineLvl w:val="9"/>
        <w:rPr>
          <w:rFonts w:hint="eastAsia" w:ascii="宋体" w:hAnsi="宋体" w:eastAsia="宋体" w:cs="宋体"/>
          <w:color w:val="auto"/>
          <w:highlight w:val="none"/>
        </w:rPr>
      </w:pPr>
      <w:r>
        <w:rPr>
          <w:rFonts w:hint="eastAsia" w:ascii="宋体" w:hAnsi="宋体" w:eastAsia="宋体" w:cs="宋体"/>
          <w:color w:val="auto"/>
          <w:highlight w:val="none"/>
        </w:rPr>
        <w:t>相关说明：</w:t>
      </w:r>
    </w:p>
    <w:p w14:paraId="67E98698">
      <w:pPr>
        <w:spacing w:line="520" w:lineRule="exact"/>
        <w:ind w:firstLine="480"/>
        <w:outlineLvl w:val="9"/>
        <w:rPr>
          <w:rFonts w:hint="eastAsia" w:ascii="宋体" w:hAnsi="宋体" w:eastAsia="宋体" w:cs="宋体"/>
          <w:color w:val="auto"/>
          <w:highlight w:val="none"/>
          <w:lang w:eastAsia="zh-CN"/>
        </w:rPr>
      </w:pPr>
      <w:r>
        <w:rPr>
          <w:rFonts w:hint="eastAsia" w:ascii="宋体" w:hAnsi="宋体" w:eastAsia="宋体" w:cs="宋体"/>
          <w:color w:val="auto"/>
          <w:highlight w:val="none"/>
        </w:rPr>
        <w:t>供应商需在规定的报名时间内（工作日：每天上午9：00-12:00时，下午14：00-17：00时）缴纳报名费。供应商在缴纳报名费后，请将《报名登记表》（加盖供应商公章）</w:t>
      </w:r>
      <w:r>
        <w:rPr>
          <w:rFonts w:hint="eastAsia" w:ascii="宋体" w:hAnsi="宋体" w:eastAsia="宋体" w:cs="宋体"/>
          <w:color w:val="auto"/>
          <w:highlight w:val="none"/>
          <w:lang w:eastAsia="zh-CN"/>
        </w:rPr>
        <w:t>传至邮箱</w:t>
      </w:r>
      <w:r>
        <w:rPr>
          <w:rFonts w:hint="eastAsia" w:ascii="宋体" w:hAnsi="宋体" w:eastAsia="宋体" w:cs="宋体"/>
          <w:color w:val="auto"/>
          <w:highlight w:val="none"/>
        </w:rPr>
        <w:t>。</w:t>
      </w:r>
    </w:p>
    <w:p w14:paraId="3E411323">
      <w:pPr>
        <w:spacing w:line="360" w:lineRule="auto"/>
        <w:jc w:val="center"/>
        <w:rPr>
          <w:rFonts w:hint="eastAsia" w:ascii="仿宋" w:hAnsi="仿宋" w:eastAsia="仿宋" w:cs="仿宋"/>
          <w:color w:val="auto"/>
          <w:sz w:val="24"/>
          <w:szCs w:val="18"/>
        </w:rPr>
      </w:pPr>
    </w:p>
    <w:p w14:paraId="344A3B2B">
      <w:pPr>
        <w:pStyle w:val="2"/>
        <w:rPr>
          <w:rFonts w:hint="default"/>
        </w:rPr>
      </w:pPr>
    </w:p>
    <w:p w14:paraId="56A87818">
      <w:pPr>
        <w:rPr>
          <w:rFonts w:hint="default"/>
        </w:rPr>
      </w:pPr>
    </w:p>
    <w:p w14:paraId="5593DF22">
      <w:pPr>
        <w:pStyle w:val="2"/>
        <w:rPr>
          <w:rFonts w:hint="default"/>
        </w:rPr>
      </w:pPr>
    </w:p>
    <w:p w14:paraId="5456E778">
      <w:pPr>
        <w:rPr>
          <w:rFonts w:hint="default"/>
        </w:rPr>
      </w:pPr>
    </w:p>
    <w:p w14:paraId="18C4E300">
      <w:pPr>
        <w:pStyle w:val="2"/>
        <w:rPr>
          <w:rFonts w:hint="default"/>
        </w:rPr>
      </w:pPr>
    </w:p>
    <w:p w14:paraId="6A3F0E91">
      <w:pPr>
        <w:rPr>
          <w:rFonts w:hint="default"/>
        </w:rPr>
      </w:pPr>
    </w:p>
    <w:p w14:paraId="18BB795B">
      <w:pPr>
        <w:pStyle w:val="2"/>
        <w:rPr>
          <w:rFonts w:hint="default" w:eastAsia="仿宋_GB2312"/>
          <w:lang w:val="en-US" w:eastAsia="zh-CN"/>
        </w:rPr>
      </w:pPr>
      <w:bookmarkStart w:id="197" w:name="_GoBack"/>
      <w:r>
        <w:rPr>
          <w:rFonts w:hint="default" w:eastAsia="仿宋_GB2312"/>
          <w:lang w:val="en-US" w:eastAsia="zh-CN"/>
        </w:rPr>
        <w:drawing>
          <wp:anchor distT="0" distB="0" distL="114300" distR="114300" simplePos="0" relativeHeight="251661312" behindDoc="0" locked="0" layoutInCell="1" allowOverlap="1">
            <wp:simplePos x="0" y="0"/>
            <wp:positionH relativeFrom="column">
              <wp:posOffset>-969645</wp:posOffset>
            </wp:positionH>
            <wp:positionV relativeFrom="paragraph">
              <wp:posOffset>3418840</wp:posOffset>
            </wp:positionV>
            <wp:extent cx="7320280" cy="4474210"/>
            <wp:effectExtent l="0" t="0" r="13970" b="2540"/>
            <wp:wrapSquare wrapText="bothSides"/>
            <wp:docPr id="5" name="图片 5" descr="lQLPKHNq-NTclt3NAeHNAxOwSzQEcK3kzAgJ0vHmlCwAAA_787_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QLPKHNq-NTclt3NAeHNAxOwSzQEcK3kzAgJ0vHmlCwAAA_787_481"/>
                    <pic:cNvPicPr>
                      <a:picLocks noChangeAspect="1"/>
                    </pic:cNvPicPr>
                  </pic:nvPicPr>
                  <pic:blipFill>
                    <a:blip r:embed="rId14"/>
                    <a:stretch>
                      <a:fillRect/>
                    </a:stretch>
                  </pic:blipFill>
                  <pic:spPr>
                    <a:xfrm>
                      <a:off x="0" y="0"/>
                      <a:ext cx="7320280" cy="4474210"/>
                    </a:xfrm>
                    <a:prstGeom prst="rect">
                      <a:avLst/>
                    </a:prstGeom>
                  </pic:spPr>
                </pic:pic>
              </a:graphicData>
            </a:graphic>
          </wp:anchor>
        </w:drawing>
      </w:r>
      <w:r>
        <w:rPr>
          <w:rFonts w:hint="default" w:eastAsia="仿宋_GB2312"/>
          <w:lang w:val="en-US" w:eastAsia="zh-CN"/>
        </w:rPr>
        <w:drawing>
          <wp:anchor distT="0" distB="0" distL="114300" distR="114300" simplePos="0" relativeHeight="251660288" behindDoc="0" locked="0" layoutInCell="1" allowOverlap="1">
            <wp:simplePos x="0" y="0"/>
            <wp:positionH relativeFrom="column">
              <wp:posOffset>-508000</wp:posOffset>
            </wp:positionH>
            <wp:positionV relativeFrom="paragraph">
              <wp:posOffset>501650</wp:posOffset>
            </wp:positionV>
            <wp:extent cx="6489700" cy="3489960"/>
            <wp:effectExtent l="0" t="0" r="6350" b="15240"/>
            <wp:wrapSquare wrapText="bothSides"/>
            <wp:docPr id="4" name="图片 4" descr="lQLPJx4_SUpvpt3NAYHNAsywIXpDyGN4nGQJ0vHmkpmzAA_716_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lQLPJx4_SUpvpt3NAYHNAsywIXpDyGN4nGQJ0vHmkpmzAA_716_385"/>
                    <pic:cNvPicPr>
                      <a:picLocks noChangeAspect="1"/>
                    </pic:cNvPicPr>
                  </pic:nvPicPr>
                  <pic:blipFill>
                    <a:blip r:embed="rId15"/>
                    <a:stretch>
                      <a:fillRect/>
                    </a:stretch>
                  </pic:blipFill>
                  <pic:spPr>
                    <a:xfrm>
                      <a:off x="0" y="0"/>
                      <a:ext cx="6489700" cy="3489960"/>
                    </a:xfrm>
                    <a:prstGeom prst="rect">
                      <a:avLst/>
                    </a:prstGeom>
                  </pic:spPr>
                </pic:pic>
              </a:graphicData>
            </a:graphic>
          </wp:anchor>
        </w:drawing>
      </w:r>
      <w:r>
        <w:rPr>
          <w:rFonts w:hint="eastAsia"/>
          <w:lang w:val="en-US" w:eastAsia="zh-CN"/>
        </w:rPr>
        <w:t>附件2：</w:t>
      </w:r>
    </w:p>
    <w:p w14:paraId="3B2CB488">
      <w:pPr>
        <w:pStyle w:val="2"/>
        <w:rPr>
          <w:rFonts w:hint="default"/>
        </w:rPr>
      </w:pPr>
    </w:p>
    <w:bookmarkEnd w:id="19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09005">
    <w:pPr>
      <w:pStyle w:val="10"/>
      <w:framePr w:wrap="around" w:vAnchor="text" w:hAnchor="margin" w:xAlign="center" w:y="1"/>
      <w:rPr>
        <w:rStyle w:val="18"/>
      </w:rPr>
    </w:pPr>
    <w:r>
      <w:fldChar w:fldCharType="begin"/>
    </w:r>
    <w:r>
      <w:rPr>
        <w:rStyle w:val="18"/>
      </w:rPr>
      <w:instrText xml:space="preserve">PAGE  </w:instrText>
    </w:r>
    <w:r>
      <w:fldChar w:fldCharType="separate"/>
    </w:r>
    <w:r>
      <w:fldChar w:fldCharType="end"/>
    </w:r>
  </w:p>
  <w:p w14:paraId="55D421B0">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8DE35">
    <w:pPr>
      <w:pStyle w:val="10"/>
      <w:framePr w:wrap="around" w:vAnchor="text" w:hAnchor="margin" w:xAlign="center" w:y="1"/>
      <w:rPr>
        <w:rStyle w:val="18"/>
      </w:rPr>
    </w:pPr>
  </w:p>
  <w:p w14:paraId="10AB1AA9">
    <w:pPr>
      <w:pStyle w:val="10"/>
      <w:jc w:val="center"/>
      <w:rPr>
        <w:rFonts w:hint="eastAsia" w:ascii="宋体" w:hAnsi="宋体"/>
        <w:sz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F8412B">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E56F9">
    <w:pPr>
      <w:pStyle w:val="10"/>
      <w:jc w:val="center"/>
      <w:rPr>
        <w:rFonts w:hint="eastAsia" w:ascii="宋体" w:hAnsi="宋体"/>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0F6B6E5">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- 4 -</w:t>
                          </w:r>
                          <w:r>
                            <w:rPr>
                              <w:rFonts w:ascii="宋体" w:hAnsi="宋体"/>
                              <w:sz w:val="21"/>
                              <w:szCs w:val="21"/>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70F6B6E5">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- 4 -</w:t>
                    </w:r>
                    <w:r>
                      <w:rPr>
                        <w:rFonts w:ascii="宋体" w:hAnsi="宋体"/>
                        <w:sz w:val="21"/>
                        <w:szCs w:val="21"/>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918151">
    <w:pPr>
      <w:pStyle w:val="10"/>
      <w:jc w:val="center"/>
      <w:rPr>
        <w:rFonts w:hint="eastAsia" w:ascii="宋体" w:hAnsi="宋体"/>
        <w:sz w:val="21"/>
        <w:szCs w:val="21"/>
      </w:rPr>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984109C">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- 40 -</w:t>
                          </w:r>
                          <w:r>
                            <w:rPr>
                              <w:rFonts w:ascii="宋体" w:hAnsi="宋体"/>
                              <w:sz w:val="21"/>
                              <w:szCs w:val="21"/>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1984109C">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- 40 -</w:t>
                    </w:r>
                    <w:r>
                      <w:rPr>
                        <w:rFonts w:ascii="宋体" w:hAnsi="宋体"/>
                        <w:sz w:val="21"/>
                        <w:szCs w:val="21"/>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370B9">
    <w:pPr>
      <w:pStyle w:val="10"/>
      <w:framePr w:wrap="around" w:vAnchor="text" w:hAnchor="margin" w:xAlign="center" w:y="1"/>
      <w:rPr>
        <w:rStyle w:val="18"/>
      </w:rPr>
    </w:pPr>
    <w:r>
      <w:fldChar w:fldCharType="begin"/>
    </w:r>
    <w:r>
      <w:rPr>
        <w:rStyle w:val="18"/>
      </w:rPr>
      <w:instrText xml:space="preserve">PAGE  </w:instrText>
    </w:r>
    <w:r>
      <w:fldChar w:fldCharType="separate"/>
    </w:r>
    <w:r>
      <w:fldChar w:fldCharType="end"/>
    </w:r>
  </w:p>
  <w:p w14:paraId="5D9B8E36">
    <w:pPr>
      <w:pStyle w:val="10"/>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BDD48F">
    <w:pPr>
      <w:pStyle w:val="10"/>
      <w:jc w:val="center"/>
      <w:rPr>
        <w:rFonts w:hint="eastAsia" w:ascii="宋体" w:hAnsi="宋体"/>
        <w:sz w:val="21"/>
        <w:szCs w:val="21"/>
      </w:rPr>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EDE4222">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- 40 -</w:t>
                          </w:r>
                          <w:r>
                            <w:rPr>
                              <w:rFonts w:ascii="宋体" w:hAnsi="宋体"/>
                              <w:sz w:val="21"/>
                              <w:szCs w:val="21"/>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14:paraId="5EDE4222">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- 40 -</w:t>
                    </w:r>
                    <w:r>
                      <w:rPr>
                        <w:rFonts w:ascii="宋体" w:hAnsi="宋体"/>
                        <w:sz w:val="21"/>
                        <w:szCs w:val="21"/>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57E4CA">
    <w:pPr>
      <w:pStyle w:val="12"/>
      <w:pBdr>
        <w:bottom w:val="single" w:color="auto" w:sz="4" w:space="0"/>
      </w:pBdr>
      <w:tabs>
        <w:tab w:val="left" w:pos="6802"/>
        <w:tab w:val="clear" w:pos="4153"/>
      </w:tabs>
      <w:jc w:val="both"/>
      <w:rPr>
        <w:rFonts w:hint="eastAsia"/>
      </w:rPr>
    </w:pPr>
    <w:r>
      <w:rPr>
        <w:rFonts w:hint="eastAsia" w:ascii="方正仿宋_GBK" w:eastAsia="方正仿宋_GBK"/>
        <w:sz w:val="21"/>
        <w:szCs w:val="21"/>
        <w:lang w:val="en-US" w:eastAsia="zh-CN"/>
      </w:rPr>
      <w:t>重庆修为工程咨询有限公司</w:t>
    </w:r>
    <w:r>
      <w:rPr>
        <w:rFonts w:hint="eastAsia" w:ascii="方正仿宋_GBK" w:eastAsia="方正仿宋_GBK"/>
        <w:sz w:val="21"/>
        <w:szCs w:val="21"/>
        <w:lang w:eastAsia="zh-CN"/>
      </w:rPr>
      <w:tab/>
    </w:r>
    <w:r>
      <w:rPr>
        <w:rFonts w:hint="eastAsia" w:ascii="方正仿宋_GBK" w:eastAsia="方正仿宋_GBK"/>
        <w:sz w:val="21"/>
        <w:szCs w:val="21"/>
        <w:lang w:val="en-US" w:eastAsia="zh-CN"/>
      </w:rPr>
      <w:t xml:space="preserve">                </w:t>
    </w:r>
    <w:r>
      <w:rPr>
        <w:rFonts w:hint="eastAsia" w:ascii="方正仿宋_GBK" w:eastAsia="方正仿宋_GBK"/>
        <w:sz w:val="21"/>
        <w:szCs w:val="21"/>
        <w:lang w:eastAsia="zh-CN"/>
      </w:rPr>
      <w:t>询比文件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FA6EBD">
    <w:pPr>
      <w:pStyle w:val="12"/>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27DD9">
    <w:pPr>
      <w:pStyle w:val="12"/>
      <w:pBdr>
        <w:bottom w:val="none" w:color="auto" w:sz="0" w:space="1"/>
      </w:pBdr>
      <w:jc w:val="both"/>
      <w:rPr>
        <w:rFonts w:hint="eastAsia" w:ascii="方正仿宋_GBK" w:eastAsia="方正仿宋_GBK"/>
        <w:color w:val="FFFFFF"/>
        <w:sz w:val="21"/>
        <w:szCs w:val="21"/>
      </w:rPr>
    </w:pPr>
    <w:r>
      <w:rPr>
        <w:rFonts w:hint="eastAsia" w:ascii="方正仿宋_GBK" w:eastAsia="方正仿宋_GBK"/>
        <w:color w:val="FFFFFF"/>
        <w:sz w:val="21"/>
        <w:szCs w:val="21"/>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1E8065"/>
    <w:multiLevelType w:val="singleLevel"/>
    <w:tmpl w:val="B81E8065"/>
    <w:lvl w:ilvl="0" w:tentative="0">
      <w:start w:val="1"/>
      <w:numFmt w:val="decimal"/>
      <w:suff w:val="nothing"/>
      <w:lvlText w:val="%1．"/>
      <w:lvlJc w:val="left"/>
      <w:pPr>
        <w:ind w:left="0" w:firstLine="400"/>
      </w:pPr>
      <w:rPr>
        <w:rFonts w:hint="default"/>
      </w:rPr>
    </w:lvl>
  </w:abstractNum>
  <w:abstractNum w:abstractNumId="1">
    <w:nsid w:val="B8B5F6F5"/>
    <w:multiLevelType w:val="singleLevel"/>
    <w:tmpl w:val="B8B5F6F5"/>
    <w:lvl w:ilvl="0" w:tentative="0">
      <w:start w:val="4"/>
      <w:numFmt w:val="chineseCounting"/>
      <w:suff w:val="nothing"/>
      <w:lvlText w:val="%1、"/>
      <w:lvlJc w:val="left"/>
      <w:rPr>
        <w:rFonts w:hint="eastAsia"/>
      </w:rPr>
    </w:lvl>
  </w:abstractNum>
  <w:abstractNum w:abstractNumId="2">
    <w:nsid w:val="EEB00119"/>
    <w:multiLevelType w:val="singleLevel"/>
    <w:tmpl w:val="EEB00119"/>
    <w:lvl w:ilvl="0" w:tentative="0">
      <w:start w:val="3"/>
      <w:numFmt w:val="decimal"/>
      <w:suff w:val="nothing"/>
      <w:lvlText w:val="%1、"/>
      <w:lvlJc w:val="left"/>
      <w:pPr>
        <w:ind w:left="360" w:firstLine="0"/>
      </w:pPr>
    </w:lvl>
  </w:abstractNum>
  <w:abstractNum w:abstractNumId="3">
    <w:nsid w:val="0686FD9D"/>
    <w:multiLevelType w:val="singleLevel"/>
    <w:tmpl w:val="0686FD9D"/>
    <w:lvl w:ilvl="0" w:tentative="0">
      <w:start w:val="1"/>
      <w:numFmt w:val="decimal"/>
      <w:suff w:val="nothing"/>
      <w:lvlText w:val="%1．"/>
      <w:lvlJc w:val="left"/>
      <w:pPr>
        <w:ind w:left="0" w:firstLine="400"/>
      </w:pPr>
      <w:rPr>
        <w:rFonts w:hint="default"/>
      </w:rPr>
    </w:lvl>
  </w:abstractNum>
  <w:abstractNum w:abstractNumId="4">
    <w:nsid w:val="6B1542A5"/>
    <w:multiLevelType w:val="singleLevel"/>
    <w:tmpl w:val="6B1542A5"/>
    <w:lvl w:ilvl="0" w:tentative="0">
      <w:start w:val="1"/>
      <w:numFmt w:val="decimal"/>
      <w:suff w:val="nothing"/>
      <w:lvlText w:val="%1．"/>
      <w:lvlJc w:val="left"/>
      <w:pPr>
        <w:ind w:left="80" w:firstLine="400"/>
      </w:pPr>
      <w:rPr>
        <w:rFonts w:hint="default"/>
      </w:rPr>
    </w:lvl>
  </w:abstractNum>
  <w:num w:numId="1">
    <w:abstractNumId w:val="2"/>
  </w:num>
  <w:num w:numId="2">
    <w:abstractNumId w:val="4"/>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8A37C5"/>
    <w:rsid w:val="00006574"/>
    <w:rsid w:val="00032A14"/>
    <w:rsid w:val="000B17F7"/>
    <w:rsid w:val="001A7562"/>
    <w:rsid w:val="00267E8C"/>
    <w:rsid w:val="002A2169"/>
    <w:rsid w:val="002E2602"/>
    <w:rsid w:val="00385AA5"/>
    <w:rsid w:val="00566860"/>
    <w:rsid w:val="005A7419"/>
    <w:rsid w:val="005C7B5C"/>
    <w:rsid w:val="006445F1"/>
    <w:rsid w:val="006F55B4"/>
    <w:rsid w:val="007B673A"/>
    <w:rsid w:val="007F568B"/>
    <w:rsid w:val="00812627"/>
    <w:rsid w:val="0082547A"/>
    <w:rsid w:val="008430A1"/>
    <w:rsid w:val="008B7C1C"/>
    <w:rsid w:val="00986008"/>
    <w:rsid w:val="00A30A7E"/>
    <w:rsid w:val="00AC671F"/>
    <w:rsid w:val="00AD5A8E"/>
    <w:rsid w:val="00AF119B"/>
    <w:rsid w:val="00B91009"/>
    <w:rsid w:val="00C47FC4"/>
    <w:rsid w:val="00C94A2D"/>
    <w:rsid w:val="00C96B5B"/>
    <w:rsid w:val="00CC2D91"/>
    <w:rsid w:val="00CF1F54"/>
    <w:rsid w:val="00E40FFA"/>
    <w:rsid w:val="00E56141"/>
    <w:rsid w:val="00E74F9B"/>
    <w:rsid w:val="00F362BE"/>
    <w:rsid w:val="00F7639D"/>
    <w:rsid w:val="00F821CE"/>
    <w:rsid w:val="01062348"/>
    <w:rsid w:val="010B44D9"/>
    <w:rsid w:val="010E5676"/>
    <w:rsid w:val="0113440F"/>
    <w:rsid w:val="01145D5E"/>
    <w:rsid w:val="011547AB"/>
    <w:rsid w:val="01187121"/>
    <w:rsid w:val="011F5353"/>
    <w:rsid w:val="01215609"/>
    <w:rsid w:val="01391681"/>
    <w:rsid w:val="013C6E5A"/>
    <w:rsid w:val="013F349A"/>
    <w:rsid w:val="01482F09"/>
    <w:rsid w:val="014B2EE7"/>
    <w:rsid w:val="014C2DCC"/>
    <w:rsid w:val="01532EC2"/>
    <w:rsid w:val="0154183C"/>
    <w:rsid w:val="01573FC3"/>
    <w:rsid w:val="015B0582"/>
    <w:rsid w:val="015E5338"/>
    <w:rsid w:val="01600F2E"/>
    <w:rsid w:val="01654BE5"/>
    <w:rsid w:val="016B7DBB"/>
    <w:rsid w:val="016C36D2"/>
    <w:rsid w:val="01757C70"/>
    <w:rsid w:val="01777BAB"/>
    <w:rsid w:val="01A11471"/>
    <w:rsid w:val="01A8637A"/>
    <w:rsid w:val="01A93246"/>
    <w:rsid w:val="01AC3951"/>
    <w:rsid w:val="01AE7D18"/>
    <w:rsid w:val="01BD2C9D"/>
    <w:rsid w:val="01C05433"/>
    <w:rsid w:val="01C94EB1"/>
    <w:rsid w:val="01D76F84"/>
    <w:rsid w:val="01D85A39"/>
    <w:rsid w:val="01D90BDF"/>
    <w:rsid w:val="01EB3C28"/>
    <w:rsid w:val="01F60974"/>
    <w:rsid w:val="01FA553F"/>
    <w:rsid w:val="0207422B"/>
    <w:rsid w:val="020776A3"/>
    <w:rsid w:val="020E21C6"/>
    <w:rsid w:val="020E65E2"/>
    <w:rsid w:val="02161BCE"/>
    <w:rsid w:val="02187399"/>
    <w:rsid w:val="02420B99"/>
    <w:rsid w:val="024A133E"/>
    <w:rsid w:val="02517C6B"/>
    <w:rsid w:val="02621191"/>
    <w:rsid w:val="0265389B"/>
    <w:rsid w:val="026B19BD"/>
    <w:rsid w:val="026D1F94"/>
    <w:rsid w:val="02792A3D"/>
    <w:rsid w:val="027B6917"/>
    <w:rsid w:val="02881881"/>
    <w:rsid w:val="028E4E61"/>
    <w:rsid w:val="02921F30"/>
    <w:rsid w:val="029339F0"/>
    <w:rsid w:val="02A453A2"/>
    <w:rsid w:val="02A676B5"/>
    <w:rsid w:val="02AC65D8"/>
    <w:rsid w:val="02B14AE6"/>
    <w:rsid w:val="02BF08A4"/>
    <w:rsid w:val="02C1301D"/>
    <w:rsid w:val="02CD3A70"/>
    <w:rsid w:val="02D74AFB"/>
    <w:rsid w:val="02D82D0D"/>
    <w:rsid w:val="02DE349C"/>
    <w:rsid w:val="02DF5D38"/>
    <w:rsid w:val="02EF3DF7"/>
    <w:rsid w:val="02F600A5"/>
    <w:rsid w:val="02FD00F5"/>
    <w:rsid w:val="03183A40"/>
    <w:rsid w:val="032061EF"/>
    <w:rsid w:val="0322281E"/>
    <w:rsid w:val="03230320"/>
    <w:rsid w:val="032314B7"/>
    <w:rsid w:val="032B468A"/>
    <w:rsid w:val="03326D03"/>
    <w:rsid w:val="0340123B"/>
    <w:rsid w:val="034E5E0D"/>
    <w:rsid w:val="035F2D00"/>
    <w:rsid w:val="0360133E"/>
    <w:rsid w:val="03617F73"/>
    <w:rsid w:val="03632F3C"/>
    <w:rsid w:val="03672624"/>
    <w:rsid w:val="03674807"/>
    <w:rsid w:val="036913B4"/>
    <w:rsid w:val="036A24E3"/>
    <w:rsid w:val="036F06C9"/>
    <w:rsid w:val="037D3F6D"/>
    <w:rsid w:val="03876262"/>
    <w:rsid w:val="0390148B"/>
    <w:rsid w:val="0390218B"/>
    <w:rsid w:val="03A66687"/>
    <w:rsid w:val="03A93D9A"/>
    <w:rsid w:val="03AC2AD2"/>
    <w:rsid w:val="03C96B91"/>
    <w:rsid w:val="03CF6AC6"/>
    <w:rsid w:val="03D160E3"/>
    <w:rsid w:val="03D74001"/>
    <w:rsid w:val="03DC12A3"/>
    <w:rsid w:val="03E12677"/>
    <w:rsid w:val="03E67229"/>
    <w:rsid w:val="03EA4810"/>
    <w:rsid w:val="03EC5C52"/>
    <w:rsid w:val="03F1668F"/>
    <w:rsid w:val="03F3047F"/>
    <w:rsid w:val="03F7640F"/>
    <w:rsid w:val="03F80F2D"/>
    <w:rsid w:val="040345BE"/>
    <w:rsid w:val="04051376"/>
    <w:rsid w:val="040F769E"/>
    <w:rsid w:val="04181B32"/>
    <w:rsid w:val="0425568D"/>
    <w:rsid w:val="042D7AC2"/>
    <w:rsid w:val="0431245E"/>
    <w:rsid w:val="043A5929"/>
    <w:rsid w:val="043B5E75"/>
    <w:rsid w:val="043B6939"/>
    <w:rsid w:val="043E2FBE"/>
    <w:rsid w:val="04434986"/>
    <w:rsid w:val="0450227D"/>
    <w:rsid w:val="045352F4"/>
    <w:rsid w:val="046028A8"/>
    <w:rsid w:val="04606C32"/>
    <w:rsid w:val="046252B5"/>
    <w:rsid w:val="0462532C"/>
    <w:rsid w:val="04664804"/>
    <w:rsid w:val="046D68E9"/>
    <w:rsid w:val="046E4DA0"/>
    <w:rsid w:val="0472193A"/>
    <w:rsid w:val="047A4DF0"/>
    <w:rsid w:val="047F0B09"/>
    <w:rsid w:val="047F1639"/>
    <w:rsid w:val="04832CC7"/>
    <w:rsid w:val="048D0DAE"/>
    <w:rsid w:val="04A0640B"/>
    <w:rsid w:val="04A31320"/>
    <w:rsid w:val="04A90BEE"/>
    <w:rsid w:val="04AA4AED"/>
    <w:rsid w:val="04B76A28"/>
    <w:rsid w:val="04C1250F"/>
    <w:rsid w:val="04C3053F"/>
    <w:rsid w:val="04C465FD"/>
    <w:rsid w:val="04C75BFF"/>
    <w:rsid w:val="04CB0ED7"/>
    <w:rsid w:val="04D34034"/>
    <w:rsid w:val="04D92C60"/>
    <w:rsid w:val="04E433AB"/>
    <w:rsid w:val="04E936B5"/>
    <w:rsid w:val="04EA67FB"/>
    <w:rsid w:val="04EB6F42"/>
    <w:rsid w:val="04F05B66"/>
    <w:rsid w:val="04F07A81"/>
    <w:rsid w:val="04F80FC8"/>
    <w:rsid w:val="04FA0212"/>
    <w:rsid w:val="04FE4025"/>
    <w:rsid w:val="05041230"/>
    <w:rsid w:val="05042CB8"/>
    <w:rsid w:val="050D2643"/>
    <w:rsid w:val="05195CF1"/>
    <w:rsid w:val="051D3CB0"/>
    <w:rsid w:val="052455EF"/>
    <w:rsid w:val="05262F34"/>
    <w:rsid w:val="05312C14"/>
    <w:rsid w:val="05390D84"/>
    <w:rsid w:val="053B5667"/>
    <w:rsid w:val="053C3E72"/>
    <w:rsid w:val="053D2F30"/>
    <w:rsid w:val="053D3CF8"/>
    <w:rsid w:val="05417426"/>
    <w:rsid w:val="05527E74"/>
    <w:rsid w:val="055B5FCB"/>
    <w:rsid w:val="056236AB"/>
    <w:rsid w:val="05657CD4"/>
    <w:rsid w:val="056A1834"/>
    <w:rsid w:val="056B6F2C"/>
    <w:rsid w:val="05711613"/>
    <w:rsid w:val="05747820"/>
    <w:rsid w:val="05761BE7"/>
    <w:rsid w:val="05762B73"/>
    <w:rsid w:val="057E082F"/>
    <w:rsid w:val="057E1562"/>
    <w:rsid w:val="0580627D"/>
    <w:rsid w:val="05832453"/>
    <w:rsid w:val="05853A5D"/>
    <w:rsid w:val="058A6447"/>
    <w:rsid w:val="059A2061"/>
    <w:rsid w:val="059A504E"/>
    <w:rsid w:val="05A45E30"/>
    <w:rsid w:val="05A953E9"/>
    <w:rsid w:val="05A97AD9"/>
    <w:rsid w:val="05AC56C9"/>
    <w:rsid w:val="05B23107"/>
    <w:rsid w:val="05B73790"/>
    <w:rsid w:val="05BD4653"/>
    <w:rsid w:val="05C43B75"/>
    <w:rsid w:val="05CE03B0"/>
    <w:rsid w:val="05D726F8"/>
    <w:rsid w:val="05E13F10"/>
    <w:rsid w:val="05E3350B"/>
    <w:rsid w:val="05E824A4"/>
    <w:rsid w:val="05F02086"/>
    <w:rsid w:val="05F46BE0"/>
    <w:rsid w:val="060C7486"/>
    <w:rsid w:val="060E66DB"/>
    <w:rsid w:val="060F49E9"/>
    <w:rsid w:val="06225546"/>
    <w:rsid w:val="06357A7C"/>
    <w:rsid w:val="06381103"/>
    <w:rsid w:val="064318A0"/>
    <w:rsid w:val="0645710E"/>
    <w:rsid w:val="06461BB8"/>
    <w:rsid w:val="06474D78"/>
    <w:rsid w:val="06577EB7"/>
    <w:rsid w:val="067114A6"/>
    <w:rsid w:val="06741073"/>
    <w:rsid w:val="0676436E"/>
    <w:rsid w:val="067B64FD"/>
    <w:rsid w:val="06821A10"/>
    <w:rsid w:val="068939F5"/>
    <w:rsid w:val="06917A3D"/>
    <w:rsid w:val="069301AD"/>
    <w:rsid w:val="06A0447A"/>
    <w:rsid w:val="06A534A0"/>
    <w:rsid w:val="06A878CD"/>
    <w:rsid w:val="06B2254E"/>
    <w:rsid w:val="06B66398"/>
    <w:rsid w:val="06BC38B2"/>
    <w:rsid w:val="06C078AE"/>
    <w:rsid w:val="06C30E0F"/>
    <w:rsid w:val="06C46A3C"/>
    <w:rsid w:val="06C72620"/>
    <w:rsid w:val="06D10D8B"/>
    <w:rsid w:val="06E000B7"/>
    <w:rsid w:val="06E0135B"/>
    <w:rsid w:val="06E14539"/>
    <w:rsid w:val="06EF481A"/>
    <w:rsid w:val="06F11468"/>
    <w:rsid w:val="07270207"/>
    <w:rsid w:val="07275ACF"/>
    <w:rsid w:val="0731537F"/>
    <w:rsid w:val="07351DED"/>
    <w:rsid w:val="0736356E"/>
    <w:rsid w:val="07384EA3"/>
    <w:rsid w:val="073D44C9"/>
    <w:rsid w:val="07405938"/>
    <w:rsid w:val="07442242"/>
    <w:rsid w:val="07480A26"/>
    <w:rsid w:val="074A22BD"/>
    <w:rsid w:val="074B16CA"/>
    <w:rsid w:val="074F0165"/>
    <w:rsid w:val="0756709B"/>
    <w:rsid w:val="07642524"/>
    <w:rsid w:val="076A658C"/>
    <w:rsid w:val="07742B61"/>
    <w:rsid w:val="0775590C"/>
    <w:rsid w:val="07771468"/>
    <w:rsid w:val="07836467"/>
    <w:rsid w:val="0788183C"/>
    <w:rsid w:val="07884F32"/>
    <w:rsid w:val="078B5E0E"/>
    <w:rsid w:val="0793476C"/>
    <w:rsid w:val="0793790F"/>
    <w:rsid w:val="0795132A"/>
    <w:rsid w:val="079671F0"/>
    <w:rsid w:val="07A635F4"/>
    <w:rsid w:val="07A95D9A"/>
    <w:rsid w:val="07B6339D"/>
    <w:rsid w:val="07B73F86"/>
    <w:rsid w:val="07B8312D"/>
    <w:rsid w:val="07B90B07"/>
    <w:rsid w:val="07C475B6"/>
    <w:rsid w:val="07CE4919"/>
    <w:rsid w:val="07D05D20"/>
    <w:rsid w:val="07D9678D"/>
    <w:rsid w:val="07D96A5F"/>
    <w:rsid w:val="07E73D48"/>
    <w:rsid w:val="07F55170"/>
    <w:rsid w:val="07F84EBA"/>
    <w:rsid w:val="07FA4CBB"/>
    <w:rsid w:val="08034A8E"/>
    <w:rsid w:val="08035DA8"/>
    <w:rsid w:val="08072654"/>
    <w:rsid w:val="081B4B84"/>
    <w:rsid w:val="08267F81"/>
    <w:rsid w:val="082B5817"/>
    <w:rsid w:val="08312B60"/>
    <w:rsid w:val="08354D78"/>
    <w:rsid w:val="083C6CDE"/>
    <w:rsid w:val="0848584A"/>
    <w:rsid w:val="084C38DE"/>
    <w:rsid w:val="085C5D71"/>
    <w:rsid w:val="086527CA"/>
    <w:rsid w:val="086756EE"/>
    <w:rsid w:val="087201C0"/>
    <w:rsid w:val="088321AB"/>
    <w:rsid w:val="08884AD4"/>
    <w:rsid w:val="08937714"/>
    <w:rsid w:val="0895627C"/>
    <w:rsid w:val="08A0229A"/>
    <w:rsid w:val="08A204AB"/>
    <w:rsid w:val="08A368BF"/>
    <w:rsid w:val="08AB3DF4"/>
    <w:rsid w:val="08AB7694"/>
    <w:rsid w:val="08AC5272"/>
    <w:rsid w:val="08AE53B4"/>
    <w:rsid w:val="08BA0BD7"/>
    <w:rsid w:val="08BD42AA"/>
    <w:rsid w:val="08BF7B9B"/>
    <w:rsid w:val="08C26A4B"/>
    <w:rsid w:val="08C3383F"/>
    <w:rsid w:val="08C73C71"/>
    <w:rsid w:val="08CB5C73"/>
    <w:rsid w:val="08D00ACC"/>
    <w:rsid w:val="08D234DB"/>
    <w:rsid w:val="08D67F0E"/>
    <w:rsid w:val="08DC0F24"/>
    <w:rsid w:val="08E1265A"/>
    <w:rsid w:val="08EB14D8"/>
    <w:rsid w:val="08F521B9"/>
    <w:rsid w:val="09082AB2"/>
    <w:rsid w:val="090B2CC0"/>
    <w:rsid w:val="0913639D"/>
    <w:rsid w:val="091F2FA4"/>
    <w:rsid w:val="09241E71"/>
    <w:rsid w:val="09304DD5"/>
    <w:rsid w:val="0935152C"/>
    <w:rsid w:val="093777BE"/>
    <w:rsid w:val="093D5E51"/>
    <w:rsid w:val="09445D49"/>
    <w:rsid w:val="095B09F3"/>
    <w:rsid w:val="09640B9E"/>
    <w:rsid w:val="097349AB"/>
    <w:rsid w:val="09787F67"/>
    <w:rsid w:val="098842F7"/>
    <w:rsid w:val="098918B9"/>
    <w:rsid w:val="098C7E5B"/>
    <w:rsid w:val="09962BB1"/>
    <w:rsid w:val="09993D8D"/>
    <w:rsid w:val="09A843BF"/>
    <w:rsid w:val="09AB753D"/>
    <w:rsid w:val="09BF499B"/>
    <w:rsid w:val="09C56974"/>
    <w:rsid w:val="09C66643"/>
    <w:rsid w:val="09CC6F7F"/>
    <w:rsid w:val="09CE4B38"/>
    <w:rsid w:val="09CF19C3"/>
    <w:rsid w:val="09E52B26"/>
    <w:rsid w:val="09E86C3F"/>
    <w:rsid w:val="09F733CD"/>
    <w:rsid w:val="09FA0314"/>
    <w:rsid w:val="0A0103A0"/>
    <w:rsid w:val="0A014F35"/>
    <w:rsid w:val="0A077740"/>
    <w:rsid w:val="0A0A1264"/>
    <w:rsid w:val="0A0A6B8C"/>
    <w:rsid w:val="0A0B72FE"/>
    <w:rsid w:val="0A1A2253"/>
    <w:rsid w:val="0A1A33E2"/>
    <w:rsid w:val="0A1A7DDE"/>
    <w:rsid w:val="0A1B1CA4"/>
    <w:rsid w:val="0A1C0752"/>
    <w:rsid w:val="0A2F06A9"/>
    <w:rsid w:val="0A304C6E"/>
    <w:rsid w:val="0A360794"/>
    <w:rsid w:val="0A366C66"/>
    <w:rsid w:val="0A394C4D"/>
    <w:rsid w:val="0A3C4D5A"/>
    <w:rsid w:val="0A3F1445"/>
    <w:rsid w:val="0A4D6C0C"/>
    <w:rsid w:val="0A5218B4"/>
    <w:rsid w:val="0A562484"/>
    <w:rsid w:val="0A67519E"/>
    <w:rsid w:val="0A69569F"/>
    <w:rsid w:val="0A6B3EB1"/>
    <w:rsid w:val="0A7F5345"/>
    <w:rsid w:val="0A84371E"/>
    <w:rsid w:val="0A852FF3"/>
    <w:rsid w:val="0A8C3AA2"/>
    <w:rsid w:val="0A8C7DB3"/>
    <w:rsid w:val="0A8E66B5"/>
    <w:rsid w:val="0A8F6D6D"/>
    <w:rsid w:val="0A9844A5"/>
    <w:rsid w:val="0A9846F2"/>
    <w:rsid w:val="0A995B48"/>
    <w:rsid w:val="0ABA44E8"/>
    <w:rsid w:val="0ABA7CA1"/>
    <w:rsid w:val="0ABF7A4D"/>
    <w:rsid w:val="0AC02385"/>
    <w:rsid w:val="0AC754FE"/>
    <w:rsid w:val="0AC878D4"/>
    <w:rsid w:val="0AD66994"/>
    <w:rsid w:val="0ADA62E4"/>
    <w:rsid w:val="0ADD4C1F"/>
    <w:rsid w:val="0AF20819"/>
    <w:rsid w:val="0B0A7C6A"/>
    <w:rsid w:val="0B0C542C"/>
    <w:rsid w:val="0B23167F"/>
    <w:rsid w:val="0B2C234D"/>
    <w:rsid w:val="0B2E1954"/>
    <w:rsid w:val="0B2E6C8D"/>
    <w:rsid w:val="0B342903"/>
    <w:rsid w:val="0B385520"/>
    <w:rsid w:val="0B4D26D5"/>
    <w:rsid w:val="0B5429C3"/>
    <w:rsid w:val="0B55319B"/>
    <w:rsid w:val="0B5A6F13"/>
    <w:rsid w:val="0B5B6BF7"/>
    <w:rsid w:val="0B5E55C2"/>
    <w:rsid w:val="0B6508DD"/>
    <w:rsid w:val="0B6B57C1"/>
    <w:rsid w:val="0B7038F5"/>
    <w:rsid w:val="0B807716"/>
    <w:rsid w:val="0B882A1C"/>
    <w:rsid w:val="0B8968D6"/>
    <w:rsid w:val="0B900F2D"/>
    <w:rsid w:val="0B9A6772"/>
    <w:rsid w:val="0B9E4F02"/>
    <w:rsid w:val="0BB639FC"/>
    <w:rsid w:val="0BC33D3F"/>
    <w:rsid w:val="0BC5002C"/>
    <w:rsid w:val="0BC55D2E"/>
    <w:rsid w:val="0BCC3586"/>
    <w:rsid w:val="0BD16F41"/>
    <w:rsid w:val="0BDA6FC5"/>
    <w:rsid w:val="0BEB23E9"/>
    <w:rsid w:val="0BF028EF"/>
    <w:rsid w:val="0BFB3D56"/>
    <w:rsid w:val="0BFB51FA"/>
    <w:rsid w:val="0C0221B0"/>
    <w:rsid w:val="0C136300"/>
    <w:rsid w:val="0C1D5F22"/>
    <w:rsid w:val="0C376B9D"/>
    <w:rsid w:val="0C411665"/>
    <w:rsid w:val="0C5724C2"/>
    <w:rsid w:val="0C5A130E"/>
    <w:rsid w:val="0C5C4CF8"/>
    <w:rsid w:val="0C5E2B48"/>
    <w:rsid w:val="0C6271FD"/>
    <w:rsid w:val="0C67691E"/>
    <w:rsid w:val="0C6A3700"/>
    <w:rsid w:val="0C732A68"/>
    <w:rsid w:val="0C7C6E56"/>
    <w:rsid w:val="0C7F75C0"/>
    <w:rsid w:val="0C81228B"/>
    <w:rsid w:val="0C82391C"/>
    <w:rsid w:val="0C84704C"/>
    <w:rsid w:val="0C847473"/>
    <w:rsid w:val="0C85340A"/>
    <w:rsid w:val="0C8C3B77"/>
    <w:rsid w:val="0C8E5432"/>
    <w:rsid w:val="0C95795F"/>
    <w:rsid w:val="0C982C51"/>
    <w:rsid w:val="0C9A7712"/>
    <w:rsid w:val="0C9B463B"/>
    <w:rsid w:val="0CA008B8"/>
    <w:rsid w:val="0CA01137"/>
    <w:rsid w:val="0CA93D98"/>
    <w:rsid w:val="0CAF044F"/>
    <w:rsid w:val="0CB502BA"/>
    <w:rsid w:val="0CB87A8C"/>
    <w:rsid w:val="0CC14287"/>
    <w:rsid w:val="0CC43CC6"/>
    <w:rsid w:val="0CC5029D"/>
    <w:rsid w:val="0CD535FE"/>
    <w:rsid w:val="0CD908EB"/>
    <w:rsid w:val="0CE45454"/>
    <w:rsid w:val="0CE71CF1"/>
    <w:rsid w:val="0CE73BA1"/>
    <w:rsid w:val="0CE90B7D"/>
    <w:rsid w:val="0CE91C12"/>
    <w:rsid w:val="0CF00141"/>
    <w:rsid w:val="0D072C40"/>
    <w:rsid w:val="0D086DB1"/>
    <w:rsid w:val="0D1409AA"/>
    <w:rsid w:val="0D145E31"/>
    <w:rsid w:val="0D267CC1"/>
    <w:rsid w:val="0D3C0ACB"/>
    <w:rsid w:val="0D44024B"/>
    <w:rsid w:val="0D451CF2"/>
    <w:rsid w:val="0D452452"/>
    <w:rsid w:val="0D484F68"/>
    <w:rsid w:val="0D497643"/>
    <w:rsid w:val="0D4D65F8"/>
    <w:rsid w:val="0D4E728F"/>
    <w:rsid w:val="0D5020E8"/>
    <w:rsid w:val="0D5F10A9"/>
    <w:rsid w:val="0D613D18"/>
    <w:rsid w:val="0D723183"/>
    <w:rsid w:val="0D731E92"/>
    <w:rsid w:val="0D74571C"/>
    <w:rsid w:val="0D7F4AC8"/>
    <w:rsid w:val="0D8E0E3B"/>
    <w:rsid w:val="0D927A7C"/>
    <w:rsid w:val="0D947543"/>
    <w:rsid w:val="0D9B3844"/>
    <w:rsid w:val="0D9D5DCC"/>
    <w:rsid w:val="0DA26DBE"/>
    <w:rsid w:val="0DA34B9E"/>
    <w:rsid w:val="0DA45ACF"/>
    <w:rsid w:val="0DA62C36"/>
    <w:rsid w:val="0DB5152A"/>
    <w:rsid w:val="0DBC28A0"/>
    <w:rsid w:val="0DBE4675"/>
    <w:rsid w:val="0DC061AE"/>
    <w:rsid w:val="0DCF0F43"/>
    <w:rsid w:val="0DD2118D"/>
    <w:rsid w:val="0DD433BA"/>
    <w:rsid w:val="0DD57918"/>
    <w:rsid w:val="0DD758EB"/>
    <w:rsid w:val="0DE767D9"/>
    <w:rsid w:val="0DEC40E2"/>
    <w:rsid w:val="0DF60CE2"/>
    <w:rsid w:val="0DF61776"/>
    <w:rsid w:val="0DFF5BF1"/>
    <w:rsid w:val="0E054689"/>
    <w:rsid w:val="0E066532"/>
    <w:rsid w:val="0E15253A"/>
    <w:rsid w:val="0E1E052D"/>
    <w:rsid w:val="0E2218DF"/>
    <w:rsid w:val="0E272FBA"/>
    <w:rsid w:val="0E2B2714"/>
    <w:rsid w:val="0E2D7488"/>
    <w:rsid w:val="0E374E31"/>
    <w:rsid w:val="0E3E2134"/>
    <w:rsid w:val="0E4A5F3D"/>
    <w:rsid w:val="0E542BE6"/>
    <w:rsid w:val="0E5F4D9B"/>
    <w:rsid w:val="0E657F2F"/>
    <w:rsid w:val="0E6F0423"/>
    <w:rsid w:val="0E736FFC"/>
    <w:rsid w:val="0E7B5815"/>
    <w:rsid w:val="0E7E3D57"/>
    <w:rsid w:val="0E87253C"/>
    <w:rsid w:val="0E93154A"/>
    <w:rsid w:val="0E981B86"/>
    <w:rsid w:val="0EB15B7E"/>
    <w:rsid w:val="0EB35B52"/>
    <w:rsid w:val="0EB61F84"/>
    <w:rsid w:val="0EC64664"/>
    <w:rsid w:val="0ECB0807"/>
    <w:rsid w:val="0ECD30C2"/>
    <w:rsid w:val="0EEE3BC5"/>
    <w:rsid w:val="0EF053FB"/>
    <w:rsid w:val="0EF2447B"/>
    <w:rsid w:val="0EFF558B"/>
    <w:rsid w:val="0F0C05B1"/>
    <w:rsid w:val="0F115C94"/>
    <w:rsid w:val="0F14661A"/>
    <w:rsid w:val="0F1825CE"/>
    <w:rsid w:val="0F187782"/>
    <w:rsid w:val="0F1A772D"/>
    <w:rsid w:val="0F1E6430"/>
    <w:rsid w:val="0F2B1A02"/>
    <w:rsid w:val="0F2B2E1E"/>
    <w:rsid w:val="0F367161"/>
    <w:rsid w:val="0F382BF8"/>
    <w:rsid w:val="0F3B2423"/>
    <w:rsid w:val="0F42089E"/>
    <w:rsid w:val="0F447F3C"/>
    <w:rsid w:val="0F565940"/>
    <w:rsid w:val="0F6E4FDC"/>
    <w:rsid w:val="0F732680"/>
    <w:rsid w:val="0F76580E"/>
    <w:rsid w:val="0F800976"/>
    <w:rsid w:val="0F8A1140"/>
    <w:rsid w:val="0F8A323A"/>
    <w:rsid w:val="0F8F2EE1"/>
    <w:rsid w:val="0F9A43E6"/>
    <w:rsid w:val="0FAE6BF8"/>
    <w:rsid w:val="0FAF6A79"/>
    <w:rsid w:val="0FB515F1"/>
    <w:rsid w:val="0FBE42E8"/>
    <w:rsid w:val="0FC23756"/>
    <w:rsid w:val="0FC36CC3"/>
    <w:rsid w:val="0FC64871"/>
    <w:rsid w:val="0FD01DAF"/>
    <w:rsid w:val="0FD1231B"/>
    <w:rsid w:val="0FD72FDA"/>
    <w:rsid w:val="0FD96036"/>
    <w:rsid w:val="0FE421D8"/>
    <w:rsid w:val="0FFC63EA"/>
    <w:rsid w:val="10041A68"/>
    <w:rsid w:val="100E286E"/>
    <w:rsid w:val="10110F72"/>
    <w:rsid w:val="1017121C"/>
    <w:rsid w:val="101D4F94"/>
    <w:rsid w:val="10214A9B"/>
    <w:rsid w:val="10266ABF"/>
    <w:rsid w:val="10301CCC"/>
    <w:rsid w:val="10322E66"/>
    <w:rsid w:val="103444D3"/>
    <w:rsid w:val="10352A59"/>
    <w:rsid w:val="10396392"/>
    <w:rsid w:val="103C1D05"/>
    <w:rsid w:val="103F5E51"/>
    <w:rsid w:val="10402083"/>
    <w:rsid w:val="10433959"/>
    <w:rsid w:val="104C0003"/>
    <w:rsid w:val="10616A57"/>
    <w:rsid w:val="108475B7"/>
    <w:rsid w:val="10873250"/>
    <w:rsid w:val="108E77B6"/>
    <w:rsid w:val="10915DD2"/>
    <w:rsid w:val="10995B5F"/>
    <w:rsid w:val="109A47D0"/>
    <w:rsid w:val="109E65A9"/>
    <w:rsid w:val="10A54745"/>
    <w:rsid w:val="10AD13E0"/>
    <w:rsid w:val="10C4268B"/>
    <w:rsid w:val="10C51B47"/>
    <w:rsid w:val="10CC42CC"/>
    <w:rsid w:val="10DB56D1"/>
    <w:rsid w:val="10DD3770"/>
    <w:rsid w:val="10DF0D3B"/>
    <w:rsid w:val="10E65A02"/>
    <w:rsid w:val="10E765C4"/>
    <w:rsid w:val="10ED20BB"/>
    <w:rsid w:val="10F218F2"/>
    <w:rsid w:val="10F34812"/>
    <w:rsid w:val="10F60A32"/>
    <w:rsid w:val="11047182"/>
    <w:rsid w:val="11091FDA"/>
    <w:rsid w:val="11092782"/>
    <w:rsid w:val="110A4EDF"/>
    <w:rsid w:val="11160AC9"/>
    <w:rsid w:val="111D15C0"/>
    <w:rsid w:val="112D0CEE"/>
    <w:rsid w:val="11304E0A"/>
    <w:rsid w:val="11322E93"/>
    <w:rsid w:val="11370C6A"/>
    <w:rsid w:val="113E19F6"/>
    <w:rsid w:val="113F6971"/>
    <w:rsid w:val="11432768"/>
    <w:rsid w:val="11445308"/>
    <w:rsid w:val="11551BA2"/>
    <w:rsid w:val="11776C75"/>
    <w:rsid w:val="117F6667"/>
    <w:rsid w:val="11887848"/>
    <w:rsid w:val="118A66A5"/>
    <w:rsid w:val="118B3629"/>
    <w:rsid w:val="118D6D46"/>
    <w:rsid w:val="1196028D"/>
    <w:rsid w:val="119835D6"/>
    <w:rsid w:val="119F5264"/>
    <w:rsid w:val="11A7533F"/>
    <w:rsid w:val="11B502A5"/>
    <w:rsid w:val="11B6307E"/>
    <w:rsid w:val="11C002AC"/>
    <w:rsid w:val="11C10566"/>
    <w:rsid w:val="11C6133D"/>
    <w:rsid w:val="11C82818"/>
    <w:rsid w:val="11CD21FA"/>
    <w:rsid w:val="11D6451E"/>
    <w:rsid w:val="11E00D3B"/>
    <w:rsid w:val="11E81C11"/>
    <w:rsid w:val="11ED0B73"/>
    <w:rsid w:val="11F45CD9"/>
    <w:rsid w:val="120241CC"/>
    <w:rsid w:val="120B2133"/>
    <w:rsid w:val="121C1FD4"/>
    <w:rsid w:val="121C574E"/>
    <w:rsid w:val="121F2D18"/>
    <w:rsid w:val="12247418"/>
    <w:rsid w:val="122C3E80"/>
    <w:rsid w:val="122D444B"/>
    <w:rsid w:val="12412E91"/>
    <w:rsid w:val="12431A68"/>
    <w:rsid w:val="124745F0"/>
    <w:rsid w:val="124D008C"/>
    <w:rsid w:val="1250182D"/>
    <w:rsid w:val="1256790E"/>
    <w:rsid w:val="127908DE"/>
    <w:rsid w:val="12796A51"/>
    <w:rsid w:val="127B229C"/>
    <w:rsid w:val="12873A09"/>
    <w:rsid w:val="12891455"/>
    <w:rsid w:val="128A5F6B"/>
    <w:rsid w:val="128F6BE1"/>
    <w:rsid w:val="12905917"/>
    <w:rsid w:val="129F752C"/>
    <w:rsid w:val="12A021D4"/>
    <w:rsid w:val="12A02384"/>
    <w:rsid w:val="12A0623C"/>
    <w:rsid w:val="12A240B1"/>
    <w:rsid w:val="12A41D02"/>
    <w:rsid w:val="12A4486D"/>
    <w:rsid w:val="12A625E7"/>
    <w:rsid w:val="12AC3D07"/>
    <w:rsid w:val="12B12F0E"/>
    <w:rsid w:val="12BC1AFF"/>
    <w:rsid w:val="12C007AB"/>
    <w:rsid w:val="12C51D74"/>
    <w:rsid w:val="12C65F3A"/>
    <w:rsid w:val="12E5033B"/>
    <w:rsid w:val="12E63402"/>
    <w:rsid w:val="12F3476D"/>
    <w:rsid w:val="12F510D2"/>
    <w:rsid w:val="12F750B1"/>
    <w:rsid w:val="12FE25D2"/>
    <w:rsid w:val="13053015"/>
    <w:rsid w:val="130937CA"/>
    <w:rsid w:val="130C69D5"/>
    <w:rsid w:val="130D08F4"/>
    <w:rsid w:val="13170A8A"/>
    <w:rsid w:val="1317154B"/>
    <w:rsid w:val="13182D52"/>
    <w:rsid w:val="131D231F"/>
    <w:rsid w:val="1323275A"/>
    <w:rsid w:val="1326649A"/>
    <w:rsid w:val="13271403"/>
    <w:rsid w:val="132B255B"/>
    <w:rsid w:val="13382F8D"/>
    <w:rsid w:val="13383AFE"/>
    <w:rsid w:val="134242C3"/>
    <w:rsid w:val="13434FC8"/>
    <w:rsid w:val="1347363B"/>
    <w:rsid w:val="13473863"/>
    <w:rsid w:val="13475460"/>
    <w:rsid w:val="134D6163"/>
    <w:rsid w:val="13527A51"/>
    <w:rsid w:val="135B67F9"/>
    <w:rsid w:val="135F0038"/>
    <w:rsid w:val="13644554"/>
    <w:rsid w:val="136D63F1"/>
    <w:rsid w:val="13726277"/>
    <w:rsid w:val="13730502"/>
    <w:rsid w:val="137830F5"/>
    <w:rsid w:val="137D4341"/>
    <w:rsid w:val="1388309B"/>
    <w:rsid w:val="138D4D9F"/>
    <w:rsid w:val="138D61D0"/>
    <w:rsid w:val="139B09D7"/>
    <w:rsid w:val="13A02124"/>
    <w:rsid w:val="13A742C0"/>
    <w:rsid w:val="13A74EC1"/>
    <w:rsid w:val="13AA046C"/>
    <w:rsid w:val="13AB3B7D"/>
    <w:rsid w:val="13AD3DF5"/>
    <w:rsid w:val="13B60703"/>
    <w:rsid w:val="13B80FE1"/>
    <w:rsid w:val="13BB2F48"/>
    <w:rsid w:val="13D64A14"/>
    <w:rsid w:val="13DA214E"/>
    <w:rsid w:val="13E77870"/>
    <w:rsid w:val="13EB1A67"/>
    <w:rsid w:val="13F246EB"/>
    <w:rsid w:val="13F51F75"/>
    <w:rsid w:val="14024CF7"/>
    <w:rsid w:val="140C11DB"/>
    <w:rsid w:val="140E3EE9"/>
    <w:rsid w:val="14142ACB"/>
    <w:rsid w:val="14142FD6"/>
    <w:rsid w:val="142577AF"/>
    <w:rsid w:val="142B3FDF"/>
    <w:rsid w:val="142B7528"/>
    <w:rsid w:val="14321E1F"/>
    <w:rsid w:val="143A0226"/>
    <w:rsid w:val="143F5378"/>
    <w:rsid w:val="14410493"/>
    <w:rsid w:val="14444DAA"/>
    <w:rsid w:val="144E157F"/>
    <w:rsid w:val="14646DC3"/>
    <w:rsid w:val="146F64AE"/>
    <w:rsid w:val="14736E3D"/>
    <w:rsid w:val="14783434"/>
    <w:rsid w:val="147F3BFC"/>
    <w:rsid w:val="14805B02"/>
    <w:rsid w:val="14975490"/>
    <w:rsid w:val="14A277C7"/>
    <w:rsid w:val="14B0562E"/>
    <w:rsid w:val="14B92052"/>
    <w:rsid w:val="14BA55C2"/>
    <w:rsid w:val="14BE36BB"/>
    <w:rsid w:val="14BE609A"/>
    <w:rsid w:val="14BF130C"/>
    <w:rsid w:val="14C43669"/>
    <w:rsid w:val="14CB278B"/>
    <w:rsid w:val="14CD16B0"/>
    <w:rsid w:val="14CE1448"/>
    <w:rsid w:val="14CE3B12"/>
    <w:rsid w:val="14D13243"/>
    <w:rsid w:val="14D85538"/>
    <w:rsid w:val="14D85BE3"/>
    <w:rsid w:val="14DB2E34"/>
    <w:rsid w:val="14DF7426"/>
    <w:rsid w:val="14EE7200"/>
    <w:rsid w:val="14EF4905"/>
    <w:rsid w:val="14F510D5"/>
    <w:rsid w:val="14FB3DFF"/>
    <w:rsid w:val="14FC1022"/>
    <w:rsid w:val="14FE2971"/>
    <w:rsid w:val="1502257D"/>
    <w:rsid w:val="150D75A7"/>
    <w:rsid w:val="15122C76"/>
    <w:rsid w:val="15154CE1"/>
    <w:rsid w:val="15162F63"/>
    <w:rsid w:val="15166140"/>
    <w:rsid w:val="151A6DF8"/>
    <w:rsid w:val="151B34E5"/>
    <w:rsid w:val="151C7D64"/>
    <w:rsid w:val="152371C8"/>
    <w:rsid w:val="152C3146"/>
    <w:rsid w:val="1531585C"/>
    <w:rsid w:val="15346B09"/>
    <w:rsid w:val="153513E3"/>
    <w:rsid w:val="1536564C"/>
    <w:rsid w:val="15367D78"/>
    <w:rsid w:val="15386D7C"/>
    <w:rsid w:val="154064F6"/>
    <w:rsid w:val="1551263A"/>
    <w:rsid w:val="15553679"/>
    <w:rsid w:val="15597E17"/>
    <w:rsid w:val="155D1F6F"/>
    <w:rsid w:val="156069EA"/>
    <w:rsid w:val="15644B35"/>
    <w:rsid w:val="15685B3C"/>
    <w:rsid w:val="15734F4D"/>
    <w:rsid w:val="15766CE2"/>
    <w:rsid w:val="1577607A"/>
    <w:rsid w:val="1581029C"/>
    <w:rsid w:val="15810B04"/>
    <w:rsid w:val="1587445C"/>
    <w:rsid w:val="158B2F30"/>
    <w:rsid w:val="158C12F3"/>
    <w:rsid w:val="15937F09"/>
    <w:rsid w:val="159B446E"/>
    <w:rsid w:val="159D5F80"/>
    <w:rsid w:val="15A06933"/>
    <w:rsid w:val="15A30656"/>
    <w:rsid w:val="15A42C52"/>
    <w:rsid w:val="15A63FC8"/>
    <w:rsid w:val="15AE4C6D"/>
    <w:rsid w:val="15C00962"/>
    <w:rsid w:val="15C41A36"/>
    <w:rsid w:val="15CA7367"/>
    <w:rsid w:val="15D127E0"/>
    <w:rsid w:val="15D556FF"/>
    <w:rsid w:val="15E004F9"/>
    <w:rsid w:val="15F22001"/>
    <w:rsid w:val="15F43EC0"/>
    <w:rsid w:val="15F61E87"/>
    <w:rsid w:val="15FC2382"/>
    <w:rsid w:val="16010973"/>
    <w:rsid w:val="160329CA"/>
    <w:rsid w:val="16121FDB"/>
    <w:rsid w:val="161752BE"/>
    <w:rsid w:val="16177ACE"/>
    <w:rsid w:val="16181616"/>
    <w:rsid w:val="161B2936"/>
    <w:rsid w:val="16215E6F"/>
    <w:rsid w:val="162160A3"/>
    <w:rsid w:val="162246AE"/>
    <w:rsid w:val="16226475"/>
    <w:rsid w:val="16291735"/>
    <w:rsid w:val="16327E1F"/>
    <w:rsid w:val="163533E7"/>
    <w:rsid w:val="16366BF4"/>
    <w:rsid w:val="1638522F"/>
    <w:rsid w:val="16392049"/>
    <w:rsid w:val="163F7EF2"/>
    <w:rsid w:val="16485050"/>
    <w:rsid w:val="164D1ACD"/>
    <w:rsid w:val="164D6A08"/>
    <w:rsid w:val="165203F1"/>
    <w:rsid w:val="16526637"/>
    <w:rsid w:val="16536BC9"/>
    <w:rsid w:val="165B60CE"/>
    <w:rsid w:val="166221ED"/>
    <w:rsid w:val="1663761D"/>
    <w:rsid w:val="16660F3A"/>
    <w:rsid w:val="16686DEB"/>
    <w:rsid w:val="166A0727"/>
    <w:rsid w:val="166A57AF"/>
    <w:rsid w:val="166C4046"/>
    <w:rsid w:val="166D11F1"/>
    <w:rsid w:val="167317FF"/>
    <w:rsid w:val="16756C2F"/>
    <w:rsid w:val="168A4F00"/>
    <w:rsid w:val="168B02B1"/>
    <w:rsid w:val="1690616B"/>
    <w:rsid w:val="169B4D84"/>
    <w:rsid w:val="169B6CB5"/>
    <w:rsid w:val="169C381D"/>
    <w:rsid w:val="169C57DF"/>
    <w:rsid w:val="16AC02F7"/>
    <w:rsid w:val="16B14CCF"/>
    <w:rsid w:val="16B7342E"/>
    <w:rsid w:val="16BF1550"/>
    <w:rsid w:val="16C32B7F"/>
    <w:rsid w:val="16C41AFF"/>
    <w:rsid w:val="16C71627"/>
    <w:rsid w:val="16C724CD"/>
    <w:rsid w:val="16D51ECB"/>
    <w:rsid w:val="16E75B73"/>
    <w:rsid w:val="16F62265"/>
    <w:rsid w:val="16F818E2"/>
    <w:rsid w:val="16F93DF3"/>
    <w:rsid w:val="16FB104D"/>
    <w:rsid w:val="16FE1447"/>
    <w:rsid w:val="17073839"/>
    <w:rsid w:val="170C7EBF"/>
    <w:rsid w:val="170E771F"/>
    <w:rsid w:val="171268E1"/>
    <w:rsid w:val="1717391A"/>
    <w:rsid w:val="171A50B9"/>
    <w:rsid w:val="171D5C7F"/>
    <w:rsid w:val="172109EF"/>
    <w:rsid w:val="17271087"/>
    <w:rsid w:val="17287294"/>
    <w:rsid w:val="17287C95"/>
    <w:rsid w:val="172B5831"/>
    <w:rsid w:val="17376C71"/>
    <w:rsid w:val="173B68E7"/>
    <w:rsid w:val="17400A62"/>
    <w:rsid w:val="17424CC3"/>
    <w:rsid w:val="17435C3D"/>
    <w:rsid w:val="17441E4E"/>
    <w:rsid w:val="174567DF"/>
    <w:rsid w:val="17485746"/>
    <w:rsid w:val="17581E57"/>
    <w:rsid w:val="175910B8"/>
    <w:rsid w:val="175B6263"/>
    <w:rsid w:val="175E705D"/>
    <w:rsid w:val="17642B3B"/>
    <w:rsid w:val="17713636"/>
    <w:rsid w:val="17762DDE"/>
    <w:rsid w:val="177B1838"/>
    <w:rsid w:val="17843B40"/>
    <w:rsid w:val="17893B70"/>
    <w:rsid w:val="178C490D"/>
    <w:rsid w:val="179917E0"/>
    <w:rsid w:val="17AF2B05"/>
    <w:rsid w:val="17B70B1C"/>
    <w:rsid w:val="17BC2905"/>
    <w:rsid w:val="17BD68E8"/>
    <w:rsid w:val="17C13D82"/>
    <w:rsid w:val="17C96BC1"/>
    <w:rsid w:val="17CA5765"/>
    <w:rsid w:val="17CB474F"/>
    <w:rsid w:val="17CD3B0D"/>
    <w:rsid w:val="17D44F9C"/>
    <w:rsid w:val="17D842C3"/>
    <w:rsid w:val="17DF30F2"/>
    <w:rsid w:val="17EB0152"/>
    <w:rsid w:val="17F15D42"/>
    <w:rsid w:val="17F41E63"/>
    <w:rsid w:val="17F43359"/>
    <w:rsid w:val="17F43862"/>
    <w:rsid w:val="17F82872"/>
    <w:rsid w:val="17FE28B6"/>
    <w:rsid w:val="180325D4"/>
    <w:rsid w:val="180A21E8"/>
    <w:rsid w:val="18163697"/>
    <w:rsid w:val="181C120B"/>
    <w:rsid w:val="182217D4"/>
    <w:rsid w:val="18261E07"/>
    <w:rsid w:val="183D7238"/>
    <w:rsid w:val="18410996"/>
    <w:rsid w:val="18470D81"/>
    <w:rsid w:val="184848E8"/>
    <w:rsid w:val="1850260D"/>
    <w:rsid w:val="185F223A"/>
    <w:rsid w:val="186744A5"/>
    <w:rsid w:val="187270E0"/>
    <w:rsid w:val="187B1D00"/>
    <w:rsid w:val="18844D8B"/>
    <w:rsid w:val="1889314B"/>
    <w:rsid w:val="188B40FB"/>
    <w:rsid w:val="188B5513"/>
    <w:rsid w:val="18910DB5"/>
    <w:rsid w:val="18914742"/>
    <w:rsid w:val="189C4136"/>
    <w:rsid w:val="189D46FA"/>
    <w:rsid w:val="189F4384"/>
    <w:rsid w:val="18A33A60"/>
    <w:rsid w:val="18A46B86"/>
    <w:rsid w:val="18B856D7"/>
    <w:rsid w:val="18BF4A12"/>
    <w:rsid w:val="18C35228"/>
    <w:rsid w:val="18C50479"/>
    <w:rsid w:val="18E076DA"/>
    <w:rsid w:val="18E83B37"/>
    <w:rsid w:val="18EF7891"/>
    <w:rsid w:val="18F53AF0"/>
    <w:rsid w:val="1903156F"/>
    <w:rsid w:val="19093A08"/>
    <w:rsid w:val="190D3863"/>
    <w:rsid w:val="19225477"/>
    <w:rsid w:val="192348F7"/>
    <w:rsid w:val="1925510E"/>
    <w:rsid w:val="19262D20"/>
    <w:rsid w:val="19272691"/>
    <w:rsid w:val="192B1F9A"/>
    <w:rsid w:val="19353DD2"/>
    <w:rsid w:val="193E7A58"/>
    <w:rsid w:val="194A1C6F"/>
    <w:rsid w:val="195B763F"/>
    <w:rsid w:val="19600C29"/>
    <w:rsid w:val="19613CA5"/>
    <w:rsid w:val="19642AFF"/>
    <w:rsid w:val="19676146"/>
    <w:rsid w:val="19691E6F"/>
    <w:rsid w:val="196C2D55"/>
    <w:rsid w:val="19745D23"/>
    <w:rsid w:val="19883823"/>
    <w:rsid w:val="19906C59"/>
    <w:rsid w:val="19994F85"/>
    <w:rsid w:val="19A707FF"/>
    <w:rsid w:val="19AF28C5"/>
    <w:rsid w:val="19C13959"/>
    <w:rsid w:val="19D201D4"/>
    <w:rsid w:val="19D54780"/>
    <w:rsid w:val="19D7590E"/>
    <w:rsid w:val="19DA4A50"/>
    <w:rsid w:val="19DA732E"/>
    <w:rsid w:val="19DC10E7"/>
    <w:rsid w:val="19E23981"/>
    <w:rsid w:val="1A033033"/>
    <w:rsid w:val="1A034649"/>
    <w:rsid w:val="1A084E9B"/>
    <w:rsid w:val="1A0C7AB0"/>
    <w:rsid w:val="1A0D3210"/>
    <w:rsid w:val="1A1C2410"/>
    <w:rsid w:val="1A20575E"/>
    <w:rsid w:val="1A222D4B"/>
    <w:rsid w:val="1A227C18"/>
    <w:rsid w:val="1A2451BE"/>
    <w:rsid w:val="1A281CA2"/>
    <w:rsid w:val="1A2C54F5"/>
    <w:rsid w:val="1A3C722E"/>
    <w:rsid w:val="1A45379D"/>
    <w:rsid w:val="1A472A61"/>
    <w:rsid w:val="1A567AF7"/>
    <w:rsid w:val="1A5E0A57"/>
    <w:rsid w:val="1A5E4B92"/>
    <w:rsid w:val="1A62111C"/>
    <w:rsid w:val="1A6F4BDB"/>
    <w:rsid w:val="1A7F5DB2"/>
    <w:rsid w:val="1A895B6C"/>
    <w:rsid w:val="1A8B2023"/>
    <w:rsid w:val="1A8B7DE9"/>
    <w:rsid w:val="1A97226F"/>
    <w:rsid w:val="1A9972CF"/>
    <w:rsid w:val="1A9A698F"/>
    <w:rsid w:val="1A9E3C0E"/>
    <w:rsid w:val="1AA078D3"/>
    <w:rsid w:val="1AAB3DA7"/>
    <w:rsid w:val="1AAB4B24"/>
    <w:rsid w:val="1AB42C83"/>
    <w:rsid w:val="1AB6247A"/>
    <w:rsid w:val="1AB94352"/>
    <w:rsid w:val="1AB95979"/>
    <w:rsid w:val="1ABF030E"/>
    <w:rsid w:val="1ACE10B7"/>
    <w:rsid w:val="1AE35E9E"/>
    <w:rsid w:val="1AEF19A1"/>
    <w:rsid w:val="1AF12926"/>
    <w:rsid w:val="1AF21F54"/>
    <w:rsid w:val="1AFB5500"/>
    <w:rsid w:val="1B0B2E25"/>
    <w:rsid w:val="1B0D2098"/>
    <w:rsid w:val="1B0E7B27"/>
    <w:rsid w:val="1B10652B"/>
    <w:rsid w:val="1B12336C"/>
    <w:rsid w:val="1B19773F"/>
    <w:rsid w:val="1B1A19A0"/>
    <w:rsid w:val="1B1F09C4"/>
    <w:rsid w:val="1B38097D"/>
    <w:rsid w:val="1B455622"/>
    <w:rsid w:val="1B5059B2"/>
    <w:rsid w:val="1B61490C"/>
    <w:rsid w:val="1B680069"/>
    <w:rsid w:val="1B6C3A95"/>
    <w:rsid w:val="1B6D5612"/>
    <w:rsid w:val="1B77663C"/>
    <w:rsid w:val="1B791A36"/>
    <w:rsid w:val="1B7D15EF"/>
    <w:rsid w:val="1B8B2111"/>
    <w:rsid w:val="1B956879"/>
    <w:rsid w:val="1BAA636E"/>
    <w:rsid w:val="1BCE2A0B"/>
    <w:rsid w:val="1BCE59BF"/>
    <w:rsid w:val="1BCF60F9"/>
    <w:rsid w:val="1BD15A8D"/>
    <w:rsid w:val="1BD17F38"/>
    <w:rsid w:val="1BDB6643"/>
    <w:rsid w:val="1BEC7681"/>
    <w:rsid w:val="1BED27D2"/>
    <w:rsid w:val="1C041E1A"/>
    <w:rsid w:val="1C1B3BD7"/>
    <w:rsid w:val="1C1D4C47"/>
    <w:rsid w:val="1C1E57D4"/>
    <w:rsid w:val="1C2232A3"/>
    <w:rsid w:val="1C2C1437"/>
    <w:rsid w:val="1C2C42E4"/>
    <w:rsid w:val="1C2D25B3"/>
    <w:rsid w:val="1C30011A"/>
    <w:rsid w:val="1C400B4B"/>
    <w:rsid w:val="1C4162EF"/>
    <w:rsid w:val="1C4935FA"/>
    <w:rsid w:val="1C554D50"/>
    <w:rsid w:val="1C63197D"/>
    <w:rsid w:val="1C710898"/>
    <w:rsid w:val="1C72354E"/>
    <w:rsid w:val="1C783DD5"/>
    <w:rsid w:val="1C7B04A6"/>
    <w:rsid w:val="1C83353D"/>
    <w:rsid w:val="1C87649F"/>
    <w:rsid w:val="1C8C1FF7"/>
    <w:rsid w:val="1C932024"/>
    <w:rsid w:val="1C942D66"/>
    <w:rsid w:val="1C9773C9"/>
    <w:rsid w:val="1CA72607"/>
    <w:rsid w:val="1CA742DB"/>
    <w:rsid w:val="1CA90CBE"/>
    <w:rsid w:val="1CAE19B3"/>
    <w:rsid w:val="1CAE373E"/>
    <w:rsid w:val="1CB12297"/>
    <w:rsid w:val="1CB25367"/>
    <w:rsid w:val="1CB83886"/>
    <w:rsid w:val="1CBC2EA7"/>
    <w:rsid w:val="1CD72468"/>
    <w:rsid w:val="1CE92BC7"/>
    <w:rsid w:val="1CEB1FA4"/>
    <w:rsid w:val="1CEE37F2"/>
    <w:rsid w:val="1CF636B4"/>
    <w:rsid w:val="1CF67D76"/>
    <w:rsid w:val="1CF87360"/>
    <w:rsid w:val="1CF96659"/>
    <w:rsid w:val="1CFD69BF"/>
    <w:rsid w:val="1D00128D"/>
    <w:rsid w:val="1D011EA3"/>
    <w:rsid w:val="1D0A0335"/>
    <w:rsid w:val="1D0F79C4"/>
    <w:rsid w:val="1D152D18"/>
    <w:rsid w:val="1D1A0288"/>
    <w:rsid w:val="1D1A2EF3"/>
    <w:rsid w:val="1D1D0F66"/>
    <w:rsid w:val="1D1E618D"/>
    <w:rsid w:val="1D216FC3"/>
    <w:rsid w:val="1D3509E3"/>
    <w:rsid w:val="1D3520B2"/>
    <w:rsid w:val="1D3A6548"/>
    <w:rsid w:val="1D4D7134"/>
    <w:rsid w:val="1D537ECD"/>
    <w:rsid w:val="1D580599"/>
    <w:rsid w:val="1D6318C5"/>
    <w:rsid w:val="1D73291A"/>
    <w:rsid w:val="1D737860"/>
    <w:rsid w:val="1D740B83"/>
    <w:rsid w:val="1D7424C2"/>
    <w:rsid w:val="1D7468F2"/>
    <w:rsid w:val="1D746D61"/>
    <w:rsid w:val="1D7A2003"/>
    <w:rsid w:val="1D823231"/>
    <w:rsid w:val="1D83026D"/>
    <w:rsid w:val="1D876857"/>
    <w:rsid w:val="1D886C89"/>
    <w:rsid w:val="1D8F682E"/>
    <w:rsid w:val="1D9E7E33"/>
    <w:rsid w:val="1DAC62F5"/>
    <w:rsid w:val="1DAD0DC3"/>
    <w:rsid w:val="1DB247C2"/>
    <w:rsid w:val="1DBA0A13"/>
    <w:rsid w:val="1DBB3283"/>
    <w:rsid w:val="1DC25525"/>
    <w:rsid w:val="1DCB1396"/>
    <w:rsid w:val="1DCD4AA9"/>
    <w:rsid w:val="1DD20CFE"/>
    <w:rsid w:val="1DE75C7C"/>
    <w:rsid w:val="1DEE546A"/>
    <w:rsid w:val="1DEE5F53"/>
    <w:rsid w:val="1DF30300"/>
    <w:rsid w:val="1DFB39EC"/>
    <w:rsid w:val="1DFB595E"/>
    <w:rsid w:val="1DFC61D9"/>
    <w:rsid w:val="1DFE116F"/>
    <w:rsid w:val="1DFF5BB1"/>
    <w:rsid w:val="1E016A77"/>
    <w:rsid w:val="1E0339B3"/>
    <w:rsid w:val="1E0662C2"/>
    <w:rsid w:val="1E0C1D69"/>
    <w:rsid w:val="1E0D1F3C"/>
    <w:rsid w:val="1E121D57"/>
    <w:rsid w:val="1E156EEE"/>
    <w:rsid w:val="1E21439A"/>
    <w:rsid w:val="1E2F7AE2"/>
    <w:rsid w:val="1E3E06B3"/>
    <w:rsid w:val="1E3E16E6"/>
    <w:rsid w:val="1E3F20DE"/>
    <w:rsid w:val="1E410A3C"/>
    <w:rsid w:val="1E521EF9"/>
    <w:rsid w:val="1E53145D"/>
    <w:rsid w:val="1E54216D"/>
    <w:rsid w:val="1E565014"/>
    <w:rsid w:val="1E662A72"/>
    <w:rsid w:val="1E6E6AD8"/>
    <w:rsid w:val="1E79483B"/>
    <w:rsid w:val="1E795C22"/>
    <w:rsid w:val="1E7D0B80"/>
    <w:rsid w:val="1E7E6239"/>
    <w:rsid w:val="1E8423B7"/>
    <w:rsid w:val="1E8A0290"/>
    <w:rsid w:val="1E8B797D"/>
    <w:rsid w:val="1E8D2387"/>
    <w:rsid w:val="1E8E6164"/>
    <w:rsid w:val="1E941247"/>
    <w:rsid w:val="1EA4560C"/>
    <w:rsid w:val="1EC412EA"/>
    <w:rsid w:val="1EC45B28"/>
    <w:rsid w:val="1EC63FC0"/>
    <w:rsid w:val="1ECC5D9C"/>
    <w:rsid w:val="1ED344CE"/>
    <w:rsid w:val="1EDC116C"/>
    <w:rsid w:val="1EDF4547"/>
    <w:rsid w:val="1EE81D94"/>
    <w:rsid w:val="1EF36D7D"/>
    <w:rsid w:val="1EF479C7"/>
    <w:rsid w:val="1EFA44B5"/>
    <w:rsid w:val="1EFB2018"/>
    <w:rsid w:val="1EFD4839"/>
    <w:rsid w:val="1EFD6E71"/>
    <w:rsid w:val="1F0C4D63"/>
    <w:rsid w:val="1F1651D3"/>
    <w:rsid w:val="1F1F5DDB"/>
    <w:rsid w:val="1F204EC8"/>
    <w:rsid w:val="1F2866C3"/>
    <w:rsid w:val="1F3F2B50"/>
    <w:rsid w:val="1F4F6750"/>
    <w:rsid w:val="1F534925"/>
    <w:rsid w:val="1F58167E"/>
    <w:rsid w:val="1F5B1ABA"/>
    <w:rsid w:val="1F627701"/>
    <w:rsid w:val="1F6F3A6A"/>
    <w:rsid w:val="1F7A5D90"/>
    <w:rsid w:val="1F7C00BB"/>
    <w:rsid w:val="1F97413A"/>
    <w:rsid w:val="1F9976EF"/>
    <w:rsid w:val="1FA67E51"/>
    <w:rsid w:val="1FAD40E3"/>
    <w:rsid w:val="1FBA42CF"/>
    <w:rsid w:val="1FBEB49B"/>
    <w:rsid w:val="1FC73A0F"/>
    <w:rsid w:val="1FCA35AF"/>
    <w:rsid w:val="1FCA67AB"/>
    <w:rsid w:val="1FD22542"/>
    <w:rsid w:val="1FD601C1"/>
    <w:rsid w:val="1FEB6402"/>
    <w:rsid w:val="20041CD3"/>
    <w:rsid w:val="20042EC1"/>
    <w:rsid w:val="20171B8F"/>
    <w:rsid w:val="2019310B"/>
    <w:rsid w:val="20223440"/>
    <w:rsid w:val="202E1ACF"/>
    <w:rsid w:val="20306E2F"/>
    <w:rsid w:val="20363F0A"/>
    <w:rsid w:val="2038130B"/>
    <w:rsid w:val="20401354"/>
    <w:rsid w:val="206D6682"/>
    <w:rsid w:val="20774AF8"/>
    <w:rsid w:val="20776D38"/>
    <w:rsid w:val="20867C8F"/>
    <w:rsid w:val="20872170"/>
    <w:rsid w:val="208A4691"/>
    <w:rsid w:val="209C0049"/>
    <w:rsid w:val="20A040D2"/>
    <w:rsid w:val="20A261B5"/>
    <w:rsid w:val="20A26218"/>
    <w:rsid w:val="20A46024"/>
    <w:rsid w:val="20A62A22"/>
    <w:rsid w:val="20AA2118"/>
    <w:rsid w:val="20AC2551"/>
    <w:rsid w:val="20B20591"/>
    <w:rsid w:val="20B65344"/>
    <w:rsid w:val="20BE4A96"/>
    <w:rsid w:val="20E118FD"/>
    <w:rsid w:val="20E76943"/>
    <w:rsid w:val="20ED6EA0"/>
    <w:rsid w:val="20EF7E20"/>
    <w:rsid w:val="20F46083"/>
    <w:rsid w:val="20F87251"/>
    <w:rsid w:val="20FB1421"/>
    <w:rsid w:val="20FC4085"/>
    <w:rsid w:val="21034009"/>
    <w:rsid w:val="21090976"/>
    <w:rsid w:val="210A62F9"/>
    <w:rsid w:val="21111086"/>
    <w:rsid w:val="21140266"/>
    <w:rsid w:val="21163E2A"/>
    <w:rsid w:val="21214B9B"/>
    <w:rsid w:val="21225187"/>
    <w:rsid w:val="212472C1"/>
    <w:rsid w:val="212645C3"/>
    <w:rsid w:val="2127147D"/>
    <w:rsid w:val="21355E76"/>
    <w:rsid w:val="213859FC"/>
    <w:rsid w:val="214435D7"/>
    <w:rsid w:val="214461AB"/>
    <w:rsid w:val="215328CB"/>
    <w:rsid w:val="216201A4"/>
    <w:rsid w:val="21704FB8"/>
    <w:rsid w:val="217830AD"/>
    <w:rsid w:val="217E5857"/>
    <w:rsid w:val="218237FD"/>
    <w:rsid w:val="21862497"/>
    <w:rsid w:val="219E230B"/>
    <w:rsid w:val="21A950E4"/>
    <w:rsid w:val="21AF1FEE"/>
    <w:rsid w:val="21AF7A78"/>
    <w:rsid w:val="21B51BC7"/>
    <w:rsid w:val="21B564FD"/>
    <w:rsid w:val="21B96AE7"/>
    <w:rsid w:val="21BB092F"/>
    <w:rsid w:val="21BB7D03"/>
    <w:rsid w:val="21BC617F"/>
    <w:rsid w:val="21DF73A8"/>
    <w:rsid w:val="21E14B5A"/>
    <w:rsid w:val="21E67937"/>
    <w:rsid w:val="21EA0844"/>
    <w:rsid w:val="21EB2796"/>
    <w:rsid w:val="21FC25B1"/>
    <w:rsid w:val="21FC372F"/>
    <w:rsid w:val="22024DC0"/>
    <w:rsid w:val="2204219A"/>
    <w:rsid w:val="220E2455"/>
    <w:rsid w:val="220E7179"/>
    <w:rsid w:val="221376C1"/>
    <w:rsid w:val="221C0454"/>
    <w:rsid w:val="22213A38"/>
    <w:rsid w:val="222479CA"/>
    <w:rsid w:val="22257F4C"/>
    <w:rsid w:val="22261CA6"/>
    <w:rsid w:val="22294F49"/>
    <w:rsid w:val="22320154"/>
    <w:rsid w:val="22353CEB"/>
    <w:rsid w:val="223A2AD8"/>
    <w:rsid w:val="223C34B6"/>
    <w:rsid w:val="22424DE0"/>
    <w:rsid w:val="22451F76"/>
    <w:rsid w:val="22455FCC"/>
    <w:rsid w:val="224602F7"/>
    <w:rsid w:val="22496E3E"/>
    <w:rsid w:val="22513509"/>
    <w:rsid w:val="225557DA"/>
    <w:rsid w:val="225C5A69"/>
    <w:rsid w:val="226A3D5C"/>
    <w:rsid w:val="226B735C"/>
    <w:rsid w:val="226D6B31"/>
    <w:rsid w:val="226F0A4E"/>
    <w:rsid w:val="226F62B9"/>
    <w:rsid w:val="227B6459"/>
    <w:rsid w:val="227B6F04"/>
    <w:rsid w:val="228215C4"/>
    <w:rsid w:val="22822650"/>
    <w:rsid w:val="22873597"/>
    <w:rsid w:val="22960CAF"/>
    <w:rsid w:val="22A41BB7"/>
    <w:rsid w:val="22AA2593"/>
    <w:rsid w:val="22B064CB"/>
    <w:rsid w:val="22B83EA8"/>
    <w:rsid w:val="22B8608A"/>
    <w:rsid w:val="22BB7D90"/>
    <w:rsid w:val="22C6065C"/>
    <w:rsid w:val="22CD32A9"/>
    <w:rsid w:val="22CE21CB"/>
    <w:rsid w:val="22CF41C3"/>
    <w:rsid w:val="22D17A88"/>
    <w:rsid w:val="22D30F4F"/>
    <w:rsid w:val="22D97633"/>
    <w:rsid w:val="22E63777"/>
    <w:rsid w:val="22EF503E"/>
    <w:rsid w:val="22F70A3F"/>
    <w:rsid w:val="22F73A7A"/>
    <w:rsid w:val="23051D71"/>
    <w:rsid w:val="230A6BE4"/>
    <w:rsid w:val="231255AA"/>
    <w:rsid w:val="23236287"/>
    <w:rsid w:val="232C1AE4"/>
    <w:rsid w:val="232D301C"/>
    <w:rsid w:val="23304156"/>
    <w:rsid w:val="23321383"/>
    <w:rsid w:val="233C1B68"/>
    <w:rsid w:val="233E78F0"/>
    <w:rsid w:val="234260C5"/>
    <w:rsid w:val="23496FB2"/>
    <w:rsid w:val="234F55FD"/>
    <w:rsid w:val="235267CF"/>
    <w:rsid w:val="23530E13"/>
    <w:rsid w:val="23563003"/>
    <w:rsid w:val="235B12A5"/>
    <w:rsid w:val="23684A52"/>
    <w:rsid w:val="23704524"/>
    <w:rsid w:val="23730BE8"/>
    <w:rsid w:val="23752469"/>
    <w:rsid w:val="237D026F"/>
    <w:rsid w:val="23867F19"/>
    <w:rsid w:val="239362F2"/>
    <w:rsid w:val="23A1606D"/>
    <w:rsid w:val="23A261BF"/>
    <w:rsid w:val="23AB1E16"/>
    <w:rsid w:val="23B02A3C"/>
    <w:rsid w:val="23B80CC8"/>
    <w:rsid w:val="23BD6E2E"/>
    <w:rsid w:val="23C25868"/>
    <w:rsid w:val="23D04EC3"/>
    <w:rsid w:val="23D239C7"/>
    <w:rsid w:val="23D25CEE"/>
    <w:rsid w:val="23D5262F"/>
    <w:rsid w:val="23D82DF1"/>
    <w:rsid w:val="23DD439B"/>
    <w:rsid w:val="23E22D5C"/>
    <w:rsid w:val="23E44BFD"/>
    <w:rsid w:val="23F1062A"/>
    <w:rsid w:val="23F143D0"/>
    <w:rsid w:val="23FC229A"/>
    <w:rsid w:val="24005886"/>
    <w:rsid w:val="24024243"/>
    <w:rsid w:val="24063B7D"/>
    <w:rsid w:val="24103AC8"/>
    <w:rsid w:val="24192AA2"/>
    <w:rsid w:val="241A3EEB"/>
    <w:rsid w:val="24225643"/>
    <w:rsid w:val="24271505"/>
    <w:rsid w:val="242A2BC9"/>
    <w:rsid w:val="242C2EAA"/>
    <w:rsid w:val="242D72C0"/>
    <w:rsid w:val="24347DA0"/>
    <w:rsid w:val="24412D38"/>
    <w:rsid w:val="24487596"/>
    <w:rsid w:val="244A4FCD"/>
    <w:rsid w:val="24504937"/>
    <w:rsid w:val="24524C3D"/>
    <w:rsid w:val="245B0676"/>
    <w:rsid w:val="245C5DC3"/>
    <w:rsid w:val="24647F4F"/>
    <w:rsid w:val="247A56B7"/>
    <w:rsid w:val="247C729F"/>
    <w:rsid w:val="24860685"/>
    <w:rsid w:val="249128B6"/>
    <w:rsid w:val="24915022"/>
    <w:rsid w:val="24927F7C"/>
    <w:rsid w:val="249A56B9"/>
    <w:rsid w:val="249F5E3D"/>
    <w:rsid w:val="24BF7B92"/>
    <w:rsid w:val="24C23194"/>
    <w:rsid w:val="24C45D87"/>
    <w:rsid w:val="24C61B29"/>
    <w:rsid w:val="24C67C89"/>
    <w:rsid w:val="24CC7D79"/>
    <w:rsid w:val="24CF4094"/>
    <w:rsid w:val="24D35992"/>
    <w:rsid w:val="24DE2D94"/>
    <w:rsid w:val="24E4002A"/>
    <w:rsid w:val="24F02577"/>
    <w:rsid w:val="24F60109"/>
    <w:rsid w:val="24FB74DF"/>
    <w:rsid w:val="25006771"/>
    <w:rsid w:val="25047989"/>
    <w:rsid w:val="250637FF"/>
    <w:rsid w:val="251511B0"/>
    <w:rsid w:val="25226783"/>
    <w:rsid w:val="25237927"/>
    <w:rsid w:val="25255581"/>
    <w:rsid w:val="252A49D2"/>
    <w:rsid w:val="253016D3"/>
    <w:rsid w:val="25344017"/>
    <w:rsid w:val="25391DBE"/>
    <w:rsid w:val="253A5AEC"/>
    <w:rsid w:val="253F3D3F"/>
    <w:rsid w:val="254B2A90"/>
    <w:rsid w:val="256626F4"/>
    <w:rsid w:val="256A14C4"/>
    <w:rsid w:val="257E483F"/>
    <w:rsid w:val="25801EAC"/>
    <w:rsid w:val="258319B6"/>
    <w:rsid w:val="258C3ADE"/>
    <w:rsid w:val="258E410D"/>
    <w:rsid w:val="25911149"/>
    <w:rsid w:val="25936C1C"/>
    <w:rsid w:val="25937FAF"/>
    <w:rsid w:val="25952B38"/>
    <w:rsid w:val="25991FFF"/>
    <w:rsid w:val="25997D97"/>
    <w:rsid w:val="25A633A9"/>
    <w:rsid w:val="25AB6950"/>
    <w:rsid w:val="25AE3D90"/>
    <w:rsid w:val="25AF0A0E"/>
    <w:rsid w:val="25B06E17"/>
    <w:rsid w:val="25B356F8"/>
    <w:rsid w:val="25C30AB8"/>
    <w:rsid w:val="25C43A1F"/>
    <w:rsid w:val="25D019AE"/>
    <w:rsid w:val="25D87700"/>
    <w:rsid w:val="25EB2C6A"/>
    <w:rsid w:val="25EF109C"/>
    <w:rsid w:val="25F32BA6"/>
    <w:rsid w:val="25F624CA"/>
    <w:rsid w:val="25F97D12"/>
    <w:rsid w:val="2608240D"/>
    <w:rsid w:val="260B508D"/>
    <w:rsid w:val="260C3042"/>
    <w:rsid w:val="26196FBD"/>
    <w:rsid w:val="26255256"/>
    <w:rsid w:val="262733E3"/>
    <w:rsid w:val="263110CF"/>
    <w:rsid w:val="26363EDE"/>
    <w:rsid w:val="263918B6"/>
    <w:rsid w:val="263E4B2E"/>
    <w:rsid w:val="26431C9D"/>
    <w:rsid w:val="264B49B7"/>
    <w:rsid w:val="26503628"/>
    <w:rsid w:val="26561E33"/>
    <w:rsid w:val="2656294C"/>
    <w:rsid w:val="265E696D"/>
    <w:rsid w:val="266137F6"/>
    <w:rsid w:val="26621611"/>
    <w:rsid w:val="26642012"/>
    <w:rsid w:val="26663375"/>
    <w:rsid w:val="26694C78"/>
    <w:rsid w:val="266D5554"/>
    <w:rsid w:val="267004C6"/>
    <w:rsid w:val="26721947"/>
    <w:rsid w:val="267721FD"/>
    <w:rsid w:val="26775053"/>
    <w:rsid w:val="26863C1F"/>
    <w:rsid w:val="268D2614"/>
    <w:rsid w:val="2691044C"/>
    <w:rsid w:val="269431EC"/>
    <w:rsid w:val="269E48D1"/>
    <w:rsid w:val="26A53FAF"/>
    <w:rsid w:val="26B276ED"/>
    <w:rsid w:val="26B41EAB"/>
    <w:rsid w:val="26BF1EED"/>
    <w:rsid w:val="26C32FA8"/>
    <w:rsid w:val="26CD3E37"/>
    <w:rsid w:val="26CE5B33"/>
    <w:rsid w:val="26D01026"/>
    <w:rsid w:val="26D116FF"/>
    <w:rsid w:val="26D245D2"/>
    <w:rsid w:val="26D40933"/>
    <w:rsid w:val="26D77AEB"/>
    <w:rsid w:val="26DF1B59"/>
    <w:rsid w:val="26E30100"/>
    <w:rsid w:val="26E92B9A"/>
    <w:rsid w:val="26EC3A40"/>
    <w:rsid w:val="26EC4129"/>
    <w:rsid w:val="26EF6D5C"/>
    <w:rsid w:val="26FB2184"/>
    <w:rsid w:val="27072518"/>
    <w:rsid w:val="270A66A3"/>
    <w:rsid w:val="270C7454"/>
    <w:rsid w:val="270E0E5C"/>
    <w:rsid w:val="270F2585"/>
    <w:rsid w:val="27113A91"/>
    <w:rsid w:val="271569F0"/>
    <w:rsid w:val="27214E95"/>
    <w:rsid w:val="272E380C"/>
    <w:rsid w:val="272E72ED"/>
    <w:rsid w:val="273D5BE6"/>
    <w:rsid w:val="273F21BD"/>
    <w:rsid w:val="273F3A77"/>
    <w:rsid w:val="274A1FF8"/>
    <w:rsid w:val="275773E8"/>
    <w:rsid w:val="276324AE"/>
    <w:rsid w:val="27655538"/>
    <w:rsid w:val="27662A78"/>
    <w:rsid w:val="276C5384"/>
    <w:rsid w:val="276E1B15"/>
    <w:rsid w:val="27716DAB"/>
    <w:rsid w:val="27770D64"/>
    <w:rsid w:val="277C1FD8"/>
    <w:rsid w:val="277C317A"/>
    <w:rsid w:val="2788214E"/>
    <w:rsid w:val="278A3397"/>
    <w:rsid w:val="278A4F34"/>
    <w:rsid w:val="2792581D"/>
    <w:rsid w:val="27961113"/>
    <w:rsid w:val="27965B83"/>
    <w:rsid w:val="27972B21"/>
    <w:rsid w:val="279C4EFE"/>
    <w:rsid w:val="27A17A8C"/>
    <w:rsid w:val="27A77228"/>
    <w:rsid w:val="27A81F63"/>
    <w:rsid w:val="27AA11A0"/>
    <w:rsid w:val="27AB1F81"/>
    <w:rsid w:val="27C4580D"/>
    <w:rsid w:val="27CA212F"/>
    <w:rsid w:val="27CC024F"/>
    <w:rsid w:val="27D417C3"/>
    <w:rsid w:val="27DD2883"/>
    <w:rsid w:val="27E21A5F"/>
    <w:rsid w:val="27E65DF7"/>
    <w:rsid w:val="27E72D97"/>
    <w:rsid w:val="27EA610E"/>
    <w:rsid w:val="27F217F5"/>
    <w:rsid w:val="27F4226E"/>
    <w:rsid w:val="27FF6E5C"/>
    <w:rsid w:val="28006F68"/>
    <w:rsid w:val="28021CB2"/>
    <w:rsid w:val="28051DA9"/>
    <w:rsid w:val="28056708"/>
    <w:rsid w:val="280A38B7"/>
    <w:rsid w:val="2814570E"/>
    <w:rsid w:val="28190237"/>
    <w:rsid w:val="28281479"/>
    <w:rsid w:val="2835591A"/>
    <w:rsid w:val="283703C7"/>
    <w:rsid w:val="28374D14"/>
    <w:rsid w:val="283806A0"/>
    <w:rsid w:val="283B48D2"/>
    <w:rsid w:val="283C00F3"/>
    <w:rsid w:val="2841679B"/>
    <w:rsid w:val="284A7C88"/>
    <w:rsid w:val="284B0B72"/>
    <w:rsid w:val="285E13B1"/>
    <w:rsid w:val="28627132"/>
    <w:rsid w:val="286B5BF5"/>
    <w:rsid w:val="28757D8E"/>
    <w:rsid w:val="2877267A"/>
    <w:rsid w:val="287F6CA0"/>
    <w:rsid w:val="288E178F"/>
    <w:rsid w:val="28995DA5"/>
    <w:rsid w:val="28A07D03"/>
    <w:rsid w:val="28A76CE7"/>
    <w:rsid w:val="28C039B4"/>
    <w:rsid w:val="28C35B96"/>
    <w:rsid w:val="28DD32E7"/>
    <w:rsid w:val="29117D15"/>
    <w:rsid w:val="29152B2E"/>
    <w:rsid w:val="2919405D"/>
    <w:rsid w:val="291C02C1"/>
    <w:rsid w:val="291D18C5"/>
    <w:rsid w:val="29241871"/>
    <w:rsid w:val="29255DAF"/>
    <w:rsid w:val="29297C21"/>
    <w:rsid w:val="292B5E9B"/>
    <w:rsid w:val="2931567B"/>
    <w:rsid w:val="29321C20"/>
    <w:rsid w:val="293A6CD3"/>
    <w:rsid w:val="294237C9"/>
    <w:rsid w:val="294A43C7"/>
    <w:rsid w:val="2951008A"/>
    <w:rsid w:val="295A2F9C"/>
    <w:rsid w:val="296E65D1"/>
    <w:rsid w:val="297039DE"/>
    <w:rsid w:val="29713728"/>
    <w:rsid w:val="29722307"/>
    <w:rsid w:val="2972328C"/>
    <w:rsid w:val="29725426"/>
    <w:rsid w:val="29737B13"/>
    <w:rsid w:val="29760494"/>
    <w:rsid w:val="297936DB"/>
    <w:rsid w:val="297F28DA"/>
    <w:rsid w:val="2981079A"/>
    <w:rsid w:val="29834F6D"/>
    <w:rsid w:val="298A6312"/>
    <w:rsid w:val="299B7DAB"/>
    <w:rsid w:val="29A674D5"/>
    <w:rsid w:val="29A738C2"/>
    <w:rsid w:val="29A92B50"/>
    <w:rsid w:val="29AA69E0"/>
    <w:rsid w:val="29AA6DD1"/>
    <w:rsid w:val="2A02235D"/>
    <w:rsid w:val="2A022C2F"/>
    <w:rsid w:val="2A0E6FE2"/>
    <w:rsid w:val="2A10257F"/>
    <w:rsid w:val="2A152DC9"/>
    <w:rsid w:val="2A1801DD"/>
    <w:rsid w:val="2A253C2E"/>
    <w:rsid w:val="2A266B2C"/>
    <w:rsid w:val="2A3668AA"/>
    <w:rsid w:val="2A3F18EB"/>
    <w:rsid w:val="2A431FE2"/>
    <w:rsid w:val="2A4D375E"/>
    <w:rsid w:val="2A6041CE"/>
    <w:rsid w:val="2A6138D0"/>
    <w:rsid w:val="2A641897"/>
    <w:rsid w:val="2A6422D2"/>
    <w:rsid w:val="2A6546D7"/>
    <w:rsid w:val="2A662639"/>
    <w:rsid w:val="2A6A3C37"/>
    <w:rsid w:val="2A6E5D13"/>
    <w:rsid w:val="2A8F5D94"/>
    <w:rsid w:val="2A907AD8"/>
    <w:rsid w:val="2A992064"/>
    <w:rsid w:val="2A9D331D"/>
    <w:rsid w:val="2A9E22CB"/>
    <w:rsid w:val="2A9E239A"/>
    <w:rsid w:val="2A9F3D68"/>
    <w:rsid w:val="2AA842F4"/>
    <w:rsid w:val="2AAB57DD"/>
    <w:rsid w:val="2AB2420C"/>
    <w:rsid w:val="2AB4708C"/>
    <w:rsid w:val="2ABE0AE2"/>
    <w:rsid w:val="2AC36A30"/>
    <w:rsid w:val="2AD33125"/>
    <w:rsid w:val="2ADD4E58"/>
    <w:rsid w:val="2AF30523"/>
    <w:rsid w:val="2AF364E2"/>
    <w:rsid w:val="2AF53B28"/>
    <w:rsid w:val="2AF64D1D"/>
    <w:rsid w:val="2AF716F4"/>
    <w:rsid w:val="2AFA7B85"/>
    <w:rsid w:val="2B1138D4"/>
    <w:rsid w:val="2B1E549D"/>
    <w:rsid w:val="2B201C1D"/>
    <w:rsid w:val="2B250101"/>
    <w:rsid w:val="2B326E48"/>
    <w:rsid w:val="2B3644D9"/>
    <w:rsid w:val="2B3A6942"/>
    <w:rsid w:val="2B453BEC"/>
    <w:rsid w:val="2B466B14"/>
    <w:rsid w:val="2B51056B"/>
    <w:rsid w:val="2B571F34"/>
    <w:rsid w:val="2B5E7388"/>
    <w:rsid w:val="2B68707F"/>
    <w:rsid w:val="2B6C7699"/>
    <w:rsid w:val="2B723B3D"/>
    <w:rsid w:val="2B7A0728"/>
    <w:rsid w:val="2B7A355C"/>
    <w:rsid w:val="2B7E5F58"/>
    <w:rsid w:val="2B8733E8"/>
    <w:rsid w:val="2B9B6620"/>
    <w:rsid w:val="2BA24592"/>
    <w:rsid w:val="2BA43C4B"/>
    <w:rsid w:val="2BA7503E"/>
    <w:rsid w:val="2BA845A7"/>
    <w:rsid w:val="2BB1047C"/>
    <w:rsid w:val="2BB93B48"/>
    <w:rsid w:val="2BC47440"/>
    <w:rsid w:val="2BC67382"/>
    <w:rsid w:val="2BC81E06"/>
    <w:rsid w:val="2BCD15C4"/>
    <w:rsid w:val="2BD13674"/>
    <w:rsid w:val="2BD37F60"/>
    <w:rsid w:val="2BD9220F"/>
    <w:rsid w:val="2BDD286B"/>
    <w:rsid w:val="2BE049D4"/>
    <w:rsid w:val="2BFF6BC1"/>
    <w:rsid w:val="2C084285"/>
    <w:rsid w:val="2C185D78"/>
    <w:rsid w:val="2C1C4186"/>
    <w:rsid w:val="2C1C46E3"/>
    <w:rsid w:val="2C2F0B49"/>
    <w:rsid w:val="2C391EDA"/>
    <w:rsid w:val="2C451ED9"/>
    <w:rsid w:val="2C4A574C"/>
    <w:rsid w:val="2C526A08"/>
    <w:rsid w:val="2C596E16"/>
    <w:rsid w:val="2C5A43F5"/>
    <w:rsid w:val="2C5B580B"/>
    <w:rsid w:val="2C6114F5"/>
    <w:rsid w:val="2C643ECD"/>
    <w:rsid w:val="2C6859DA"/>
    <w:rsid w:val="2C7132EE"/>
    <w:rsid w:val="2C7150A6"/>
    <w:rsid w:val="2C755D25"/>
    <w:rsid w:val="2C806952"/>
    <w:rsid w:val="2C822254"/>
    <w:rsid w:val="2C8A52D2"/>
    <w:rsid w:val="2C9D4C9B"/>
    <w:rsid w:val="2CAC4A81"/>
    <w:rsid w:val="2CB83106"/>
    <w:rsid w:val="2CC13372"/>
    <w:rsid w:val="2CC46CFF"/>
    <w:rsid w:val="2CC57D04"/>
    <w:rsid w:val="2CC83FD2"/>
    <w:rsid w:val="2CC90123"/>
    <w:rsid w:val="2CCB086A"/>
    <w:rsid w:val="2CD56C44"/>
    <w:rsid w:val="2CDF0146"/>
    <w:rsid w:val="2CEA351B"/>
    <w:rsid w:val="2CEF1989"/>
    <w:rsid w:val="2D0423E0"/>
    <w:rsid w:val="2D0D2343"/>
    <w:rsid w:val="2D103F97"/>
    <w:rsid w:val="2D193A16"/>
    <w:rsid w:val="2D1C2081"/>
    <w:rsid w:val="2D31304A"/>
    <w:rsid w:val="2D4011BD"/>
    <w:rsid w:val="2D405A7F"/>
    <w:rsid w:val="2D416B0D"/>
    <w:rsid w:val="2D51363D"/>
    <w:rsid w:val="2D566B20"/>
    <w:rsid w:val="2D5B5836"/>
    <w:rsid w:val="2D5E1E80"/>
    <w:rsid w:val="2D66224F"/>
    <w:rsid w:val="2D6D7DC0"/>
    <w:rsid w:val="2D701846"/>
    <w:rsid w:val="2D735BD4"/>
    <w:rsid w:val="2D735D85"/>
    <w:rsid w:val="2D7B446C"/>
    <w:rsid w:val="2D88324E"/>
    <w:rsid w:val="2D8F5C14"/>
    <w:rsid w:val="2D914F32"/>
    <w:rsid w:val="2DA14DDD"/>
    <w:rsid w:val="2DA347A3"/>
    <w:rsid w:val="2DA37656"/>
    <w:rsid w:val="2DA41B4C"/>
    <w:rsid w:val="2DB82541"/>
    <w:rsid w:val="2DB841E5"/>
    <w:rsid w:val="2DBD6509"/>
    <w:rsid w:val="2DC8202E"/>
    <w:rsid w:val="2DC95CD1"/>
    <w:rsid w:val="2DC96118"/>
    <w:rsid w:val="2DCA46C1"/>
    <w:rsid w:val="2DCE4D1B"/>
    <w:rsid w:val="2DCF6F7F"/>
    <w:rsid w:val="2DD16BD4"/>
    <w:rsid w:val="2DD63F3A"/>
    <w:rsid w:val="2DDD4500"/>
    <w:rsid w:val="2DDE6D5B"/>
    <w:rsid w:val="2DE4308B"/>
    <w:rsid w:val="2DE85760"/>
    <w:rsid w:val="2DF30293"/>
    <w:rsid w:val="2DFA5DE5"/>
    <w:rsid w:val="2E082F46"/>
    <w:rsid w:val="2E0967D7"/>
    <w:rsid w:val="2E1B3771"/>
    <w:rsid w:val="2E1F6C27"/>
    <w:rsid w:val="2E205558"/>
    <w:rsid w:val="2E290D0B"/>
    <w:rsid w:val="2E2E7787"/>
    <w:rsid w:val="2E2F3699"/>
    <w:rsid w:val="2E3103C0"/>
    <w:rsid w:val="2E347805"/>
    <w:rsid w:val="2E354BB8"/>
    <w:rsid w:val="2E35644F"/>
    <w:rsid w:val="2E357269"/>
    <w:rsid w:val="2E3C2BB7"/>
    <w:rsid w:val="2E3E387B"/>
    <w:rsid w:val="2E4D7951"/>
    <w:rsid w:val="2E4E4DA2"/>
    <w:rsid w:val="2E521B64"/>
    <w:rsid w:val="2E543B81"/>
    <w:rsid w:val="2E693E3B"/>
    <w:rsid w:val="2E6947FB"/>
    <w:rsid w:val="2E71704E"/>
    <w:rsid w:val="2E7305F6"/>
    <w:rsid w:val="2E8106B9"/>
    <w:rsid w:val="2E8269FC"/>
    <w:rsid w:val="2E8C0A87"/>
    <w:rsid w:val="2E8D30DF"/>
    <w:rsid w:val="2E9109F3"/>
    <w:rsid w:val="2E9705F5"/>
    <w:rsid w:val="2EAD351B"/>
    <w:rsid w:val="2EAE3598"/>
    <w:rsid w:val="2EB65226"/>
    <w:rsid w:val="2EB97120"/>
    <w:rsid w:val="2EC168A4"/>
    <w:rsid w:val="2EC76B1F"/>
    <w:rsid w:val="2EC94A4D"/>
    <w:rsid w:val="2ECC0FAC"/>
    <w:rsid w:val="2ECC416C"/>
    <w:rsid w:val="2EE05ED5"/>
    <w:rsid w:val="2EE267C7"/>
    <w:rsid w:val="2EE54C65"/>
    <w:rsid w:val="2EF15FE8"/>
    <w:rsid w:val="2EF55C13"/>
    <w:rsid w:val="2EFB45F7"/>
    <w:rsid w:val="2EFF6FA8"/>
    <w:rsid w:val="2F000220"/>
    <w:rsid w:val="2F025D7C"/>
    <w:rsid w:val="2F0802A0"/>
    <w:rsid w:val="2F0879F5"/>
    <w:rsid w:val="2F16691A"/>
    <w:rsid w:val="2F1868D0"/>
    <w:rsid w:val="2F204D4E"/>
    <w:rsid w:val="2F223D2C"/>
    <w:rsid w:val="2F250DFC"/>
    <w:rsid w:val="2F2965ED"/>
    <w:rsid w:val="2F337398"/>
    <w:rsid w:val="2F413598"/>
    <w:rsid w:val="2F486F33"/>
    <w:rsid w:val="2F4F49BB"/>
    <w:rsid w:val="2F5405F4"/>
    <w:rsid w:val="2F662FB5"/>
    <w:rsid w:val="2F6E6D8C"/>
    <w:rsid w:val="2F6F35F2"/>
    <w:rsid w:val="2F7A255C"/>
    <w:rsid w:val="2F7C30F5"/>
    <w:rsid w:val="2F7D151B"/>
    <w:rsid w:val="2F8200EB"/>
    <w:rsid w:val="2F9135A1"/>
    <w:rsid w:val="2F963350"/>
    <w:rsid w:val="2F9779DA"/>
    <w:rsid w:val="2FB465EB"/>
    <w:rsid w:val="2FB63B58"/>
    <w:rsid w:val="2FB95A33"/>
    <w:rsid w:val="2FC62616"/>
    <w:rsid w:val="2FCB1CA7"/>
    <w:rsid w:val="2FCB5D05"/>
    <w:rsid w:val="2FCC289A"/>
    <w:rsid w:val="2FD63528"/>
    <w:rsid w:val="2FD80397"/>
    <w:rsid w:val="2FDA5B4B"/>
    <w:rsid w:val="2FE02555"/>
    <w:rsid w:val="2FE12B3C"/>
    <w:rsid w:val="2FE4734E"/>
    <w:rsid w:val="2FEC264C"/>
    <w:rsid w:val="2FF77D6E"/>
    <w:rsid w:val="2FFA0754"/>
    <w:rsid w:val="30021B51"/>
    <w:rsid w:val="30084F40"/>
    <w:rsid w:val="300C7DA9"/>
    <w:rsid w:val="300F59E1"/>
    <w:rsid w:val="3011270B"/>
    <w:rsid w:val="3015285E"/>
    <w:rsid w:val="30174ADD"/>
    <w:rsid w:val="301775DB"/>
    <w:rsid w:val="301C23B4"/>
    <w:rsid w:val="301F69C5"/>
    <w:rsid w:val="302069DF"/>
    <w:rsid w:val="302134EF"/>
    <w:rsid w:val="302A7867"/>
    <w:rsid w:val="303F7CA4"/>
    <w:rsid w:val="30414952"/>
    <w:rsid w:val="304372C1"/>
    <w:rsid w:val="30473890"/>
    <w:rsid w:val="30473AEE"/>
    <w:rsid w:val="304F6AA9"/>
    <w:rsid w:val="3050625E"/>
    <w:rsid w:val="306843AC"/>
    <w:rsid w:val="3071153B"/>
    <w:rsid w:val="3084329D"/>
    <w:rsid w:val="30857AFA"/>
    <w:rsid w:val="308603A9"/>
    <w:rsid w:val="30861C79"/>
    <w:rsid w:val="308A653B"/>
    <w:rsid w:val="308D18BE"/>
    <w:rsid w:val="309502D1"/>
    <w:rsid w:val="30960CCC"/>
    <w:rsid w:val="309B6237"/>
    <w:rsid w:val="30A3702C"/>
    <w:rsid w:val="30B34A4D"/>
    <w:rsid w:val="30B6423F"/>
    <w:rsid w:val="30BD0D43"/>
    <w:rsid w:val="30C30C08"/>
    <w:rsid w:val="30C72293"/>
    <w:rsid w:val="30C92769"/>
    <w:rsid w:val="30CB256A"/>
    <w:rsid w:val="30CF1C17"/>
    <w:rsid w:val="30D15BA0"/>
    <w:rsid w:val="30D5596A"/>
    <w:rsid w:val="30D8352D"/>
    <w:rsid w:val="30D85B23"/>
    <w:rsid w:val="30EB1710"/>
    <w:rsid w:val="30EF3700"/>
    <w:rsid w:val="30F665C7"/>
    <w:rsid w:val="30F90C76"/>
    <w:rsid w:val="30FA4397"/>
    <w:rsid w:val="310166E8"/>
    <w:rsid w:val="310350F7"/>
    <w:rsid w:val="31045FC1"/>
    <w:rsid w:val="31136E45"/>
    <w:rsid w:val="311E12E9"/>
    <w:rsid w:val="311E1B50"/>
    <w:rsid w:val="31273B9F"/>
    <w:rsid w:val="312E6A1F"/>
    <w:rsid w:val="3135452A"/>
    <w:rsid w:val="3137579D"/>
    <w:rsid w:val="31383CFA"/>
    <w:rsid w:val="31410217"/>
    <w:rsid w:val="31495980"/>
    <w:rsid w:val="314E4C29"/>
    <w:rsid w:val="31550F21"/>
    <w:rsid w:val="3155493A"/>
    <w:rsid w:val="31555219"/>
    <w:rsid w:val="31644746"/>
    <w:rsid w:val="31655553"/>
    <w:rsid w:val="316740A5"/>
    <w:rsid w:val="316B3EF7"/>
    <w:rsid w:val="31700D0B"/>
    <w:rsid w:val="31706A4A"/>
    <w:rsid w:val="317351EC"/>
    <w:rsid w:val="317367E2"/>
    <w:rsid w:val="317A5007"/>
    <w:rsid w:val="31802B91"/>
    <w:rsid w:val="31886216"/>
    <w:rsid w:val="318D6EE4"/>
    <w:rsid w:val="318E31DE"/>
    <w:rsid w:val="31972CF3"/>
    <w:rsid w:val="319A3F19"/>
    <w:rsid w:val="31A107E4"/>
    <w:rsid w:val="31A93277"/>
    <w:rsid w:val="31B4765C"/>
    <w:rsid w:val="31BA13BF"/>
    <w:rsid w:val="31C9253F"/>
    <w:rsid w:val="31CA0EDE"/>
    <w:rsid w:val="31CB2BA5"/>
    <w:rsid w:val="31CF2BBF"/>
    <w:rsid w:val="31D500FC"/>
    <w:rsid w:val="31D763E9"/>
    <w:rsid w:val="31DB7526"/>
    <w:rsid w:val="31E0297E"/>
    <w:rsid w:val="31EA3DD2"/>
    <w:rsid w:val="31EB49CA"/>
    <w:rsid w:val="31EC10D3"/>
    <w:rsid w:val="31FB5EDD"/>
    <w:rsid w:val="31FE5946"/>
    <w:rsid w:val="32117239"/>
    <w:rsid w:val="32156874"/>
    <w:rsid w:val="321A178D"/>
    <w:rsid w:val="323C12D1"/>
    <w:rsid w:val="32403049"/>
    <w:rsid w:val="32466979"/>
    <w:rsid w:val="32475C1E"/>
    <w:rsid w:val="32485C02"/>
    <w:rsid w:val="32561537"/>
    <w:rsid w:val="32580267"/>
    <w:rsid w:val="326F290E"/>
    <w:rsid w:val="326F6F43"/>
    <w:rsid w:val="327308D3"/>
    <w:rsid w:val="327735D4"/>
    <w:rsid w:val="327B73A4"/>
    <w:rsid w:val="328256F2"/>
    <w:rsid w:val="328B5C57"/>
    <w:rsid w:val="329356B1"/>
    <w:rsid w:val="329B3418"/>
    <w:rsid w:val="329E1FB3"/>
    <w:rsid w:val="329F58D0"/>
    <w:rsid w:val="32A77209"/>
    <w:rsid w:val="32AA0990"/>
    <w:rsid w:val="32AB2ACF"/>
    <w:rsid w:val="32B159D9"/>
    <w:rsid w:val="32B270C3"/>
    <w:rsid w:val="32B328F4"/>
    <w:rsid w:val="32B839EA"/>
    <w:rsid w:val="32C01009"/>
    <w:rsid w:val="32D25AC4"/>
    <w:rsid w:val="32D40F9A"/>
    <w:rsid w:val="32D438CE"/>
    <w:rsid w:val="32D8320C"/>
    <w:rsid w:val="32D927F5"/>
    <w:rsid w:val="32DA500F"/>
    <w:rsid w:val="32DD170A"/>
    <w:rsid w:val="32DE3D28"/>
    <w:rsid w:val="32ED6766"/>
    <w:rsid w:val="32F93F45"/>
    <w:rsid w:val="32FB3A83"/>
    <w:rsid w:val="32FE03B5"/>
    <w:rsid w:val="330316D4"/>
    <w:rsid w:val="3304078D"/>
    <w:rsid w:val="331525BD"/>
    <w:rsid w:val="3319567A"/>
    <w:rsid w:val="3327504F"/>
    <w:rsid w:val="332E0A53"/>
    <w:rsid w:val="332F7983"/>
    <w:rsid w:val="333744B0"/>
    <w:rsid w:val="333855F0"/>
    <w:rsid w:val="333D795C"/>
    <w:rsid w:val="333F4D66"/>
    <w:rsid w:val="33442524"/>
    <w:rsid w:val="334A252E"/>
    <w:rsid w:val="334C7F1F"/>
    <w:rsid w:val="334D6566"/>
    <w:rsid w:val="335544F9"/>
    <w:rsid w:val="3357440D"/>
    <w:rsid w:val="33663017"/>
    <w:rsid w:val="33684BAD"/>
    <w:rsid w:val="336A68DB"/>
    <w:rsid w:val="33712D5F"/>
    <w:rsid w:val="337408A2"/>
    <w:rsid w:val="33906E9B"/>
    <w:rsid w:val="33922B7E"/>
    <w:rsid w:val="33925679"/>
    <w:rsid w:val="33926D4F"/>
    <w:rsid w:val="33961108"/>
    <w:rsid w:val="33962075"/>
    <w:rsid w:val="339D1DB6"/>
    <w:rsid w:val="33A515F9"/>
    <w:rsid w:val="33A9746C"/>
    <w:rsid w:val="33B24875"/>
    <w:rsid w:val="33B270E4"/>
    <w:rsid w:val="33B615BC"/>
    <w:rsid w:val="33B9080B"/>
    <w:rsid w:val="33BC4D40"/>
    <w:rsid w:val="33C06EFA"/>
    <w:rsid w:val="33C37EBE"/>
    <w:rsid w:val="33C678AD"/>
    <w:rsid w:val="33D327A5"/>
    <w:rsid w:val="33D37E12"/>
    <w:rsid w:val="33D53B8D"/>
    <w:rsid w:val="33D6583E"/>
    <w:rsid w:val="33DE6522"/>
    <w:rsid w:val="33E64A11"/>
    <w:rsid w:val="33E76D4E"/>
    <w:rsid w:val="33E8506B"/>
    <w:rsid w:val="33F20923"/>
    <w:rsid w:val="33F74AC4"/>
    <w:rsid w:val="33FB51DC"/>
    <w:rsid w:val="33FD4585"/>
    <w:rsid w:val="34005A7A"/>
    <w:rsid w:val="34080051"/>
    <w:rsid w:val="34162D62"/>
    <w:rsid w:val="34171BEA"/>
    <w:rsid w:val="341C4957"/>
    <w:rsid w:val="341F2393"/>
    <w:rsid w:val="3431197D"/>
    <w:rsid w:val="34370B01"/>
    <w:rsid w:val="34462E66"/>
    <w:rsid w:val="3446525E"/>
    <w:rsid w:val="34493C4B"/>
    <w:rsid w:val="344D4D15"/>
    <w:rsid w:val="34507034"/>
    <w:rsid w:val="345632D9"/>
    <w:rsid w:val="34587A69"/>
    <w:rsid w:val="345E11D8"/>
    <w:rsid w:val="34674481"/>
    <w:rsid w:val="34681E8C"/>
    <w:rsid w:val="346F0C7C"/>
    <w:rsid w:val="347F708D"/>
    <w:rsid w:val="348E196F"/>
    <w:rsid w:val="34924709"/>
    <w:rsid w:val="349631EE"/>
    <w:rsid w:val="34977297"/>
    <w:rsid w:val="34A148B4"/>
    <w:rsid w:val="34A27855"/>
    <w:rsid w:val="34AC7BBC"/>
    <w:rsid w:val="34AF34FB"/>
    <w:rsid w:val="34C10072"/>
    <w:rsid w:val="34C77578"/>
    <w:rsid w:val="34C92DDB"/>
    <w:rsid w:val="34D75F95"/>
    <w:rsid w:val="34DB3309"/>
    <w:rsid w:val="34DE432F"/>
    <w:rsid w:val="34EA6F5F"/>
    <w:rsid w:val="34EC60B6"/>
    <w:rsid w:val="34F3038E"/>
    <w:rsid w:val="34F51844"/>
    <w:rsid w:val="34F75F98"/>
    <w:rsid w:val="34FA47CD"/>
    <w:rsid w:val="34FA63E3"/>
    <w:rsid w:val="35041924"/>
    <w:rsid w:val="35112FAA"/>
    <w:rsid w:val="351C7B56"/>
    <w:rsid w:val="35251B72"/>
    <w:rsid w:val="352849C7"/>
    <w:rsid w:val="352C2E2C"/>
    <w:rsid w:val="353376E2"/>
    <w:rsid w:val="35364BAD"/>
    <w:rsid w:val="35372E79"/>
    <w:rsid w:val="354F4C6B"/>
    <w:rsid w:val="35567D0E"/>
    <w:rsid w:val="356144FC"/>
    <w:rsid w:val="35694AC5"/>
    <w:rsid w:val="35697889"/>
    <w:rsid w:val="356D220A"/>
    <w:rsid w:val="357F7236"/>
    <w:rsid w:val="3580176A"/>
    <w:rsid w:val="35881CF3"/>
    <w:rsid w:val="358A37C5"/>
    <w:rsid w:val="3590227A"/>
    <w:rsid w:val="3596013A"/>
    <w:rsid w:val="35966F91"/>
    <w:rsid w:val="359812CC"/>
    <w:rsid w:val="359D7AC2"/>
    <w:rsid w:val="35A10273"/>
    <w:rsid w:val="35AF258E"/>
    <w:rsid w:val="35BA32FA"/>
    <w:rsid w:val="35BC489C"/>
    <w:rsid w:val="35BF31E4"/>
    <w:rsid w:val="35D021DE"/>
    <w:rsid w:val="35DC4F57"/>
    <w:rsid w:val="35EA1D85"/>
    <w:rsid w:val="35ED3013"/>
    <w:rsid w:val="35F34531"/>
    <w:rsid w:val="360520A7"/>
    <w:rsid w:val="361275B1"/>
    <w:rsid w:val="36195817"/>
    <w:rsid w:val="361B3756"/>
    <w:rsid w:val="361C7DE2"/>
    <w:rsid w:val="362075BF"/>
    <w:rsid w:val="362137F2"/>
    <w:rsid w:val="36263550"/>
    <w:rsid w:val="3631371C"/>
    <w:rsid w:val="363E5DF9"/>
    <w:rsid w:val="36434A56"/>
    <w:rsid w:val="36435234"/>
    <w:rsid w:val="3655303C"/>
    <w:rsid w:val="365B1BF1"/>
    <w:rsid w:val="365D2BEF"/>
    <w:rsid w:val="36621DCB"/>
    <w:rsid w:val="3672002C"/>
    <w:rsid w:val="3674061A"/>
    <w:rsid w:val="36785BEA"/>
    <w:rsid w:val="367E325E"/>
    <w:rsid w:val="367F4F3D"/>
    <w:rsid w:val="368A5033"/>
    <w:rsid w:val="368C037B"/>
    <w:rsid w:val="368C28A2"/>
    <w:rsid w:val="36976C4A"/>
    <w:rsid w:val="369A06C1"/>
    <w:rsid w:val="369A2A90"/>
    <w:rsid w:val="36A22266"/>
    <w:rsid w:val="36A44F9A"/>
    <w:rsid w:val="36AE7336"/>
    <w:rsid w:val="36B148ED"/>
    <w:rsid w:val="36B915E5"/>
    <w:rsid w:val="36BE030B"/>
    <w:rsid w:val="36BF7685"/>
    <w:rsid w:val="36CB3292"/>
    <w:rsid w:val="36D73297"/>
    <w:rsid w:val="36DC399F"/>
    <w:rsid w:val="36DE135E"/>
    <w:rsid w:val="36E067C1"/>
    <w:rsid w:val="36E378C2"/>
    <w:rsid w:val="36E9036C"/>
    <w:rsid w:val="36E93A38"/>
    <w:rsid w:val="36F53C32"/>
    <w:rsid w:val="36FF16B0"/>
    <w:rsid w:val="37024674"/>
    <w:rsid w:val="370527ED"/>
    <w:rsid w:val="370608DF"/>
    <w:rsid w:val="3708121A"/>
    <w:rsid w:val="370A185D"/>
    <w:rsid w:val="370C0643"/>
    <w:rsid w:val="3718489E"/>
    <w:rsid w:val="371B230A"/>
    <w:rsid w:val="37210A25"/>
    <w:rsid w:val="3728184E"/>
    <w:rsid w:val="372B48EE"/>
    <w:rsid w:val="372D7B30"/>
    <w:rsid w:val="3736409F"/>
    <w:rsid w:val="3745688E"/>
    <w:rsid w:val="37476DD4"/>
    <w:rsid w:val="37481F83"/>
    <w:rsid w:val="37493AB0"/>
    <w:rsid w:val="37584B8F"/>
    <w:rsid w:val="37604FC9"/>
    <w:rsid w:val="3762243E"/>
    <w:rsid w:val="37680CE9"/>
    <w:rsid w:val="37772FB8"/>
    <w:rsid w:val="3778024A"/>
    <w:rsid w:val="377E38F4"/>
    <w:rsid w:val="37884451"/>
    <w:rsid w:val="37884A02"/>
    <w:rsid w:val="379538C7"/>
    <w:rsid w:val="379624BC"/>
    <w:rsid w:val="37963FD5"/>
    <w:rsid w:val="37992EFA"/>
    <w:rsid w:val="379A40F4"/>
    <w:rsid w:val="379D06B3"/>
    <w:rsid w:val="379E4265"/>
    <w:rsid w:val="37B54580"/>
    <w:rsid w:val="37C9151F"/>
    <w:rsid w:val="37CA57A6"/>
    <w:rsid w:val="37DE1AE5"/>
    <w:rsid w:val="37E20CC9"/>
    <w:rsid w:val="37E86ADA"/>
    <w:rsid w:val="37EA0D1D"/>
    <w:rsid w:val="37F06B38"/>
    <w:rsid w:val="37FA6A5A"/>
    <w:rsid w:val="37FC5B18"/>
    <w:rsid w:val="38060F3A"/>
    <w:rsid w:val="380677DD"/>
    <w:rsid w:val="380B6B34"/>
    <w:rsid w:val="380C690C"/>
    <w:rsid w:val="380D5B9E"/>
    <w:rsid w:val="3814487E"/>
    <w:rsid w:val="38195BB8"/>
    <w:rsid w:val="381A0DD0"/>
    <w:rsid w:val="381F5760"/>
    <w:rsid w:val="38246CC4"/>
    <w:rsid w:val="383471A3"/>
    <w:rsid w:val="383818D1"/>
    <w:rsid w:val="383F666B"/>
    <w:rsid w:val="383F7A68"/>
    <w:rsid w:val="384020B0"/>
    <w:rsid w:val="384261D2"/>
    <w:rsid w:val="38464834"/>
    <w:rsid w:val="38643F4E"/>
    <w:rsid w:val="38692F5F"/>
    <w:rsid w:val="386C08F6"/>
    <w:rsid w:val="387169BA"/>
    <w:rsid w:val="38732EA4"/>
    <w:rsid w:val="38833259"/>
    <w:rsid w:val="38841AC6"/>
    <w:rsid w:val="388E7067"/>
    <w:rsid w:val="389107BC"/>
    <w:rsid w:val="38947915"/>
    <w:rsid w:val="38A87B48"/>
    <w:rsid w:val="38AB078B"/>
    <w:rsid w:val="38AC27D0"/>
    <w:rsid w:val="38B27A1C"/>
    <w:rsid w:val="38B82434"/>
    <w:rsid w:val="38B839AC"/>
    <w:rsid w:val="38BB5260"/>
    <w:rsid w:val="38C16DAB"/>
    <w:rsid w:val="38C2449A"/>
    <w:rsid w:val="38C576A5"/>
    <w:rsid w:val="38CC3019"/>
    <w:rsid w:val="38D118A2"/>
    <w:rsid w:val="38D97F47"/>
    <w:rsid w:val="38DE6E2F"/>
    <w:rsid w:val="38E63AD6"/>
    <w:rsid w:val="38E95089"/>
    <w:rsid w:val="38FD6035"/>
    <w:rsid w:val="39053533"/>
    <w:rsid w:val="390B558F"/>
    <w:rsid w:val="390E6423"/>
    <w:rsid w:val="391B3490"/>
    <w:rsid w:val="392355EB"/>
    <w:rsid w:val="39294944"/>
    <w:rsid w:val="392D343F"/>
    <w:rsid w:val="392E71E9"/>
    <w:rsid w:val="393F3416"/>
    <w:rsid w:val="39433E66"/>
    <w:rsid w:val="3945094C"/>
    <w:rsid w:val="394D7496"/>
    <w:rsid w:val="395A6D0E"/>
    <w:rsid w:val="396A6D20"/>
    <w:rsid w:val="396F2D1F"/>
    <w:rsid w:val="39734A4B"/>
    <w:rsid w:val="3974482B"/>
    <w:rsid w:val="39751CE5"/>
    <w:rsid w:val="3976167E"/>
    <w:rsid w:val="39787162"/>
    <w:rsid w:val="39884F32"/>
    <w:rsid w:val="39901338"/>
    <w:rsid w:val="3997374F"/>
    <w:rsid w:val="3999500E"/>
    <w:rsid w:val="39AB2545"/>
    <w:rsid w:val="39AD77BA"/>
    <w:rsid w:val="39B34C3C"/>
    <w:rsid w:val="39C7380C"/>
    <w:rsid w:val="39C97503"/>
    <w:rsid w:val="39CB237B"/>
    <w:rsid w:val="39CD55D3"/>
    <w:rsid w:val="39D31A82"/>
    <w:rsid w:val="39D83581"/>
    <w:rsid w:val="39DD0CB3"/>
    <w:rsid w:val="39DE7FA3"/>
    <w:rsid w:val="39DF6376"/>
    <w:rsid w:val="39E06849"/>
    <w:rsid w:val="39F677F9"/>
    <w:rsid w:val="39F866B0"/>
    <w:rsid w:val="39F91FF9"/>
    <w:rsid w:val="39FA787E"/>
    <w:rsid w:val="39FB4703"/>
    <w:rsid w:val="39FE146F"/>
    <w:rsid w:val="3A041A69"/>
    <w:rsid w:val="3A075882"/>
    <w:rsid w:val="3A08798E"/>
    <w:rsid w:val="3A0A2110"/>
    <w:rsid w:val="3A1413A4"/>
    <w:rsid w:val="3A1628AB"/>
    <w:rsid w:val="3A165714"/>
    <w:rsid w:val="3A1867D5"/>
    <w:rsid w:val="3A1A6D8F"/>
    <w:rsid w:val="3A1E3132"/>
    <w:rsid w:val="3A203889"/>
    <w:rsid w:val="3A2F57E7"/>
    <w:rsid w:val="3A4159C1"/>
    <w:rsid w:val="3A435C28"/>
    <w:rsid w:val="3A437B68"/>
    <w:rsid w:val="3A46233F"/>
    <w:rsid w:val="3A480C70"/>
    <w:rsid w:val="3A482363"/>
    <w:rsid w:val="3A5125EE"/>
    <w:rsid w:val="3A5706BF"/>
    <w:rsid w:val="3A5D2B25"/>
    <w:rsid w:val="3A630217"/>
    <w:rsid w:val="3A662595"/>
    <w:rsid w:val="3A6B2FD2"/>
    <w:rsid w:val="3A6C6E60"/>
    <w:rsid w:val="3A702FAC"/>
    <w:rsid w:val="3A7E4293"/>
    <w:rsid w:val="3A840FD2"/>
    <w:rsid w:val="3A8912B8"/>
    <w:rsid w:val="3A8A457B"/>
    <w:rsid w:val="3A923D0C"/>
    <w:rsid w:val="3A99077C"/>
    <w:rsid w:val="3A9C4AEC"/>
    <w:rsid w:val="3AA406A2"/>
    <w:rsid w:val="3AA86C16"/>
    <w:rsid w:val="3AAD1743"/>
    <w:rsid w:val="3AB80B48"/>
    <w:rsid w:val="3AC44A50"/>
    <w:rsid w:val="3AC75B4C"/>
    <w:rsid w:val="3AD224CA"/>
    <w:rsid w:val="3AD2711A"/>
    <w:rsid w:val="3AD45D41"/>
    <w:rsid w:val="3AE26C66"/>
    <w:rsid w:val="3AE55BD1"/>
    <w:rsid w:val="3AE603CF"/>
    <w:rsid w:val="3AE9341C"/>
    <w:rsid w:val="3AF74A34"/>
    <w:rsid w:val="3AFA69C1"/>
    <w:rsid w:val="3AFB3DC3"/>
    <w:rsid w:val="3AFB63D8"/>
    <w:rsid w:val="3B0747FB"/>
    <w:rsid w:val="3B1137DB"/>
    <w:rsid w:val="3B134D41"/>
    <w:rsid w:val="3B1D21F5"/>
    <w:rsid w:val="3B1F72F1"/>
    <w:rsid w:val="3B2323EC"/>
    <w:rsid w:val="3B267548"/>
    <w:rsid w:val="3B28337E"/>
    <w:rsid w:val="3B2E50FD"/>
    <w:rsid w:val="3B317563"/>
    <w:rsid w:val="3B3851D2"/>
    <w:rsid w:val="3B3C6F94"/>
    <w:rsid w:val="3B3E1818"/>
    <w:rsid w:val="3B412C79"/>
    <w:rsid w:val="3B4233C4"/>
    <w:rsid w:val="3B42637C"/>
    <w:rsid w:val="3B540269"/>
    <w:rsid w:val="3B59537C"/>
    <w:rsid w:val="3B6124B0"/>
    <w:rsid w:val="3B6304C7"/>
    <w:rsid w:val="3B642321"/>
    <w:rsid w:val="3B6D2D6E"/>
    <w:rsid w:val="3B6E489E"/>
    <w:rsid w:val="3B712CBE"/>
    <w:rsid w:val="3B777BB0"/>
    <w:rsid w:val="3B80535C"/>
    <w:rsid w:val="3B816482"/>
    <w:rsid w:val="3B8A3D59"/>
    <w:rsid w:val="3B8D0EA3"/>
    <w:rsid w:val="3B8E52C3"/>
    <w:rsid w:val="3B95784C"/>
    <w:rsid w:val="3B994F9D"/>
    <w:rsid w:val="3BA4298B"/>
    <w:rsid w:val="3BB634EC"/>
    <w:rsid w:val="3BBC58A5"/>
    <w:rsid w:val="3BBE375B"/>
    <w:rsid w:val="3BC41E85"/>
    <w:rsid w:val="3BCC0E22"/>
    <w:rsid w:val="3BCC367E"/>
    <w:rsid w:val="3BD718C9"/>
    <w:rsid w:val="3BE44548"/>
    <w:rsid w:val="3BEE0616"/>
    <w:rsid w:val="3BF9648B"/>
    <w:rsid w:val="3C027A38"/>
    <w:rsid w:val="3C144211"/>
    <w:rsid w:val="3C1A214C"/>
    <w:rsid w:val="3C1B0CFC"/>
    <w:rsid w:val="3C1E5203"/>
    <w:rsid w:val="3C1E73BF"/>
    <w:rsid w:val="3C1F0C1F"/>
    <w:rsid w:val="3C1F16D2"/>
    <w:rsid w:val="3C1F279C"/>
    <w:rsid w:val="3C1F7183"/>
    <w:rsid w:val="3C223978"/>
    <w:rsid w:val="3C2675CD"/>
    <w:rsid w:val="3C275BED"/>
    <w:rsid w:val="3C3052CB"/>
    <w:rsid w:val="3C342F73"/>
    <w:rsid w:val="3C3559AD"/>
    <w:rsid w:val="3C3B1665"/>
    <w:rsid w:val="3C3C08AE"/>
    <w:rsid w:val="3C3D44FE"/>
    <w:rsid w:val="3C406857"/>
    <w:rsid w:val="3C446616"/>
    <w:rsid w:val="3C510B2E"/>
    <w:rsid w:val="3C531FAB"/>
    <w:rsid w:val="3C5369B0"/>
    <w:rsid w:val="3C5B600A"/>
    <w:rsid w:val="3C5B7F88"/>
    <w:rsid w:val="3C601112"/>
    <w:rsid w:val="3C67735C"/>
    <w:rsid w:val="3C6B257A"/>
    <w:rsid w:val="3C6D7EF1"/>
    <w:rsid w:val="3C715D85"/>
    <w:rsid w:val="3C720330"/>
    <w:rsid w:val="3C745F6A"/>
    <w:rsid w:val="3C80422A"/>
    <w:rsid w:val="3C8269F7"/>
    <w:rsid w:val="3C826FA5"/>
    <w:rsid w:val="3C8B5758"/>
    <w:rsid w:val="3C91206B"/>
    <w:rsid w:val="3C941C8B"/>
    <w:rsid w:val="3C956BF8"/>
    <w:rsid w:val="3C9F4ED2"/>
    <w:rsid w:val="3CA655B1"/>
    <w:rsid w:val="3CA75138"/>
    <w:rsid w:val="3CAD018B"/>
    <w:rsid w:val="3CAE30EB"/>
    <w:rsid w:val="3CBC3ECA"/>
    <w:rsid w:val="3CC54291"/>
    <w:rsid w:val="3CC75ED1"/>
    <w:rsid w:val="3CDF7376"/>
    <w:rsid w:val="3CE56D9D"/>
    <w:rsid w:val="3CE765AD"/>
    <w:rsid w:val="3CEE3B3B"/>
    <w:rsid w:val="3CF63F13"/>
    <w:rsid w:val="3CF872D6"/>
    <w:rsid w:val="3CFC03EA"/>
    <w:rsid w:val="3CFF31C6"/>
    <w:rsid w:val="3D04370C"/>
    <w:rsid w:val="3D062FBB"/>
    <w:rsid w:val="3D0A5CBB"/>
    <w:rsid w:val="3D1712D7"/>
    <w:rsid w:val="3D196DA1"/>
    <w:rsid w:val="3D1B7CE2"/>
    <w:rsid w:val="3D1F1D46"/>
    <w:rsid w:val="3D2B44D8"/>
    <w:rsid w:val="3D2C7353"/>
    <w:rsid w:val="3D2D0D7C"/>
    <w:rsid w:val="3D394AAA"/>
    <w:rsid w:val="3D3E0F6E"/>
    <w:rsid w:val="3D414006"/>
    <w:rsid w:val="3D422017"/>
    <w:rsid w:val="3D422603"/>
    <w:rsid w:val="3D457EED"/>
    <w:rsid w:val="3D4857DA"/>
    <w:rsid w:val="3D490779"/>
    <w:rsid w:val="3D491A9E"/>
    <w:rsid w:val="3D5252F4"/>
    <w:rsid w:val="3D567A46"/>
    <w:rsid w:val="3D5A3C91"/>
    <w:rsid w:val="3D6E10CE"/>
    <w:rsid w:val="3D7174ED"/>
    <w:rsid w:val="3D7310C6"/>
    <w:rsid w:val="3D8546B0"/>
    <w:rsid w:val="3D8C2045"/>
    <w:rsid w:val="3D8F023E"/>
    <w:rsid w:val="3D920649"/>
    <w:rsid w:val="3D9435FA"/>
    <w:rsid w:val="3D9E07E4"/>
    <w:rsid w:val="3D9E36A0"/>
    <w:rsid w:val="3DA37B38"/>
    <w:rsid w:val="3DA4205D"/>
    <w:rsid w:val="3DB86EDC"/>
    <w:rsid w:val="3DBA02C2"/>
    <w:rsid w:val="3DBA3CD3"/>
    <w:rsid w:val="3DC6669D"/>
    <w:rsid w:val="3DD92957"/>
    <w:rsid w:val="3DE360C7"/>
    <w:rsid w:val="3DF37B9D"/>
    <w:rsid w:val="3DF707AB"/>
    <w:rsid w:val="3E026055"/>
    <w:rsid w:val="3E0F2D59"/>
    <w:rsid w:val="3E0F504E"/>
    <w:rsid w:val="3E114C2D"/>
    <w:rsid w:val="3E1641AB"/>
    <w:rsid w:val="3E197B2A"/>
    <w:rsid w:val="3E1E34AC"/>
    <w:rsid w:val="3E220AFD"/>
    <w:rsid w:val="3E254D6E"/>
    <w:rsid w:val="3E287049"/>
    <w:rsid w:val="3E2B0051"/>
    <w:rsid w:val="3E2B6572"/>
    <w:rsid w:val="3E393955"/>
    <w:rsid w:val="3E3F6B72"/>
    <w:rsid w:val="3E56630A"/>
    <w:rsid w:val="3E5A30F7"/>
    <w:rsid w:val="3E650E62"/>
    <w:rsid w:val="3E690191"/>
    <w:rsid w:val="3E707B0C"/>
    <w:rsid w:val="3E721EEF"/>
    <w:rsid w:val="3E7744E2"/>
    <w:rsid w:val="3E7B328B"/>
    <w:rsid w:val="3E85606E"/>
    <w:rsid w:val="3E891C59"/>
    <w:rsid w:val="3E8A080A"/>
    <w:rsid w:val="3E900FE4"/>
    <w:rsid w:val="3E932FEC"/>
    <w:rsid w:val="3E982A7D"/>
    <w:rsid w:val="3EA80279"/>
    <w:rsid w:val="3EA954B7"/>
    <w:rsid w:val="3EB338DE"/>
    <w:rsid w:val="3EB8419E"/>
    <w:rsid w:val="3EC00BCA"/>
    <w:rsid w:val="3EC42BFB"/>
    <w:rsid w:val="3EC87A9D"/>
    <w:rsid w:val="3ECD14AF"/>
    <w:rsid w:val="3ED74A7A"/>
    <w:rsid w:val="3EE15C53"/>
    <w:rsid w:val="3EE4677D"/>
    <w:rsid w:val="3EEC45AE"/>
    <w:rsid w:val="3EED20BF"/>
    <w:rsid w:val="3EF70005"/>
    <w:rsid w:val="3EFA0E75"/>
    <w:rsid w:val="3F03277C"/>
    <w:rsid w:val="3F0663FE"/>
    <w:rsid w:val="3F080B63"/>
    <w:rsid w:val="3F0A6DD8"/>
    <w:rsid w:val="3F0B6712"/>
    <w:rsid w:val="3F100FF8"/>
    <w:rsid w:val="3F113710"/>
    <w:rsid w:val="3F1A4AAB"/>
    <w:rsid w:val="3F227D1A"/>
    <w:rsid w:val="3F3D6D1C"/>
    <w:rsid w:val="3F3E67FF"/>
    <w:rsid w:val="3F4926BD"/>
    <w:rsid w:val="3F494DA2"/>
    <w:rsid w:val="3F4D65BF"/>
    <w:rsid w:val="3F4E0C41"/>
    <w:rsid w:val="3F55328A"/>
    <w:rsid w:val="3F5C125F"/>
    <w:rsid w:val="3F651FB6"/>
    <w:rsid w:val="3F6800A6"/>
    <w:rsid w:val="3F736D94"/>
    <w:rsid w:val="3F742278"/>
    <w:rsid w:val="3F784721"/>
    <w:rsid w:val="3F784C75"/>
    <w:rsid w:val="3F86264A"/>
    <w:rsid w:val="3F8F4150"/>
    <w:rsid w:val="3F900874"/>
    <w:rsid w:val="3F914527"/>
    <w:rsid w:val="3F9B676F"/>
    <w:rsid w:val="3F9E7AC8"/>
    <w:rsid w:val="3FA56BA1"/>
    <w:rsid w:val="3FB306F9"/>
    <w:rsid w:val="3FC20254"/>
    <w:rsid w:val="3FC571E0"/>
    <w:rsid w:val="3FC85428"/>
    <w:rsid w:val="3FCC4B72"/>
    <w:rsid w:val="3FCE5CBB"/>
    <w:rsid w:val="3FD010A7"/>
    <w:rsid w:val="3FD93A52"/>
    <w:rsid w:val="3FE25BD8"/>
    <w:rsid w:val="3FEA3EB5"/>
    <w:rsid w:val="3FF6582E"/>
    <w:rsid w:val="3FF953AA"/>
    <w:rsid w:val="3FFA2333"/>
    <w:rsid w:val="40007C76"/>
    <w:rsid w:val="40021A37"/>
    <w:rsid w:val="4007705C"/>
    <w:rsid w:val="400927CB"/>
    <w:rsid w:val="40093FC3"/>
    <w:rsid w:val="40123045"/>
    <w:rsid w:val="40207AF9"/>
    <w:rsid w:val="402977FE"/>
    <w:rsid w:val="402C1C63"/>
    <w:rsid w:val="40395953"/>
    <w:rsid w:val="404149D6"/>
    <w:rsid w:val="40447E84"/>
    <w:rsid w:val="404C6691"/>
    <w:rsid w:val="40557218"/>
    <w:rsid w:val="40664F1B"/>
    <w:rsid w:val="407D12B8"/>
    <w:rsid w:val="4082725A"/>
    <w:rsid w:val="40907801"/>
    <w:rsid w:val="4091596F"/>
    <w:rsid w:val="40931078"/>
    <w:rsid w:val="40934815"/>
    <w:rsid w:val="40964283"/>
    <w:rsid w:val="40967658"/>
    <w:rsid w:val="40A43908"/>
    <w:rsid w:val="40A84BA6"/>
    <w:rsid w:val="40AD12EB"/>
    <w:rsid w:val="40B23895"/>
    <w:rsid w:val="40BE1F5F"/>
    <w:rsid w:val="40C43CFD"/>
    <w:rsid w:val="40D21C9F"/>
    <w:rsid w:val="40D44817"/>
    <w:rsid w:val="40D86720"/>
    <w:rsid w:val="40DD067A"/>
    <w:rsid w:val="40E3581B"/>
    <w:rsid w:val="40F34FD1"/>
    <w:rsid w:val="40FD6D1C"/>
    <w:rsid w:val="410026EA"/>
    <w:rsid w:val="411546AE"/>
    <w:rsid w:val="411D53AC"/>
    <w:rsid w:val="41207EF7"/>
    <w:rsid w:val="41221366"/>
    <w:rsid w:val="412E217F"/>
    <w:rsid w:val="41302C5D"/>
    <w:rsid w:val="413B302C"/>
    <w:rsid w:val="413C09BF"/>
    <w:rsid w:val="414232DD"/>
    <w:rsid w:val="414D67EA"/>
    <w:rsid w:val="41517B2D"/>
    <w:rsid w:val="416F19E1"/>
    <w:rsid w:val="4170004F"/>
    <w:rsid w:val="417E0D19"/>
    <w:rsid w:val="418C6838"/>
    <w:rsid w:val="418D69D2"/>
    <w:rsid w:val="4193170E"/>
    <w:rsid w:val="419C28B5"/>
    <w:rsid w:val="419E1C0E"/>
    <w:rsid w:val="41A044B9"/>
    <w:rsid w:val="41A173FA"/>
    <w:rsid w:val="41A42A44"/>
    <w:rsid w:val="41A674BE"/>
    <w:rsid w:val="41B73C3D"/>
    <w:rsid w:val="41C13425"/>
    <w:rsid w:val="41C56C3B"/>
    <w:rsid w:val="41C8544B"/>
    <w:rsid w:val="41D53F2C"/>
    <w:rsid w:val="41E15AD9"/>
    <w:rsid w:val="41E218E8"/>
    <w:rsid w:val="41E62D71"/>
    <w:rsid w:val="41F35EFC"/>
    <w:rsid w:val="41F40B23"/>
    <w:rsid w:val="41F53DBC"/>
    <w:rsid w:val="41F83549"/>
    <w:rsid w:val="42014F7D"/>
    <w:rsid w:val="42037FCE"/>
    <w:rsid w:val="42061478"/>
    <w:rsid w:val="420805AA"/>
    <w:rsid w:val="420E5AEE"/>
    <w:rsid w:val="4213363D"/>
    <w:rsid w:val="42140857"/>
    <w:rsid w:val="42145A64"/>
    <w:rsid w:val="42157CEF"/>
    <w:rsid w:val="421D615A"/>
    <w:rsid w:val="42241810"/>
    <w:rsid w:val="422A0490"/>
    <w:rsid w:val="42341EA0"/>
    <w:rsid w:val="423602CC"/>
    <w:rsid w:val="42370173"/>
    <w:rsid w:val="423F1891"/>
    <w:rsid w:val="423F62F9"/>
    <w:rsid w:val="4241592D"/>
    <w:rsid w:val="42421BC4"/>
    <w:rsid w:val="42522642"/>
    <w:rsid w:val="425B2438"/>
    <w:rsid w:val="42605B43"/>
    <w:rsid w:val="4263603D"/>
    <w:rsid w:val="42646C12"/>
    <w:rsid w:val="426E1959"/>
    <w:rsid w:val="42757342"/>
    <w:rsid w:val="42760AB4"/>
    <w:rsid w:val="427942DA"/>
    <w:rsid w:val="428020E7"/>
    <w:rsid w:val="428A5952"/>
    <w:rsid w:val="428D01AD"/>
    <w:rsid w:val="428E4C2C"/>
    <w:rsid w:val="42925C52"/>
    <w:rsid w:val="42957829"/>
    <w:rsid w:val="429D4C3F"/>
    <w:rsid w:val="42A075D5"/>
    <w:rsid w:val="42A135DA"/>
    <w:rsid w:val="42A239AC"/>
    <w:rsid w:val="42A34975"/>
    <w:rsid w:val="42A9148F"/>
    <w:rsid w:val="42AC2DE4"/>
    <w:rsid w:val="42B82EAC"/>
    <w:rsid w:val="42BC1327"/>
    <w:rsid w:val="42C85EA4"/>
    <w:rsid w:val="42D75AE1"/>
    <w:rsid w:val="42DA06DB"/>
    <w:rsid w:val="42DA48D4"/>
    <w:rsid w:val="42E13027"/>
    <w:rsid w:val="430279F1"/>
    <w:rsid w:val="430C2652"/>
    <w:rsid w:val="43115EDD"/>
    <w:rsid w:val="431237D3"/>
    <w:rsid w:val="43156DD5"/>
    <w:rsid w:val="43180E8C"/>
    <w:rsid w:val="4325445D"/>
    <w:rsid w:val="433057C9"/>
    <w:rsid w:val="433841D3"/>
    <w:rsid w:val="433D5051"/>
    <w:rsid w:val="43430AE7"/>
    <w:rsid w:val="43494137"/>
    <w:rsid w:val="434E76D1"/>
    <w:rsid w:val="434F071C"/>
    <w:rsid w:val="435F1CFC"/>
    <w:rsid w:val="43600C10"/>
    <w:rsid w:val="4362383B"/>
    <w:rsid w:val="43631B06"/>
    <w:rsid w:val="436508C8"/>
    <w:rsid w:val="43653E54"/>
    <w:rsid w:val="43673359"/>
    <w:rsid w:val="43686476"/>
    <w:rsid w:val="436B565E"/>
    <w:rsid w:val="437634D4"/>
    <w:rsid w:val="43776DA9"/>
    <w:rsid w:val="437930E7"/>
    <w:rsid w:val="437E1B6E"/>
    <w:rsid w:val="43806AEF"/>
    <w:rsid w:val="438615F1"/>
    <w:rsid w:val="43936956"/>
    <w:rsid w:val="439A7746"/>
    <w:rsid w:val="439F0C72"/>
    <w:rsid w:val="43A16934"/>
    <w:rsid w:val="43AA6240"/>
    <w:rsid w:val="43B508CF"/>
    <w:rsid w:val="43BB526F"/>
    <w:rsid w:val="43BC166D"/>
    <w:rsid w:val="43C305DA"/>
    <w:rsid w:val="43C45599"/>
    <w:rsid w:val="43C904A7"/>
    <w:rsid w:val="43D02E89"/>
    <w:rsid w:val="43D3107C"/>
    <w:rsid w:val="43DF105A"/>
    <w:rsid w:val="43E87144"/>
    <w:rsid w:val="43EA4921"/>
    <w:rsid w:val="43EB1484"/>
    <w:rsid w:val="43EE159D"/>
    <w:rsid w:val="43EF0BA9"/>
    <w:rsid w:val="43F15BA5"/>
    <w:rsid w:val="43F55295"/>
    <w:rsid w:val="43F85817"/>
    <w:rsid w:val="43F85AE1"/>
    <w:rsid w:val="43F908D5"/>
    <w:rsid w:val="43FB584D"/>
    <w:rsid w:val="441B0CB6"/>
    <w:rsid w:val="441C7484"/>
    <w:rsid w:val="442C2706"/>
    <w:rsid w:val="443005C2"/>
    <w:rsid w:val="443062F0"/>
    <w:rsid w:val="44336C48"/>
    <w:rsid w:val="44381304"/>
    <w:rsid w:val="4438491B"/>
    <w:rsid w:val="444556F5"/>
    <w:rsid w:val="44463AAF"/>
    <w:rsid w:val="445C3E40"/>
    <w:rsid w:val="445F61A3"/>
    <w:rsid w:val="446508F0"/>
    <w:rsid w:val="44692133"/>
    <w:rsid w:val="446A161F"/>
    <w:rsid w:val="447841A9"/>
    <w:rsid w:val="447E53C9"/>
    <w:rsid w:val="4488359C"/>
    <w:rsid w:val="448A525A"/>
    <w:rsid w:val="44933E37"/>
    <w:rsid w:val="449406DA"/>
    <w:rsid w:val="4497472B"/>
    <w:rsid w:val="449817BC"/>
    <w:rsid w:val="44995690"/>
    <w:rsid w:val="44997599"/>
    <w:rsid w:val="449B6F1E"/>
    <w:rsid w:val="44A6544B"/>
    <w:rsid w:val="44A65752"/>
    <w:rsid w:val="44AA6749"/>
    <w:rsid w:val="44B47C66"/>
    <w:rsid w:val="44C030EB"/>
    <w:rsid w:val="44C94256"/>
    <w:rsid w:val="44CA0602"/>
    <w:rsid w:val="44CA5C9C"/>
    <w:rsid w:val="44CB4974"/>
    <w:rsid w:val="44D00144"/>
    <w:rsid w:val="44D128B5"/>
    <w:rsid w:val="44D43158"/>
    <w:rsid w:val="44E842F1"/>
    <w:rsid w:val="44EA62FB"/>
    <w:rsid w:val="44ED7533"/>
    <w:rsid w:val="44FB1376"/>
    <w:rsid w:val="45040D8A"/>
    <w:rsid w:val="45135F85"/>
    <w:rsid w:val="45212F53"/>
    <w:rsid w:val="452622B7"/>
    <w:rsid w:val="452A2B39"/>
    <w:rsid w:val="4541691B"/>
    <w:rsid w:val="454E30FD"/>
    <w:rsid w:val="454F4A2D"/>
    <w:rsid w:val="455153C4"/>
    <w:rsid w:val="45544E1C"/>
    <w:rsid w:val="4563419A"/>
    <w:rsid w:val="45670630"/>
    <w:rsid w:val="45682C8D"/>
    <w:rsid w:val="456A5ADF"/>
    <w:rsid w:val="45716F09"/>
    <w:rsid w:val="4578513F"/>
    <w:rsid w:val="45820082"/>
    <w:rsid w:val="458E0429"/>
    <w:rsid w:val="458F7414"/>
    <w:rsid w:val="45984F89"/>
    <w:rsid w:val="459D345F"/>
    <w:rsid w:val="45B876DB"/>
    <w:rsid w:val="45BC0F48"/>
    <w:rsid w:val="45C5458A"/>
    <w:rsid w:val="45C61997"/>
    <w:rsid w:val="45C927B5"/>
    <w:rsid w:val="45CC09E8"/>
    <w:rsid w:val="45D033C8"/>
    <w:rsid w:val="45DE468E"/>
    <w:rsid w:val="45DF1556"/>
    <w:rsid w:val="45E70D6B"/>
    <w:rsid w:val="45E83DF4"/>
    <w:rsid w:val="45EB3CDC"/>
    <w:rsid w:val="45EB532A"/>
    <w:rsid w:val="45ED0C18"/>
    <w:rsid w:val="45ED687B"/>
    <w:rsid w:val="45FE6E7A"/>
    <w:rsid w:val="46076CCC"/>
    <w:rsid w:val="460B3E25"/>
    <w:rsid w:val="460D0843"/>
    <w:rsid w:val="46415118"/>
    <w:rsid w:val="4643132F"/>
    <w:rsid w:val="4650678A"/>
    <w:rsid w:val="46537F87"/>
    <w:rsid w:val="465E65B9"/>
    <w:rsid w:val="466310CD"/>
    <w:rsid w:val="46633CD2"/>
    <w:rsid w:val="46656A89"/>
    <w:rsid w:val="466859FD"/>
    <w:rsid w:val="46720D37"/>
    <w:rsid w:val="4674012C"/>
    <w:rsid w:val="467C1A90"/>
    <w:rsid w:val="467C5FEC"/>
    <w:rsid w:val="46804844"/>
    <w:rsid w:val="46814483"/>
    <w:rsid w:val="468330DA"/>
    <w:rsid w:val="46906D3E"/>
    <w:rsid w:val="46AE48BF"/>
    <w:rsid w:val="46BD267A"/>
    <w:rsid w:val="46C4392D"/>
    <w:rsid w:val="46D90425"/>
    <w:rsid w:val="46DB51C6"/>
    <w:rsid w:val="46DE2C8C"/>
    <w:rsid w:val="46E62E8A"/>
    <w:rsid w:val="46F37328"/>
    <w:rsid w:val="46F52FC5"/>
    <w:rsid w:val="46F569AA"/>
    <w:rsid w:val="470E3F6D"/>
    <w:rsid w:val="471243AD"/>
    <w:rsid w:val="471425AF"/>
    <w:rsid w:val="471D733A"/>
    <w:rsid w:val="47202FF3"/>
    <w:rsid w:val="47221547"/>
    <w:rsid w:val="47240A17"/>
    <w:rsid w:val="472A3580"/>
    <w:rsid w:val="472C42D4"/>
    <w:rsid w:val="473651D4"/>
    <w:rsid w:val="474970E0"/>
    <w:rsid w:val="475D186F"/>
    <w:rsid w:val="476349C1"/>
    <w:rsid w:val="47635246"/>
    <w:rsid w:val="47680629"/>
    <w:rsid w:val="476C47F6"/>
    <w:rsid w:val="477C7DBB"/>
    <w:rsid w:val="4787318A"/>
    <w:rsid w:val="478B40F0"/>
    <w:rsid w:val="478C0E47"/>
    <w:rsid w:val="478E2712"/>
    <w:rsid w:val="478F3F60"/>
    <w:rsid w:val="479565B1"/>
    <w:rsid w:val="479E2231"/>
    <w:rsid w:val="479E5C24"/>
    <w:rsid w:val="479F2099"/>
    <w:rsid w:val="47AD2E24"/>
    <w:rsid w:val="47C61872"/>
    <w:rsid w:val="47CE6F5F"/>
    <w:rsid w:val="47D13B1E"/>
    <w:rsid w:val="47D22495"/>
    <w:rsid w:val="47D34424"/>
    <w:rsid w:val="47D5591D"/>
    <w:rsid w:val="47D86081"/>
    <w:rsid w:val="47E003D9"/>
    <w:rsid w:val="480F0AF5"/>
    <w:rsid w:val="4814570B"/>
    <w:rsid w:val="48180615"/>
    <w:rsid w:val="48182427"/>
    <w:rsid w:val="481D4371"/>
    <w:rsid w:val="48212ECE"/>
    <w:rsid w:val="482354BE"/>
    <w:rsid w:val="482617A3"/>
    <w:rsid w:val="482E6712"/>
    <w:rsid w:val="48315F2D"/>
    <w:rsid w:val="4835102E"/>
    <w:rsid w:val="483729CF"/>
    <w:rsid w:val="48392C05"/>
    <w:rsid w:val="483F6230"/>
    <w:rsid w:val="484222C8"/>
    <w:rsid w:val="48447206"/>
    <w:rsid w:val="484476C0"/>
    <w:rsid w:val="4846785F"/>
    <w:rsid w:val="48494A77"/>
    <w:rsid w:val="484A3AA3"/>
    <w:rsid w:val="484C7711"/>
    <w:rsid w:val="484F317D"/>
    <w:rsid w:val="485069C7"/>
    <w:rsid w:val="48507221"/>
    <w:rsid w:val="485540DC"/>
    <w:rsid w:val="485D4618"/>
    <w:rsid w:val="486231D8"/>
    <w:rsid w:val="4877379D"/>
    <w:rsid w:val="48847298"/>
    <w:rsid w:val="4889697B"/>
    <w:rsid w:val="488B4C70"/>
    <w:rsid w:val="488D0F8A"/>
    <w:rsid w:val="488E192C"/>
    <w:rsid w:val="488E2250"/>
    <w:rsid w:val="48924773"/>
    <w:rsid w:val="48986715"/>
    <w:rsid w:val="489D543C"/>
    <w:rsid w:val="48B15377"/>
    <w:rsid w:val="48CD7211"/>
    <w:rsid w:val="48D067FE"/>
    <w:rsid w:val="48D74E1F"/>
    <w:rsid w:val="48DA40AD"/>
    <w:rsid w:val="48DB719A"/>
    <w:rsid w:val="48DD0505"/>
    <w:rsid w:val="48DD29E6"/>
    <w:rsid w:val="48E61DC7"/>
    <w:rsid w:val="48F552BD"/>
    <w:rsid w:val="490952F1"/>
    <w:rsid w:val="490A45DE"/>
    <w:rsid w:val="490B6BBE"/>
    <w:rsid w:val="490D2D2F"/>
    <w:rsid w:val="4913539F"/>
    <w:rsid w:val="491A223A"/>
    <w:rsid w:val="491B3430"/>
    <w:rsid w:val="492611D8"/>
    <w:rsid w:val="49286AA2"/>
    <w:rsid w:val="4928761D"/>
    <w:rsid w:val="492A125D"/>
    <w:rsid w:val="492A7450"/>
    <w:rsid w:val="492B7517"/>
    <w:rsid w:val="493712CC"/>
    <w:rsid w:val="493B1858"/>
    <w:rsid w:val="49423339"/>
    <w:rsid w:val="494424C8"/>
    <w:rsid w:val="49460C9A"/>
    <w:rsid w:val="494638FF"/>
    <w:rsid w:val="494672C5"/>
    <w:rsid w:val="4948475D"/>
    <w:rsid w:val="494E2073"/>
    <w:rsid w:val="495A61B3"/>
    <w:rsid w:val="495F2DE4"/>
    <w:rsid w:val="49680683"/>
    <w:rsid w:val="496A5DC1"/>
    <w:rsid w:val="49711E0A"/>
    <w:rsid w:val="49775E2C"/>
    <w:rsid w:val="497832A2"/>
    <w:rsid w:val="4979164A"/>
    <w:rsid w:val="497B47FB"/>
    <w:rsid w:val="49820691"/>
    <w:rsid w:val="49851E7C"/>
    <w:rsid w:val="498A20FD"/>
    <w:rsid w:val="498C6390"/>
    <w:rsid w:val="499404A7"/>
    <w:rsid w:val="499E54EB"/>
    <w:rsid w:val="499E7AF7"/>
    <w:rsid w:val="49A4782B"/>
    <w:rsid w:val="49A702A1"/>
    <w:rsid w:val="49A96F62"/>
    <w:rsid w:val="49B1360B"/>
    <w:rsid w:val="49B55336"/>
    <w:rsid w:val="49BB740C"/>
    <w:rsid w:val="49BE0572"/>
    <w:rsid w:val="49BF3B35"/>
    <w:rsid w:val="49CB5318"/>
    <w:rsid w:val="49CE292F"/>
    <w:rsid w:val="49D639AA"/>
    <w:rsid w:val="49D9225D"/>
    <w:rsid w:val="49DE01EF"/>
    <w:rsid w:val="49E86C92"/>
    <w:rsid w:val="49F94858"/>
    <w:rsid w:val="49FA1718"/>
    <w:rsid w:val="4A0763E4"/>
    <w:rsid w:val="4A131D6E"/>
    <w:rsid w:val="4A132EB0"/>
    <w:rsid w:val="4A165F2A"/>
    <w:rsid w:val="4A177E29"/>
    <w:rsid w:val="4A1B020F"/>
    <w:rsid w:val="4A280AB4"/>
    <w:rsid w:val="4A2854F7"/>
    <w:rsid w:val="4A2F31BA"/>
    <w:rsid w:val="4A43642E"/>
    <w:rsid w:val="4A4C6550"/>
    <w:rsid w:val="4A4C75B0"/>
    <w:rsid w:val="4A4D016A"/>
    <w:rsid w:val="4A4E5FEB"/>
    <w:rsid w:val="4A554601"/>
    <w:rsid w:val="4A561CBA"/>
    <w:rsid w:val="4A5A671F"/>
    <w:rsid w:val="4A5C0FF0"/>
    <w:rsid w:val="4A5D145D"/>
    <w:rsid w:val="4A620A54"/>
    <w:rsid w:val="4A702F2B"/>
    <w:rsid w:val="4A840DC6"/>
    <w:rsid w:val="4A902749"/>
    <w:rsid w:val="4A926276"/>
    <w:rsid w:val="4AA00FD2"/>
    <w:rsid w:val="4AAA7D7C"/>
    <w:rsid w:val="4AC20F7D"/>
    <w:rsid w:val="4ACC2A8B"/>
    <w:rsid w:val="4ACD2B90"/>
    <w:rsid w:val="4AD44255"/>
    <w:rsid w:val="4AD82F13"/>
    <w:rsid w:val="4AD96422"/>
    <w:rsid w:val="4ADB30A1"/>
    <w:rsid w:val="4ADC18A7"/>
    <w:rsid w:val="4AE6006F"/>
    <w:rsid w:val="4AE6230E"/>
    <w:rsid w:val="4AEC3AB3"/>
    <w:rsid w:val="4AEF685E"/>
    <w:rsid w:val="4AF154EB"/>
    <w:rsid w:val="4AF3018B"/>
    <w:rsid w:val="4AF52377"/>
    <w:rsid w:val="4B0E2569"/>
    <w:rsid w:val="4B0F2F76"/>
    <w:rsid w:val="4B257283"/>
    <w:rsid w:val="4B29237B"/>
    <w:rsid w:val="4B2B16A0"/>
    <w:rsid w:val="4B2C1031"/>
    <w:rsid w:val="4B35718B"/>
    <w:rsid w:val="4B3856F5"/>
    <w:rsid w:val="4B3D046D"/>
    <w:rsid w:val="4B3F3070"/>
    <w:rsid w:val="4B40760C"/>
    <w:rsid w:val="4B491417"/>
    <w:rsid w:val="4B524375"/>
    <w:rsid w:val="4B6458AB"/>
    <w:rsid w:val="4B6C754A"/>
    <w:rsid w:val="4B700EFE"/>
    <w:rsid w:val="4B792774"/>
    <w:rsid w:val="4B88550B"/>
    <w:rsid w:val="4B8A186D"/>
    <w:rsid w:val="4B8B4FBB"/>
    <w:rsid w:val="4B8D17EF"/>
    <w:rsid w:val="4B90006B"/>
    <w:rsid w:val="4B922864"/>
    <w:rsid w:val="4B9A7EBC"/>
    <w:rsid w:val="4BA51614"/>
    <w:rsid w:val="4BA7741B"/>
    <w:rsid w:val="4BAC07F0"/>
    <w:rsid w:val="4BB223ED"/>
    <w:rsid w:val="4BB555FA"/>
    <w:rsid w:val="4BB84306"/>
    <w:rsid w:val="4BB9783D"/>
    <w:rsid w:val="4BC30330"/>
    <w:rsid w:val="4BC504B6"/>
    <w:rsid w:val="4BCC4E5B"/>
    <w:rsid w:val="4BE22B6F"/>
    <w:rsid w:val="4BEE4A49"/>
    <w:rsid w:val="4BF9737C"/>
    <w:rsid w:val="4C090F58"/>
    <w:rsid w:val="4C145D65"/>
    <w:rsid w:val="4C14685F"/>
    <w:rsid w:val="4C195AB0"/>
    <w:rsid w:val="4C1F45CF"/>
    <w:rsid w:val="4C1F7AAA"/>
    <w:rsid w:val="4C2841CA"/>
    <w:rsid w:val="4C2D3605"/>
    <w:rsid w:val="4C2E5DF4"/>
    <w:rsid w:val="4C302713"/>
    <w:rsid w:val="4C3136B5"/>
    <w:rsid w:val="4C361BEE"/>
    <w:rsid w:val="4C370B02"/>
    <w:rsid w:val="4C391C1B"/>
    <w:rsid w:val="4C3A5314"/>
    <w:rsid w:val="4C3B1FC1"/>
    <w:rsid w:val="4C3F1CEB"/>
    <w:rsid w:val="4C402615"/>
    <w:rsid w:val="4C414909"/>
    <w:rsid w:val="4C424438"/>
    <w:rsid w:val="4C45125E"/>
    <w:rsid w:val="4C4B0019"/>
    <w:rsid w:val="4C522A79"/>
    <w:rsid w:val="4C525B40"/>
    <w:rsid w:val="4C535783"/>
    <w:rsid w:val="4C535FFF"/>
    <w:rsid w:val="4C574705"/>
    <w:rsid w:val="4C5D6554"/>
    <w:rsid w:val="4C5D67F9"/>
    <w:rsid w:val="4C6763F0"/>
    <w:rsid w:val="4C681F60"/>
    <w:rsid w:val="4C774AF0"/>
    <w:rsid w:val="4C8C2990"/>
    <w:rsid w:val="4C906CEC"/>
    <w:rsid w:val="4C9304B5"/>
    <w:rsid w:val="4C9C4035"/>
    <w:rsid w:val="4CA55EFB"/>
    <w:rsid w:val="4CA5686D"/>
    <w:rsid w:val="4CA61A6C"/>
    <w:rsid w:val="4CAA7F22"/>
    <w:rsid w:val="4CAB0678"/>
    <w:rsid w:val="4CBA54E2"/>
    <w:rsid w:val="4CC06044"/>
    <w:rsid w:val="4CC518B5"/>
    <w:rsid w:val="4CCA223F"/>
    <w:rsid w:val="4CCB43DD"/>
    <w:rsid w:val="4CCD51D5"/>
    <w:rsid w:val="4CCE4955"/>
    <w:rsid w:val="4CD26D01"/>
    <w:rsid w:val="4CD860C5"/>
    <w:rsid w:val="4CF169AF"/>
    <w:rsid w:val="4CF35810"/>
    <w:rsid w:val="4CF862A1"/>
    <w:rsid w:val="4D0955E0"/>
    <w:rsid w:val="4D0E7C59"/>
    <w:rsid w:val="4D13176E"/>
    <w:rsid w:val="4D1516D4"/>
    <w:rsid w:val="4D155109"/>
    <w:rsid w:val="4D160772"/>
    <w:rsid w:val="4D161C86"/>
    <w:rsid w:val="4D294D3E"/>
    <w:rsid w:val="4D2E4911"/>
    <w:rsid w:val="4D36583D"/>
    <w:rsid w:val="4D377FC9"/>
    <w:rsid w:val="4D3F3490"/>
    <w:rsid w:val="4D4205F9"/>
    <w:rsid w:val="4D4763C9"/>
    <w:rsid w:val="4D4B0F75"/>
    <w:rsid w:val="4D4B25D3"/>
    <w:rsid w:val="4D571A7B"/>
    <w:rsid w:val="4D5B1632"/>
    <w:rsid w:val="4D6C5AB4"/>
    <w:rsid w:val="4D744588"/>
    <w:rsid w:val="4D746687"/>
    <w:rsid w:val="4D843B0A"/>
    <w:rsid w:val="4D8A0553"/>
    <w:rsid w:val="4D981AE4"/>
    <w:rsid w:val="4D987F90"/>
    <w:rsid w:val="4D9A2E23"/>
    <w:rsid w:val="4DA0212D"/>
    <w:rsid w:val="4DA35103"/>
    <w:rsid w:val="4DA428DE"/>
    <w:rsid w:val="4DAD5DD7"/>
    <w:rsid w:val="4DB32910"/>
    <w:rsid w:val="4DB511D9"/>
    <w:rsid w:val="4DBF014D"/>
    <w:rsid w:val="4DC17153"/>
    <w:rsid w:val="4DC63CE9"/>
    <w:rsid w:val="4DC749EC"/>
    <w:rsid w:val="4DCF2221"/>
    <w:rsid w:val="4DCF5D33"/>
    <w:rsid w:val="4DD51F8E"/>
    <w:rsid w:val="4DE4148A"/>
    <w:rsid w:val="4DE72944"/>
    <w:rsid w:val="4DEC5CC4"/>
    <w:rsid w:val="4DF70A71"/>
    <w:rsid w:val="4DFF0035"/>
    <w:rsid w:val="4E1A1D04"/>
    <w:rsid w:val="4E1B4982"/>
    <w:rsid w:val="4E1F3BD6"/>
    <w:rsid w:val="4E25467E"/>
    <w:rsid w:val="4E2B524A"/>
    <w:rsid w:val="4E2F43B6"/>
    <w:rsid w:val="4E2F4535"/>
    <w:rsid w:val="4E31543F"/>
    <w:rsid w:val="4E3265CC"/>
    <w:rsid w:val="4E337043"/>
    <w:rsid w:val="4E35074B"/>
    <w:rsid w:val="4E3C7656"/>
    <w:rsid w:val="4E412777"/>
    <w:rsid w:val="4E41707E"/>
    <w:rsid w:val="4E463559"/>
    <w:rsid w:val="4E5E365F"/>
    <w:rsid w:val="4E704B83"/>
    <w:rsid w:val="4E750B97"/>
    <w:rsid w:val="4E7C27BA"/>
    <w:rsid w:val="4E7E2192"/>
    <w:rsid w:val="4E7F4F7B"/>
    <w:rsid w:val="4E8350BC"/>
    <w:rsid w:val="4E8532FC"/>
    <w:rsid w:val="4E8F7ECC"/>
    <w:rsid w:val="4E9F25EB"/>
    <w:rsid w:val="4EA3570B"/>
    <w:rsid w:val="4EB34EAA"/>
    <w:rsid w:val="4EBA3C30"/>
    <w:rsid w:val="4EC448B7"/>
    <w:rsid w:val="4EC507D8"/>
    <w:rsid w:val="4EC73EFA"/>
    <w:rsid w:val="4EC74A79"/>
    <w:rsid w:val="4EC9721D"/>
    <w:rsid w:val="4ECD60AD"/>
    <w:rsid w:val="4ED54F23"/>
    <w:rsid w:val="4EDB0E4C"/>
    <w:rsid w:val="4EE01FDE"/>
    <w:rsid w:val="4EE33552"/>
    <w:rsid w:val="4F047B4F"/>
    <w:rsid w:val="4F0A170B"/>
    <w:rsid w:val="4F1E7A0E"/>
    <w:rsid w:val="4F2531CF"/>
    <w:rsid w:val="4F362B9E"/>
    <w:rsid w:val="4F3F7463"/>
    <w:rsid w:val="4F403BE0"/>
    <w:rsid w:val="4F495F22"/>
    <w:rsid w:val="4F563999"/>
    <w:rsid w:val="4F5A7F0A"/>
    <w:rsid w:val="4F6A55C1"/>
    <w:rsid w:val="4F701FC0"/>
    <w:rsid w:val="4F705BF7"/>
    <w:rsid w:val="4F71167C"/>
    <w:rsid w:val="4F761B22"/>
    <w:rsid w:val="4F763905"/>
    <w:rsid w:val="4F7F4A65"/>
    <w:rsid w:val="4F813AAC"/>
    <w:rsid w:val="4F8B0221"/>
    <w:rsid w:val="4F902EF7"/>
    <w:rsid w:val="4F904D9A"/>
    <w:rsid w:val="4F940894"/>
    <w:rsid w:val="4F9862AC"/>
    <w:rsid w:val="4FA040DD"/>
    <w:rsid w:val="4FA33D51"/>
    <w:rsid w:val="4FA93E74"/>
    <w:rsid w:val="4FB12CD8"/>
    <w:rsid w:val="4FBA31CA"/>
    <w:rsid w:val="4FBC0DBA"/>
    <w:rsid w:val="4FBE3648"/>
    <w:rsid w:val="4FC0665C"/>
    <w:rsid w:val="4FC53A5B"/>
    <w:rsid w:val="4FC60C36"/>
    <w:rsid w:val="4FCA5FFF"/>
    <w:rsid w:val="4FD96FB7"/>
    <w:rsid w:val="4FDC159C"/>
    <w:rsid w:val="4FFF62C6"/>
    <w:rsid w:val="50030B40"/>
    <w:rsid w:val="500636FB"/>
    <w:rsid w:val="50092FAB"/>
    <w:rsid w:val="500F4483"/>
    <w:rsid w:val="50242190"/>
    <w:rsid w:val="502E42C7"/>
    <w:rsid w:val="50395FA0"/>
    <w:rsid w:val="505A6BC2"/>
    <w:rsid w:val="50673B6A"/>
    <w:rsid w:val="506A3754"/>
    <w:rsid w:val="50780635"/>
    <w:rsid w:val="507E0CD2"/>
    <w:rsid w:val="5089249C"/>
    <w:rsid w:val="50902B77"/>
    <w:rsid w:val="50913525"/>
    <w:rsid w:val="50963D8A"/>
    <w:rsid w:val="50963FBA"/>
    <w:rsid w:val="509934B9"/>
    <w:rsid w:val="509E5C06"/>
    <w:rsid w:val="50A47812"/>
    <w:rsid w:val="50AB7ED3"/>
    <w:rsid w:val="50B3110D"/>
    <w:rsid w:val="50B72ACE"/>
    <w:rsid w:val="50BB383C"/>
    <w:rsid w:val="50C61C73"/>
    <w:rsid w:val="50D17A9A"/>
    <w:rsid w:val="50DA2A30"/>
    <w:rsid w:val="50E24197"/>
    <w:rsid w:val="50E667A8"/>
    <w:rsid w:val="50F25714"/>
    <w:rsid w:val="50F309D5"/>
    <w:rsid w:val="50F40D1C"/>
    <w:rsid w:val="50FA1A5E"/>
    <w:rsid w:val="50FD1D6A"/>
    <w:rsid w:val="50FE57A9"/>
    <w:rsid w:val="50FE5ABA"/>
    <w:rsid w:val="510B4104"/>
    <w:rsid w:val="5117522E"/>
    <w:rsid w:val="513F0351"/>
    <w:rsid w:val="51411303"/>
    <w:rsid w:val="514337DF"/>
    <w:rsid w:val="51435C59"/>
    <w:rsid w:val="515878DC"/>
    <w:rsid w:val="5161133E"/>
    <w:rsid w:val="51646B4B"/>
    <w:rsid w:val="51723CF3"/>
    <w:rsid w:val="517308D4"/>
    <w:rsid w:val="517443E8"/>
    <w:rsid w:val="51846035"/>
    <w:rsid w:val="518971D0"/>
    <w:rsid w:val="519D51A6"/>
    <w:rsid w:val="519E09A2"/>
    <w:rsid w:val="519F5663"/>
    <w:rsid w:val="51A030B9"/>
    <w:rsid w:val="51B366B5"/>
    <w:rsid w:val="51B85AB4"/>
    <w:rsid w:val="51C03237"/>
    <w:rsid w:val="51C1710B"/>
    <w:rsid w:val="51C509B0"/>
    <w:rsid w:val="51C57D18"/>
    <w:rsid w:val="51D07EA4"/>
    <w:rsid w:val="51DB18C2"/>
    <w:rsid w:val="51E62755"/>
    <w:rsid w:val="51EA437C"/>
    <w:rsid w:val="51EE3AFD"/>
    <w:rsid w:val="51EE7C4A"/>
    <w:rsid w:val="51F14AA4"/>
    <w:rsid w:val="51F17BE9"/>
    <w:rsid w:val="51F81E2B"/>
    <w:rsid w:val="520806BD"/>
    <w:rsid w:val="5209146F"/>
    <w:rsid w:val="522E24E8"/>
    <w:rsid w:val="522F5BA0"/>
    <w:rsid w:val="523B24E9"/>
    <w:rsid w:val="523C59A2"/>
    <w:rsid w:val="523E0049"/>
    <w:rsid w:val="523F0C59"/>
    <w:rsid w:val="5242166E"/>
    <w:rsid w:val="5247687B"/>
    <w:rsid w:val="524E350F"/>
    <w:rsid w:val="52557351"/>
    <w:rsid w:val="525C1EE8"/>
    <w:rsid w:val="525D1948"/>
    <w:rsid w:val="52605431"/>
    <w:rsid w:val="52800DF4"/>
    <w:rsid w:val="52802215"/>
    <w:rsid w:val="52816A27"/>
    <w:rsid w:val="52875D10"/>
    <w:rsid w:val="52A50B3C"/>
    <w:rsid w:val="52A82D0E"/>
    <w:rsid w:val="52AC1D41"/>
    <w:rsid w:val="52B17716"/>
    <w:rsid w:val="52BC03D5"/>
    <w:rsid w:val="52C45D80"/>
    <w:rsid w:val="52CB153A"/>
    <w:rsid w:val="52CC1D57"/>
    <w:rsid w:val="52D26885"/>
    <w:rsid w:val="52D8505C"/>
    <w:rsid w:val="52E65386"/>
    <w:rsid w:val="52F04CC5"/>
    <w:rsid w:val="52F67C18"/>
    <w:rsid w:val="52FA6D2A"/>
    <w:rsid w:val="530C64FF"/>
    <w:rsid w:val="53187567"/>
    <w:rsid w:val="53190FC1"/>
    <w:rsid w:val="53287738"/>
    <w:rsid w:val="532E5092"/>
    <w:rsid w:val="53346659"/>
    <w:rsid w:val="5336131E"/>
    <w:rsid w:val="533F0464"/>
    <w:rsid w:val="53406D4D"/>
    <w:rsid w:val="53486639"/>
    <w:rsid w:val="534913C3"/>
    <w:rsid w:val="534A6E64"/>
    <w:rsid w:val="53506F92"/>
    <w:rsid w:val="53520818"/>
    <w:rsid w:val="53564ABA"/>
    <w:rsid w:val="53727993"/>
    <w:rsid w:val="53756402"/>
    <w:rsid w:val="53914D45"/>
    <w:rsid w:val="539F1C44"/>
    <w:rsid w:val="53A2196B"/>
    <w:rsid w:val="53A53B51"/>
    <w:rsid w:val="53AB3A32"/>
    <w:rsid w:val="53AB5887"/>
    <w:rsid w:val="53B03474"/>
    <w:rsid w:val="53BA7E0C"/>
    <w:rsid w:val="53D15786"/>
    <w:rsid w:val="53D75988"/>
    <w:rsid w:val="53D9323A"/>
    <w:rsid w:val="53E257CD"/>
    <w:rsid w:val="53E35927"/>
    <w:rsid w:val="53E85A9F"/>
    <w:rsid w:val="54004971"/>
    <w:rsid w:val="54034791"/>
    <w:rsid w:val="54085300"/>
    <w:rsid w:val="540A2E61"/>
    <w:rsid w:val="541907CF"/>
    <w:rsid w:val="541D52D2"/>
    <w:rsid w:val="541E297A"/>
    <w:rsid w:val="54231FA3"/>
    <w:rsid w:val="54260EC2"/>
    <w:rsid w:val="542F6CAB"/>
    <w:rsid w:val="54303DB7"/>
    <w:rsid w:val="5434044C"/>
    <w:rsid w:val="54347B4D"/>
    <w:rsid w:val="543A6673"/>
    <w:rsid w:val="54405ACF"/>
    <w:rsid w:val="54431858"/>
    <w:rsid w:val="54433B8D"/>
    <w:rsid w:val="544554F6"/>
    <w:rsid w:val="54493918"/>
    <w:rsid w:val="544A330D"/>
    <w:rsid w:val="54522C0A"/>
    <w:rsid w:val="545C02F9"/>
    <w:rsid w:val="546576D7"/>
    <w:rsid w:val="54660239"/>
    <w:rsid w:val="546B1302"/>
    <w:rsid w:val="546C78D6"/>
    <w:rsid w:val="54721819"/>
    <w:rsid w:val="547A7ACB"/>
    <w:rsid w:val="547F2541"/>
    <w:rsid w:val="5485766F"/>
    <w:rsid w:val="548D710D"/>
    <w:rsid w:val="548E4660"/>
    <w:rsid w:val="54925ECB"/>
    <w:rsid w:val="54A0258D"/>
    <w:rsid w:val="54A31BC6"/>
    <w:rsid w:val="54A3774A"/>
    <w:rsid w:val="54AB0647"/>
    <w:rsid w:val="54AE390E"/>
    <w:rsid w:val="54B22C54"/>
    <w:rsid w:val="54B7600C"/>
    <w:rsid w:val="54B94751"/>
    <w:rsid w:val="54D20DDE"/>
    <w:rsid w:val="54E06F6F"/>
    <w:rsid w:val="54E37F89"/>
    <w:rsid w:val="54F3795C"/>
    <w:rsid w:val="54F52ADA"/>
    <w:rsid w:val="54F57EA7"/>
    <w:rsid w:val="54FD25E1"/>
    <w:rsid w:val="5502011D"/>
    <w:rsid w:val="55063441"/>
    <w:rsid w:val="550A2161"/>
    <w:rsid w:val="551243DE"/>
    <w:rsid w:val="552A1D56"/>
    <w:rsid w:val="553815A7"/>
    <w:rsid w:val="55407FB0"/>
    <w:rsid w:val="554713A5"/>
    <w:rsid w:val="554902AD"/>
    <w:rsid w:val="554961DB"/>
    <w:rsid w:val="554F4858"/>
    <w:rsid w:val="554F5EAA"/>
    <w:rsid w:val="555267FD"/>
    <w:rsid w:val="555767E6"/>
    <w:rsid w:val="555C7DD9"/>
    <w:rsid w:val="55610A21"/>
    <w:rsid w:val="55612DB0"/>
    <w:rsid w:val="55633103"/>
    <w:rsid w:val="55670D59"/>
    <w:rsid w:val="55674D6B"/>
    <w:rsid w:val="55802B99"/>
    <w:rsid w:val="55845DB9"/>
    <w:rsid w:val="5586557F"/>
    <w:rsid w:val="55916139"/>
    <w:rsid w:val="55973236"/>
    <w:rsid w:val="559B0DFC"/>
    <w:rsid w:val="559D472B"/>
    <w:rsid w:val="55AB6BF9"/>
    <w:rsid w:val="55AE7244"/>
    <w:rsid w:val="55CA05CD"/>
    <w:rsid w:val="55CD750A"/>
    <w:rsid w:val="55D3106B"/>
    <w:rsid w:val="55D60121"/>
    <w:rsid w:val="55D862C8"/>
    <w:rsid w:val="55DC4C65"/>
    <w:rsid w:val="55DE3EE8"/>
    <w:rsid w:val="55DE4B29"/>
    <w:rsid w:val="55E036F8"/>
    <w:rsid w:val="55E8293D"/>
    <w:rsid w:val="55E925F2"/>
    <w:rsid w:val="55ED44C1"/>
    <w:rsid w:val="55F20FE5"/>
    <w:rsid w:val="55F55B38"/>
    <w:rsid w:val="55FA6E3E"/>
    <w:rsid w:val="55FC46AE"/>
    <w:rsid w:val="56033689"/>
    <w:rsid w:val="5605666A"/>
    <w:rsid w:val="56125C2D"/>
    <w:rsid w:val="5613654B"/>
    <w:rsid w:val="56173FCD"/>
    <w:rsid w:val="56191810"/>
    <w:rsid w:val="5619342A"/>
    <w:rsid w:val="562B4256"/>
    <w:rsid w:val="563208A7"/>
    <w:rsid w:val="5636716D"/>
    <w:rsid w:val="563A014C"/>
    <w:rsid w:val="56404489"/>
    <w:rsid w:val="564C6CC7"/>
    <w:rsid w:val="564D57E5"/>
    <w:rsid w:val="565028E8"/>
    <w:rsid w:val="565520B1"/>
    <w:rsid w:val="565E70F3"/>
    <w:rsid w:val="566C4DCE"/>
    <w:rsid w:val="56780CBC"/>
    <w:rsid w:val="567C018B"/>
    <w:rsid w:val="56833A16"/>
    <w:rsid w:val="569424DF"/>
    <w:rsid w:val="56967967"/>
    <w:rsid w:val="569A3F3F"/>
    <w:rsid w:val="569B558F"/>
    <w:rsid w:val="56AB61AF"/>
    <w:rsid w:val="56B25003"/>
    <w:rsid w:val="56BD6F7A"/>
    <w:rsid w:val="56BF381B"/>
    <w:rsid w:val="56C01608"/>
    <w:rsid w:val="56C45ABF"/>
    <w:rsid w:val="56C635B0"/>
    <w:rsid w:val="56C716AB"/>
    <w:rsid w:val="56D156F2"/>
    <w:rsid w:val="56DE09A7"/>
    <w:rsid w:val="56DF5074"/>
    <w:rsid w:val="56ED27ED"/>
    <w:rsid w:val="56F0460C"/>
    <w:rsid w:val="56F52961"/>
    <w:rsid w:val="56F73876"/>
    <w:rsid w:val="56FE25F0"/>
    <w:rsid w:val="57042834"/>
    <w:rsid w:val="57052A37"/>
    <w:rsid w:val="570D2FAF"/>
    <w:rsid w:val="570E0991"/>
    <w:rsid w:val="570F0AD4"/>
    <w:rsid w:val="5716477B"/>
    <w:rsid w:val="57174912"/>
    <w:rsid w:val="572600DC"/>
    <w:rsid w:val="57262539"/>
    <w:rsid w:val="57272B72"/>
    <w:rsid w:val="572747C8"/>
    <w:rsid w:val="572E33A8"/>
    <w:rsid w:val="572E5501"/>
    <w:rsid w:val="57311F53"/>
    <w:rsid w:val="57362D20"/>
    <w:rsid w:val="57363BE5"/>
    <w:rsid w:val="57374423"/>
    <w:rsid w:val="57381968"/>
    <w:rsid w:val="573A1129"/>
    <w:rsid w:val="573B080F"/>
    <w:rsid w:val="573B6F60"/>
    <w:rsid w:val="57513842"/>
    <w:rsid w:val="57591215"/>
    <w:rsid w:val="57671583"/>
    <w:rsid w:val="57694B21"/>
    <w:rsid w:val="577A0EBE"/>
    <w:rsid w:val="577A55CD"/>
    <w:rsid w:val="57803FED"/>
    <w:rsid w:val="5781472A"/>
    <w:rsid w:val="57854F06"/>
    <w:rsid w:val="57882950"/>
    <w:rsid w:val="578A003C"/>
    <w:rsid w:val="57A16352"/>
    <w:rsid w:val="57AD164B"/>
    <w:rsid w:val="57AD3A54"/>
    <w:rsid w:val="57B56EB9"/>
    <w:rsid w:val="57B92A66"/>
    <w:rsid w:val="57BC1404"/>
    <w:rsid w:val="57C27083"/>
    <w:rsid w:val="57D230E2"/>
    <w:rsid w:val="57DF2F76"/>
    <w:rsid w:val="57E40BCB"/>
    <w:rsid w:val="57E61B43"/>
    <w:rsid w:val="57EC2B5F"/>
    <w:rsid w:val="57F146E7"/>
    <w:rsid w:val="57F209C6"/>
    <w:rsid w:val="57F662F9"/>
    <w:rsid w:val="58012E33"/>
    <w:rsid w:val="580F269B"/>
    <w:rsid w:val="581D7025"/>
    <w:rsid w:val="58265C3D"/>
    <w:rsid w:val="582F172F"/>
    <w:rsid w:val="583049DD"/>
    <w:rsid w:val="583E2142"/>
    <w:rsid w:val="5840588A"/>
    <w:rsid w:val="58462A3C"/>
    <w:rsid w:val="5856656E"/>
    <w:rsid w:val="58586B5D"/>
    <w:rsid w:val="586A5A6E"/>
    <w:rsid w:val="587E1725"/>
    <w:rsid w:val="58841AF6"/>
    <w:rsid w:val="588D720B"/>
    <w:rsid w:val="58A03607"/>
    <w:rsid w:val="58AE1A08"/>
    <w:rsid w:val="58B3266F"/>
    <w:rsid w:val="58C06EB6"/>
    <w:rsid w:val="58C73D2B"/>
    <w:rsid w:val="58C82205"/>
    <w:rsid w:val="58D776CB"/>
    <w:rsid w:val="58DD06FB"/>
    <w:rsid w:val="58DE3FB3"/>
    <w:rsid w:val="58DF12AD"/>
    <w:rsid w:val="58DF297B"/>
    <w:rsid w:val="58E142A2"/>
    <w:rsid w:val="58E14F84"/>
    <w:rsid w:val="58E25458"/>
    <w:rsid w:val="58EB1DD3"/>
    <w:rsid w:val="58EB4E0A"/>
    <w:rsid w:val="58F25754"/>
    <w:rsid w:val="58F25EB2"/>
    <w:rsid w:val="58F41BC7"/>
    <w:rsid w:val="58F729F0"/>
    <w:rsid w:val="58F73BA2"/>
    <w:rsid w:val="58F91827"/>
    <w:rsid w:val="5909588E"/>
    <w:rsid w:val="5917024A"/>
    <w:rsid w:val="59176FA8"/>
    <w:rsid w:val="591912F5"/>
    <w:rsid w:val="592371EC"/>
    <w:rsid w:val="59263577"/>
    <w:rsid w:val="59311929"/>
    <w:rsid w:val="59325938"/>
    <w:rsid w:val="5933381E"/>
    <w:rsid w:val="593858AE"/>
    <w:rsid w:val="593C2CB6"/>
    <w:rsid w:val="593C7DD5"/>
    <w:rsid w:val="593F4915"/>
    <w:rsid w:val="594713E2"/>
    <w:rsid w:val="594B128F"/>
    <w:rsid w:val="5958499C"/>
    <w:rsid w:val="59641C93"/>
    <w:rsid w:val="596A2F2D"/>
    <w:rsid w:val="59732BF2"/>
    <w:rsid w:val="59790CAD"/>
    <w:rsid w:val="597A18D8"/>
    <w:rsid w:val="59816957"/>
    <w:rsid w:val="5995631A"/>
    <w:rsid w:val="599F6673"/>
    <w:rsid w:val="59A92790"/>
    <w:rsid w:val="59A95CB0"/>
    <w:rsid w:val="59BB56BE"/>
    <w:rsid w:val="59CA0298"/>
    <w:rsid w:val="59CE1795"/>
    <w:rsid w:val="59DB6E0B"/>
    <w:rsid w:val="59ED6FDB"/>
    <w:rsid w:val="59F315E2"/>
    <w:rsid w:val="59F70AB4"/>
    <w:rsid w:val="59FA2BD7"/>
    <w:rsid w:val="59FB3E84"/>
    <w:rsid w:val="59FE6E8A"/>
    <w:rsid w:val="5A024C6A"/>
    <w:rsid w:val="5A102A90"/>
    <w:rsid w:val="5A24295A"/>
    <w:rsid w:val="5A267BEA"/>
    <w:rsid w:val="5A2D1CE5"/>
    <w:rsid w:val="5A2D24DC"/>
    <w:rsid w:val="5A2E3C40"/>
    <w:rsid w:val="5A4171AD"/>
    <w:rsid w:val="5A516035"/>
    <w:rsid w:val="5A565B83"/>
    <w:rsid w:val="5A571F20"/>
    <w:rsid w:val="5A594852"/>
    <w:rsid w:val="5A5E5663"/>
    <w:rsid w:val="5A614394"/>
    <w:rsid w:val="5A6817E3"/>
    <w:rsid w:val="5A6A29C0"/>
    <w:rsid w:val="5A6E10D0"/>
    <w:rsid w:val="5A7B040C"/>
    <w:rsid w:val="5A802998"/>
    <w:rsid w:val="5A990100"/>
    <w:rsid w:val="5A9B019A"/>
    <w:rsid w:val="5AA35606"/>
    <w:rsid w:val="5AA709E6"/>
    <w:rsid w:val="5AAA69D0"/>
    <w:rsid w:val="5AB34EDF"/>
    <w:rsid w:val="5AB37ACF"/>
    <w:rsid w:val="5AB63055"/>
    <w:rsid w:val="5AB83F23"/>
    <w:rsid w:val="5AB94538"/>
    <w:rsid w:val="5ACE2362"/>
    <w:rsid w:val="5AD01F77"/>
    <w:rsid w:val="5AD32BA5"/>
    <w:rsid w:val="5AE17BDC"/>
    <w:rsid w:val="5AE7419B"/>
    <w:rsid w:val="5B0559DC"/>
    <w:rsid w:val="5B0B74F9"/>
    <w:rsid w:val="5B1B4356"/>
    <w:rsid w:val="5B1C10F6"/>
    <w:rsid w:val="5B1E0CE9"/>
    <w:rsid w:val="5B1F2396"/>
    <w:rsid w:val="5B282AE1"/>
    <w:rsid w:val="5B2F074D"/>
    <w:rsid w:val="5B365C93"/>
    <w:rsid w:val="5B3F3F8B"/>
    <w:rsid w:val="5B433170"/>
    <w:rsid w:val="5B454E59"/>
    <w:rsid w:val="5B564CB8"/>
    <w:rsid w:val="5B565C6A"/>
    <w:rsid w:val="5B581D86"/>
    <w:rsid w:val="5B5A46F0"/>
    <w:rsid w:val="5B61635C"/>
    <w:rsid w:val="5B6345C4"/>
    <w:rsid w:val="5B694969"/>
    <w:rsid w:val="5B726A32"/>
    <w:rsid w:val="5B760B02"/>
    <w:rsid w:val="5B773BBC"/>
    <w:rsid w:val="5B7808F6"/>
    <w:rsid w:val="5B852AF2"/>
    <w:rsid w:val="5B8A3523"/>
    <w:rsid w:val="5B8B34B8"/>
    <w:rsid w:val="5B962799"/>
    <w:rsid w:val="5B9D46AE"/>
    <w:rsid w:val="5B9F289F"/>
    <w:rsid w:val="5BA135F4"/>
    <w:rsid w:val="5BA20012"/>
    <w:rsid w:val="5BA650E9"/>
    <w:rsid w:val="5BAA1F6A"/>
    <w:rsid w:val="5BAD01EC"/>
    <w:rsid w:val="5BAF4D36"/>
    <w:rsid w:val="5BB24252"/>
    <w:rsid w:val="5BB43D1D"/>
    <w:rsid w:val="5BB97460"/>
    <w:rsid w:val="5BB977D1"/>
    <w:rsid w:val="5BC17FFF"/>
    <w:rsid w:val="5BD867C7"/>
    <w:rsid w:val="5BD9294F"/>
    <w:rsid w:val="5BEC1ACF"/>
    <w:rsid w:val="5C023827"/>
    <w:rsid w:val="5C052A04"/>
    <w:rsid w:val="5C096858"/>
    <w:rsid w:val="5C0A4328"/>
    <w:rsid w:val="5C0A7448"/>
    <w:rsid w:val="5C0C53B4"/>
    <w:rsid w:val="5C13781A"/>
    <w:rsid w:val="5C191FC5"/>
    <w:rsid w:val="5C280690"/>
    <w:rsid w:val="5C3C208E"/>
    <w:rsid w:val="5C3C57E9"/>
    <w:rsid w:val="5C400642"/>
    <w:rsid w:val="5C4006F6"/>
    <w:rsid w:val="5C417C90"/>
    <w:rsid w:val="5C436C0C"/>
    <w:rsid w:val="5C4E4BE2"/>
    <w:rsid w:val="5C525E67"/>
    <w:rsid w:val="5C5D4170"/>
    <w:rsid w:val="5C6122EA"/>
    <w:rsid w:val="5C62151D"/>
    <w:rsid w:val="5C690F7A"/>
    <w:rsid w:val="5C700BF3"/>
    <w:rsid w:val="5C74712D"/>
    <w:rsid w:val="5C774085"/>
    <w:rsid w:val="5C81790A"/>
    <w:rsid w:val="5C8452C1"/>
    <w:rsid w:val="5C8978EB"/>
    <w:rsid w:val="5C8B3E05"/>
    <w:rsid w:val="5C912A62"/>
    <w:rsid w:val="5C94342A"/>
    <w:rsid w:val="5C9A78C6"/>
    <w:rsid w:val="5CA80DD7"/>
    <w:rsid w:val="5CB6325A"/>
    <w:rsid w:val="5CB63678"/>
    <w:rsid w:val="5CC03B13"/>
    <w:rsid w:val="5CD14F44"/>
    <w:rsid w:val="5CD95364"/>
    <w:rsid w:val="5CE15B5F"/>
    <w:rsid w:val="5CE26051"/>
    <w:rsid w:val="5CF55F73"/>
    <w:rsid w:val="5D003B9E"/>
    <w:rsid w:val="5D0433A7"/>
    <w:rsid w:val="5D053AA5"/>
    <w:rsid w:val="5D0568C6"/>
    <w:rsid w:val="5D097FDA"/>
    <w:rsid w:val="5D0B129F"/>
    <w:rsid w:val="5D0F3700"/>
    <w:rsid w:val="5D177E53"/>
    <w:rsid w:val="5D1D20C1"/>
    <w:rsid w:val="5D24022A"/>
    <w:rsid w:val="5D272EA3"/>
    <w:rsid w:val="5D2D78D4"/>
    <w:rsid w:val="5D341CC2"/>
    <w:rsid w:val="5D3C610A"/>
    <w:rsid w:val="5D5078D2"/>
    <w:rsid w:val="5D6243CB"/>
    <w:rsid w:val="5D625DA6"/>
    <w:rsid w:val="5D645AE4"/>
    <w:rsid w:val="5D69465F"/>
    <w:rsid w:val="5D6A32A6"/>
    <w:rsid w:val="5D786DAE"/>
    <w:rsid w:val="5D787612"/>
    <w:rsid w:val="5D7B4941"/>
    <w:rsid w:val="5D844E75"/>
    <w:rsid w:val="5D846AB7"/>
    <w:rsid w:val="5D880EDF"/>
    <w:rsid w:val="5D8C4380"/>
    <w:rsid w:val="5D987769"/>
    <w:rsid w:val="5D99074E"/>
    <w:rsid w:val="5D990BA1"/>
    <w:rsid w:val="5D9C50E2"/>
    <w:rsid w:val="5D9C7F22"/>
    <w:rsid w:val="5DB67292"/>
    <w:rsid w:val="5DC24512"/>
    <w:rsid w:val="5DC86E2A"/>
    <w:rsid w:val="5DCB1B79"/>
    <w:rsid w:val="5DCE4A0E"/>
    <w:rsid w:val="5DD8243E"/>
    <w:rsid w:val="5DD9159E"/>
    <w:rsid w:val="5DDA4464"/>
    <w:rsid w:val="5DDC256A"/>
    <w:rsid w:val="5DDF631F"/>
    <w:rsid w:val="5DE141DD"/>
    <w:rsid w:val="5DE971C5"/>
    <w:rsid w:val="5DED34F2"/>
    <w:rsid w:val="5DF11774"/>
    <w:rsid w:val="5E087C08"/>
    <w:rsid w:val="5E0C6097"/>
    <w:rsid w:val="5E165596"/>
    <w:rsid w:val="5E177386"/>
    <w:rsid w:val="5E215240"/>
    <w:rsid w:val="5E275A40"/>
    <w:rsid w:val="5E3512D6"/>
    <w:rsid w:val="5E380327"/>
    <w:rsid w:val="5E38283E"/>
    <w:rsid w:val="5E396476"/>
    <w:rsid w:val="5E3F1023"/>
    <w:rsid w:val="5E453A24"/>
    <w:rsid w:val="5E484FCA"/>
    <w:rsid w:val="5E5028CE"/>
    <w:rsid w:val="5E532DB9"/>
    <w:rsid w:val="5E575414"/>
    <w:rsid w:val="5E5F128B"/>
    <w:rsid w:val="5E5F1A91"/>
    <w:rsid w:val="5E603E2D"/>
    <w:rsid w:val="5E610551"/>
    <w:rsid w:val="5E625BE7"/>
    <w:rsid w:val="5E6E0C0A"/>
    <w:rsid w:val="5E6F4495"/>
    <w:rsid w:val="5E7941AF"/>
    <w:rsid w:val="5E865ED7"/>
    <w:rsid w:val="5E8B3797"/>
    <w:rsid w:val="5E8C5504"/>
    <w:rsid w:val="5E94045D"/>
    <w:rsid w:val="5E957156"/>
    <w:rsid w:val="5E9B3F2C"/>
    <w:rsid w:val="5E9E1513"/>
    <w:rsid w:val="5EA3053D"/>
    <w:rsid w:val="5EA52A3E"/>
    <w:rsid w:val="5EA71748"/>
    <w:rsid w:val="5EA94306"/>
    <w:rsid w:val="5EA97FF0"/>
    <w:rsid w:val="5EAD2E70"/>
    <w:rsid w:val="5EB240C6"/>
    <w:rsid w:val="5EB24A8D"/>
    <w:rsid w:val="5EBB253D"/>
    <w:rsid w:val="5EBB30E1"/>
    <w:rsid w:val="5EBB6B59"/>
    <w:rsid w:val="5EBD61FE"/>
    <w:rsid w:val="5EC23D29"/>
    <w:rsid w:val="5ECA6085"/>
    <w:rsid w:val="5ECB286C"/>
    <w:rsid w:val="5ED73F99"/>
    <w:rsid w:val="5EE132DF"/>
    <w:rsid w:val="5EE31C71"/>
    <w:rsid w:val="5EEB540B"/>
    <w:rsid w:val="5EEC6D03"/>
    <w:rsid w:val="5EEF3DD7"/>
    <w:rsid w:val="5EF3776B"/>
    <w:rsid w:val="5EF47884"/>
    <w:rsid w:val="5F021163"/>
    <w:rsid w:val="5F06045A"/>
    <w:rsid w:val="5F0957EA"/>
    <w:rsid w:val="5F0A1374"/>
    <w:rsid w:val="5F13532E"/>
    <w:rsid w:val="5F1B16B2"/>
    <w:rsid w:val="5F20227F"/>
    <w:rsid w:val="5F206759"/>
    <w:rsid w:val="5F251A63"/>
    <w:rsid w:val="5F282E0A"/>
    <w:rsid w:val="5F2B5B2C"/>
    <w:rsid w:val="5F2F23F6"/>
    <w:rsid w:val="5F3B4F99"/>
    <w:rsid w:val="5F450064"/>
    <w:rsid w:val="5F580F23"/>
    <w:rsid w:val="5F5A5079"/>
    <w:rsid w:val="5F5F25E2"/>
    <w:rsid w:val="5F5F4531"/>
    <w:rsid w:val="5F621CAD"/>
    <w:rsid w:val="5F675784"/>
    <w:rsid w:val="5F6A5203"/>
    <w:rsid w:val="5F6A7AE4"/>
    <w:rsid w:val="5F6C193A"/>
    <w:rsid w:val="5F7C28A3"/>
    <w:rsid w:val="5F7D6EFC"/>
    <w:rsid w:val="5F9153D7"/>
    <w:rsid w:val="5F9779BF"/>
    <w:rsid w:val="5FA05683"/>
    <w:rsid w:val="5FA51ADF"/>
    <w:rsid w:val="5FA53DFB"/>
    <w:rsid w:val="5FA858AE"/>
    <w:rsid w:val="5FAC77F1"/>
    <w:rsid w:val="5FAF154F"/>
    <w:rsid w:val="5FB72A38"/>
    <w:rsid w:val="5FBA722C"/>
    <w:rsid w:val="5FC0149F"/>
    <w:rsid w:val="5FC3621F"/>
    <w:rsid w:val="5FCB72C4"/>
    <w:rsid w:val="5FDB50CC"/>
    <w:rsid w:val="5FE76AC9"/>
    <w:rsid w:val="5FEB7354"/>
    <w:rsid w:val="5FEC6653"/>
    <w:rsid w:val="5FF51AF7"/>
    <w:rsid w:val="5FFA000C"/>
    <w:rsid w:val="5FFC64AB"/>
    <w:rsid w:val="600C46C2"/>
    <w:rsid w:val="600F3527"/>
    <w:rsid w:val="600F7B09"/>
    <w:rsid w:val="601530CD"/>
    <w:rsid w:val="601F4BC4"/>
    <w:rsid w:val="6020568B"/>
    <w:rsid w:val="602616BC"/>
    <w:rsid w:val="602B73A6"/>
    <w:rsid w:val="60353358"/>
    <w:rsid w:val="603762EA"/>
    <w:rsid w:val="60401190"/>
    <w:rsid w:val="60410F2C"/>
    <w:rsid w:val="6043279C"/>
    <w:rsid w:val="604C0C1D"/>
    <w:rsid w:val="60624B92"/>
    <w:rsid w:val="606759A5"/>
    <w:rsid w:val="606C7176"/>
    <w:rsid w:val="60704B6C"/>
    <w:rsid w:val="60735710"/>
    <w:rsid w:val="60760557"/>
    <w:rsid w:val="60850D72"/>
    <w:rsid w:val="608762D7"/>
    <w:rsid w:val="608A35BD"/>
    <w:rsid w:val="608B2E33"/>
    <w:rsid w:val="608E5194"/>
    <w:rsid w:val="608F3BE5"/>
    <w:rsid w:val="60925707"/>
    <w:rsid w:val="609529A9"/>
    <w:rsid w:val="609D0946"/>
    <w:rsid w:val="60AF28D2"/>
    <w:rsid w:val="60BC3E20"/>
    <w:rsid w:val="60CC429D"/>
    <w:rsid w:val="60D23868"/>
    <w:rsid w:val="60D77A66"/>
    <w:rsid w:val="60D801CA"/>
    <w:rsid w:val="60DB3A8C"/>
    <w:rsid w:val="60E37CB4"/>
    <w:rsid w:val="60E82759"/>
    <w:rsid w:val="60F32C80"/>
    <w:rsid w:val="60F74C00"/>
    <w:rsid w:val="61036B12"/>
    <w:rsid w:val="610F5FB1"/>
    <w:rsid w:val="61136A61"/>
    <w:rsid w:val="611E49D5"/>
    <w:rsid w:val="61205CC1"/>
    <w:rsid w:val="6128702F"/>
    <w:rsid w:val="612C63A0"/>
    <w:rsid w:val="613260BA"/>
    <w:rsid w:val="613B70C0"/>
    <w:rsid w:val="6143028B"/>
    <w:rsid w:val="614C5C14"/>
    <w:rsid w:val="61692875"/>
    <w:rsid w:val="616D1214"/>
    <w:rsid w:val="61722E2C"/>
    <w:rsid w:val="61771D19"/>
    <w:rsid w:val="617B5D1B"/>
    <w:rsid w:val="61840F78"/>
    <w:rsid w:val="6187733B"/>
    <w:rsid w:val="618B0B87"/>
    <w:rsid w:val="618B7596"/>
    <w:rsid w:val="61943858"/>
    <w:rsid w:val="61990B98"/>
    <w:rsid w:val="619A2588"/>
    <w:rsid w:val="619B058F"/>
    <w:rsid w:val="619D35CF"/>
    <w:rsid w:val="619F31FE"/>
    <w:rsid w:val="61A05C0F"/>
    <w:rsid w:val="61A22766"/>
    <w:rsid w:val="61A407C5"/>
    <w:rsid w:val="61B6042F"/>
    <w:rsid w:val="61B720F4"/>
    <w:rsid w:val="61BD3D2F"/>
    <w:rsid w:val="61BF046F"/>
    <w:rsid w:val="61BF1FFF"/>
    <w:rsid w:val="61C36638"/>
    <w:rsid w:val="61D7653F"/>
    <w:rsid w:val="61DB3A19"/>
    <w:rsid w:val="61DE1191"/>
    <w:rsid w:val="61ED23D5"/>
    <w:rsid w:val="61EF0ECD"/>
    <w:rsid w:val="61F26F42"/>
    <w:rsid w:val="61F91C17"/>
    <w:rsid w:val="620643AB"/>
    <w:rsid w:val="62082A2F"/>
    <w:rsid w:val="62097515"/>
    <w:rsid w:val="6210729B"/>
    <w:rsid w:val="62116F98"/>
    <w:rsid w:val="621E6AE3"/>
    <w:rsid w:val="62200932"/>
    <w:rsid w:val="6224450C"/>
    <w:rsid w:val="623F0996"/>
    <w:rsid w:val="62434EDC"/>
    <w:rsid w:val="62446DF1"/>
    <w:rsid w:val="62584404"/>
    <w:rsid w:val="625C328D"/>
    <w:rsid w:val="626D60B9"/>
    <w:rsid w:val="62775293"/>
    <w:rsid w:val="627938DC"/>
    <w:rsid w:val="628665D7"/>
    <w:rsid w:val="62904E26"/>
    <w:rsid w:val="62975023"/>
    <w:rsid w:val="629939E2"/>
    <w:rsid w:val="629E4022"/>
    <w:rsid w:val="62A8028B"/>
    <w:rsid w:val="62A904BF"/>
    <w:rsid w:val="62AA315B"/>
    <w:rsid w:val="62B54F29"/>
    <w:rsid w:val="62B641CE"/>
    <w:rsid w:val="62BE6A24"/>
    <w:rsid w:val="62CE631C"/>
    <w:rsid w:val="62D13935"/>
    <w:rsid w:val="62D71FAE"/>
    <w:rsid w:val="62E30C1B"/>
    <w:rsid w:val="62E65394"/>
    <w:rsid w:val="62F15FE8"/>
    <w:rsid w:val="62F31E13"/>
    <w:rsid w:val="62F75922"/>
    <w:rsid w:val="62F82FE1"/>
    <w:rsid w:val="62FB1B74"/>
    <w:rsid w:val="63010748"/>
    <w:rsid w:val="630F0E2E"/>
    <w:rsid w:val="63102DA9"/>
    <w:rsid w:val="63121DE5"/>
    <w:rsid w:val="63185F69"/>
    <w:rsid w:val="632705B4"/>
    <w:rsid w:val="6335712F"/>
    <w:rsid w:val="6338336D"/>
    <w:rsid w:val="633A6FD2"/>
    <w:rsid w:val="634516D6"/>
    <w:rsid w:val="63460FA4"/>
    <w:rsid w:val="63494A2A"/>
    <w:rsid w:val="634B4E44"/>
    <w:rsid w:val="634B7199"/>
    <w:rsid w:val="634D1F57"/>
    <w:rsid w:val="634D30BF"/>
    <w:rsid w:val="635007C6"/>
    <w:rsid w:val="6364191F"/>
    <w:rsid w:val="63641F83"/>
    <w:rsid w:val="6365229E"/>
    <w:rsid w:val="63717600"/>
    <w:rsid w:val="637B6F38"/>
    <w:rsid w:val="637D6348"/>
    <w:rsid w:val="637E7914"/>
    <w:rsid w:val="638849A2"/>
    <w:rsid w:val="63885157"/>
    <w:rsid w:val="638B597B"/>
    <w:rsid w:val="639707E6"/>
    <w:rsid w:val="639D1949"/>
    <w:rsid w:val="63A23F48"/>
    <w:rsid w:val="63A31EB4"/>
    <w:rsid w:val="63B16ED0"/>
    <w:rsid w:val="63B20D9B"/>
    <w:rsid w:val="63B94F18"/>
    <w:rsid w:val="63BA484F"/>
    <w:rsid w:val="63BB3118"/>
    <w:rsid w:val="63C47114"/>
    <w:rsid w:val="63CD7484"/>
    <w:rsid w:val="63CE7C55"/>
    <w:rsid w:val="63D06BB7"/>
    <w:rsid w:val="63D53221"/>
    <w:rsid w:val="63E36FF2"/>
    <w:rsid w:val="63EC2BA8"/>
    <w:rsid w:val="63F53709"/>
    <w:rsid w:val="63F702DC"/>
    <w:rsid w:val="63FB2D01"/>
    <w:rsid w:val="63FF5098"/>
    <w:rsid w:val="64066B40"/>
    <w:rsid w:val="640A7CFF"/>
    <w:rsid w:val="64100980"/>
    <w:rsid w:val="641A11E0"/>
    <w:rsid w:val="641E6B1E"/>
    <w:rsid w:val="641F316D"/>
    <w:rsid w:val="64202477"/>
    <w:rsid w:val="642E1225"/>
    <w:rsid w:val="642E7E6B"/>
    <w:rsid w:val="644E03D7"/>
    <w:rsid w:val="644F29EE"/>
    <w:rsid w:val="64581B32"/>
    <w:rsid w:val="64584691"/>
    <w:rsid w:val="64683238"/>
    <w:rsid w:val="646D5415"/>
    <w:rsid w:val="646F7AB3"/>
    <w:rsid w:val="647669FF"/>
    <w:rsid w:val="648026AB"/>
    <w:rsid w:val="6487233A"/>
    <w:rsid w:val="648A147F"/>
    <w:rsid w:val="648D48BF"/>
    <w:rsid w:val="648F3856"/>
    <w:rsid w:val="6495552F"/>
    <w:rsid w:val="649F3E0A"/>
    <w:rsid w:val="64A22404"/>
    <w:rsid w:val="64A506EC"/>
    <w:rsid w:val="64AD12CC"/>
    <w:rsid w:val="64AD7A97"/>
    <w:rsid w:val="64AF0990"/>
    <w:rsid w:val="64AF4120"/>
    <w:rsid w:val="64B058E0"/>
    <w:rsid w:val="64B4348D"/>
    <w:rsid w:val="64B9580D"/>
    <w:rsid w:val="64C23E9B"/>
    <w:rsid w:val="64C81840"/>
    <w:rsid w:val="64CA2B88"/>
    <w:rsid w:val="64CC0A0E"/>
    <w:rsid w:val="64D27B8D"/>
    <w:rsid w:val="64D370D6"/>
    <w:rsid w:val="64D527E8"/>
    <w:rsid w:val="64D92DBE"/>
    <w:rsid w:val="64E32F3F"/>
    <w:rsid w:val="64E6172F"/>
    <w:rsid w:val="64E86FA9"/>
    <w:rsid w:val="64EF5299"/>
    <w:rsid w:val="64EF580D"/>
    <w:rsid w:val="64F0143E"/>
    <w:rsid w:val="64FF7EE0"/>
    <w:rsid w:val="6507187C"/>
    <w:rsid w:val="650E2FA8"/>
    <w:rsid w:val="653F5E6C"/>
    <w:rsid w:val="65423201"/>
    <w:rsid w:val="655B2B87"/>
    <w:rsid w:val="656731AB"/>
    <w:rsid w:val="65674F7C"/>
    <w:rsid w:val="65676008"/>
    <w:rsid w:val="65773727"/>
    <w:rsid w:val="65790FD3"/>
    <w:rsid w:val="657A0356"/>
    <w:rsid w:val="657B43D4"/>
    <w:rsid w:val="658D1C66"/>
    <w:rsid w:val="659257DC"/>
    <w:rsid w:val="659363F6"/>
    <w:rsid w:val="659821EE"/>
    <w:rsid w:val="65997273"/>
    <w:rsid w:val="65A2414A"/>
    <w:rsid w:val="65B250A0"/>
    <w:rsid w:val="65B85461"/>
    <w:rsid w:val="65BA6CAF"/>
    <w:rsid w:val="65C532ED"/>
    <w:rsid w:val="65C63AE3"/>
    <w:rsid w:val="65C97926"/>
    <w:rsid w:val="65CC1055"/>
    <w:rsid w:val="65CC3D8A"/>
    <w:rsid w:val="65CC77A6"/>
    <w:rsid w:val="65CF78B0"/>
    <w:rsid w:val="65D86766"/>
    <w:rsid w:val="65E114B3"/>
    <w:rsid w:val="65E5731B"/>
    <w:rsid w:val="65E73D67"/>
    <w:rsid w:val="65E94D0A"/>
    <w:rsid w:val="65F052E3"/>
    <w:rsid w:val="65F633BF"/>
    <w:rsid w:val="65F83B3B"/>
    <w:rsid w:val="66047635"/>
    <w:rsid w:val="660D0DEA"/>
    <w:rsid w:val="660F1EA8"/>
    <w:rsid w:val="660F2EC6"/>
    <w:rsid w:val="661243F2"/>
    <w:rsid w:val="66150ED4"/>
    <w:rsid w:val="66253465"/>
    <w:rsid w:val="662A2399"/>
    <w:rsid w:val="663536E9"/>
    <w:rsid w:val="66376D83"/>
    <w:rsid w:val="663B18D7"/>
    <w:rsid w:val="66403FF3"/>
    <w:rsid w:val="664917BD"/>
    <w:rsid w:val="664A0F9D"/>
    <w:rsid w:val="664D5C7F"/>
    <w:rsid w:val="664D76C0"/>
    <w:rsid w:val="665B77F3"/>
    <w:rsid w:val="666971C5"/>
    <w:rsid w:val="666E6F40"/>
    <w:rsid w:val="66737359"/>
    <w:rsid w:val="66814ECE"/>
    <w:rsid w:val="66884EA2"/>
    <w:rsid w:val="668E790E"/>
    <w:rsid w:val="66936AF1"/>
    <w:rsid w:val="66946997"/>
    <w:rsid w:val="66947844"/>
    <w:rsid w:val="669716F7"/>
    <w:rsid w:val="669D3CB1"/>
    <w:rsid w:val="669E0760"/>
    <w:rsid w:val="66A57339"/>
    <w:rsid w:val="66A64819"/>
    <w:rsid w:val="66AB4946"/>
    <w:rsid w:val="66AF2330"/>
    <w:rsid w:val="66C27D00"/>
    <w:rsid w:val="66C41AA4"/>
    <w:rsid w:val="66D20119"/>
    <w:rsid w:val="66D26855"/>
    <w:rsid w:val="66E4326F"/>
    <w:rsid w:val="66EC7D68"/>
    <w:rsid w:val="66F40766"/>
    <w:rsid w:val="66FC1377"/>
    <w:rsid w:val="66FE38F4"/>
    <w:rsid w:val="670B4A16"/>
    <w:rsid w:val="670F0CF4"/>
    <w:rsid w:val="67183051"/>
    <w:rsid w:val="672020E6"/>
    <w:rsid w:val="672459EB"/>
    <w:rsid w:val="672742A4"/>
    <w:rsid w:val="672D6F5B"/>
    <w:rsid w:val="673531EA"/>
    <w:rsid w:val="67357AB0"/>
    <w:rsid w:val="673A0D3B"/>
    <w:rsid w:val="673A7C6C"/>
    <w:rsid w:val="673B5233"/>
    <w:rsid w:val="673D23B0"/>
    <w:rsid w:val="6747733F"/>
    <w:rsid w:val="674A67F5"/>
    <w:rsid w:val="674C4184"/>
    <w:rsid w:val="675562D1"/>
    <w:rsid w:val="67566502"/>
    <w:rsid w:val="675A1EA3"/>
    <w:rsid w:val="6769166A"/>
    <w:rsid w:val="6773312C"/>
    <w:rsid w:val="67750237"/>
    <w:rsid w:val="677A4F6B"/>
    <w:rsid w:val="677D7738"/>
    <w:rsid w:val="67805F58"/>
    <w:rsid w:val="67856B9E"/>
    <w:rsid w:val="678B0CE6"/>
    <w:rsid w:val="678B2084"/>
    <w:rsid w:val="678B75EF"/>
    <w:rsid w:val="679A715C"/>
    <w:rsid w:val="67A7705F"/>
    <w:rsid w:val="67A9736D"/>
    <w:rsid w:val="67AA6681"/>
    <w:rsid w:val="67AE1208"/>
    <w:rsid w:val="67AF6B0F"/>
    <w:rsid w:val="67B3757C"/>
    <w:rsid w:val="67C029FF"/>
    <w:rsid w:val="67C1097F"/>
    <w:rsid w:val="67C22F25"/>
    <w:rsid w:val="67C93395"/>
    <w:rsid w:val="67CD3BBF"/>
    <w:rsid w:val="67D145C3"/>
    <w:rsid w:val="67E175A1"/>
    <w:rsid w:val="67E65243"/>
    <w:rsid w:val="67ED6EEB"/>
    <w:rsid w:val="67F15E56"/>
    <w:rsid w:val="67F22154"/>
    <w:rsid w:val="67F34CFC"/>
    <w:rsid w:val="67F96914"/>
    <w:rsid w:val="67FE4B5E"/>
    <w:rsid w:val="68062501"/>
    <w:rsid w:val="68070204"/>
    <w:rsid w:val="68073DD9"/>
    <w:rsid w:val="680D06FD"/>
    <w:rsid w:val="68107848"/>
    <w:rsid w:val="68121662"/>
    <w:rsid w:val="68155B5B"/>
    <w:rsid w:val="681910C6"/>
    <w:rsid w:val="681938D2"/>
    <w:rsid w:val="681E3BC7"/>
    <w:rsid w:val="681F7AC7"/>
    <w:rsid w:val="68207F5F"/>
    <w:rsid w:val="68244969"/>
    <w:rsid w:val="682E0A98"/>
    <w:rsid w:val="682E6253"/>
    <w:rsid w:val="68385B60"/>
    <w:rsid w:val="68400450"/>
    <w:rsid w:val="68414C08"/>
    <w:rsid w:val="684418D5"/>
    <w:rsid w:val="684D30E6"/>
    <w:rsid w:val="685C5285"/>
    <w:rsid w:val="68617557"/>
    <w:rsid w:val="68646F22"/>
    <w:rsid w:val="686A786C"/>
    <w:rsid w:val="686C56A1"/>
    <w:rsid w:val="686E05AE"/>
    <w:rsid w:val="687F2164"/>
    <w:rsid w:val="68822C0A"/>
    <w:rsid w:val="688344C7"/>
    <w:rsid w:val="6886329D"/>
    <w:rsid w:val="688E2CA7"/>
    <w:rsid w:val="6893341A"/>
    <w:rsid w:val="68940D9C"/>
    <w:rsid w:val="689705A5"/>
    <w:rsid w:val="689F6D79"/>
    <w:rsid w:val="68A4766D"/>
    <w:rsid w:val="68A711FD"/>
    <w:rsid w:val="68A7223F"/>
    <w:rsid w:val="68AB348C"/>
    <w:rsid w:val="68AD08CA"/>
    <w:rsid w:val="68AD54CE"/>
    <w:rsid w:val="68CA2DFA"/>
    <w:rsid w:val="68CC1584"/>
    <w:rsid w:val="68CE5B6F"/>
    <w:rsid w:val="68CF1A3B"/>
    <w:rsid w:val="68D1428C"/>
    <w:rsid w:val="68D51F5F"/>
    <w:rsid w:val="68E56CF3"/>
    <w:rsid w:val="68EA7973"/>
    <w:rsid w:val="68ED5E3F"/>
    <w:rsid w:val="68F0351C"/>
    <w:rsid w:val="68F71EA4"/>
    <w:rsid w:val="68FD3D2D"/>
    <w:rsid w:val="6900126F"/>
    <w:rsid w:val="69044874"/>
    <w:rsid w:val="690D7BC6"/>
    <w:rsid w:val="690F6293"/>
    <w:rsid w:val="691909FD"/>
    <w:rsid w:val="691B4EB4"/>
    <w:rsid w:val="691E52F0"/>
    <w:rsid w:val="691E788E"/>
    <w:rsid w:val="692D5F2E"/>
    <w:rsid w:val="692E2FE5"/>
    <w:rsid w:val="692F568E"/>
    <w:rsid w:val="69317FF0"/>
    <w:rsid w:val="69321FFD"/>
    <w:rsid w:val="69344A4E"/>
    <w:rsid w:val="693E6BC7"/>
    <w:rsid w:val="69451E5A"/>
    <w:rsid w:val="69466635"/>
    <w:rsid w:val="694E5B3B"/>
    <w:rsid w:val="69527D16"/>
    <w:rsid w:val="695D1F03"/>
    <w:rsid w:val="696504D2"/>
    <w:rsid w:val="697A53F8"/>
    <w:rsid w:val="697E27FC"/>
    <w:rsid w:val="697E7E86"/>
    <w:rsid w:val="698108AE"/>
    <w:rsid w:val="698C09C5"/>
    <w:rsid w:val="699329F6"/>
    <w:rsid w:val="69943848"/>
    <w:rsid w:val="699A713E"/>
    <w:rsid w:val="699B4CA3"/>
    <w:rsid w:val="69A10931"/>
    <w:rsid w:val="69AE5124"/>
    <w:rsid w:val="69B73E0C"/>
    <w:rsid w:val="69B93736"/>
    <w:rsid w:val="69C92D08"/>
    <w:rsid w:val="69E533E8"/>
    <w:rsid w:val="69F803FB"/>
    <w:rsid w:val="69F97171"/>
    <w:rsid w:val="69FC3345"/>
    <w:rsid w:val="6A03080C"/>
    <w:rsid w:val="6A0451E7"/>
    <w:rsid w:val="6A0A01F1"/>
    <w:rsid w:val="6A0A685B"/>
    <w:rsid w:val="6A0F1075"/>
    <w:rsid w:val="6A1840F6"/>
    <w:rsid w:val="6A1D6552"/>
    <w:rsid w:val="6A1E690D"/>
    <w:rsid w:val="6A217FBD"/>
    <w:rsid w:val="6A35656D"/>
    <w:rsid w:val="6A3B5ECC"/>
    <w:rsid w:val="6A3D79AE"/>
    <w:rsid w:val="6A4236C9"/>
    <w:rsid w:val="6A5D26C8"/>
    <w:rsid w:val="6A5D2CE4"/>
    <w:rsid w:val="6A6560C6"/>
    <w:rsid w:val="6A695165"/>
    <w:rsid w:val="6A782301"/>
    <w:rsid w:val="6A793123"/>
    <w:rsid w:val="6A7A6831"/>
    <w:rsid w:val="6A7A7AEF"/>
    <w:rsid w:val="6A846FA2"/>
    <w:rsid w:val="6A862D26"/>
    <w:rsid w:val="6A8B32BC"/>
    <w:rsid w:val="6A8E044C"/>
    <w:rsid w:val="6A9002A2"/>
    <w:rsid w:val="6A927616"/>
    <w:rsid w:val="6A941DBA"/>
    <w:rsid w:val="6A991473"/>
    <w:rsid w:val="6AA0031C"/>
    <w:rsid w:val="6AA560D1"/>
    <w:rsid w:val="6AAD512E"/>
    <w:rsid w:val="6AAF2BA9"/>
    <w:rsid w:val="6AB00E44"/>
    <w:rsid w:val="6AB50BA6"/>
    <w:rsid w:val="6AB87CA2"/>
    <w:rsid w:val="6ABF0F28"/>
    <w:rsid w:val="6AC303A6"/>
    <w:rsid w:val="6ACD4F82"/>
    <w:rsid w:val="6AD11CDB"/>
    <w:rsid w:val="6AD85B0C"/>
    <w:rsid w:val="6AE40625"/>
    <w:rsid w:val="6AE77883"/>
    <w:rsid w:val="6AEB6A8C"/>
    <w:rsid w:val="6AF175F5"/>
    <w:rsid w:val="6AF3169B"/>
    <w:rsid w:val="6B060C97"/>
    <w:rsid w:val="6B1160EA"/>
    <w:rsid w:val="6B121C58"/>
    <w:rsid w:val="6B1C67CF"/>
    <w:rsid w:val="6B2267B2"/>
    <w:rsid w:val="6B244B72"/>
    <w:rsid w:val="6B2B264C"/>
    <w:rsid w:val="6B2D4BAA"/>
    <w:rsid w:val="6B3B1038"/>
    <w:rsid w:val="6B4A3DE5"/>
    <w:rsid w:val="6B4B351E"/>
    <w:rsid w:val="6B4C7A28"/>
    <w:rsid w:val="6B502C52"/>
    <w:rsid w:val="6B526A2B"/>
    <w:rsid w:val="6B551D09"/>
    <w:rsid w:val="6B585D87"/>
    <w:rsid w:val="6B5C49C2"/>
    <w:rsid w:val="6B660D2B"/>
    <w:rsid w:val="6B68777D"/>
    <w:rsid w:val="6B6A4531"/>
    <w:rsid w:val="6B6B58FF"/>
    <w:rsid w:val="6B700255"/>
    <w:rsid w:val="6B722668"/>
    <w:rsid w:val="6B731AA8"/>
    <w:rsid w:val="6B7542BE"/>
    <w:rsid w:val="6B757AB9"/>
    <w:rsid w:val="6B7C0C6F"/>
    <w:rsid w:val="6B7D2AE4"/>
    <w:rsid w:val="6B8E66E4"/>
    <w:rsid w:val="6B9259C6"/>
    <w:rsid w:val="6B954C4D"/>
    <w:rsid w:val="6B984171"/>
    <w:rsid w:val="6B994D3E"/>
    <w:rsid w:val="6B9F797D"/>
    <w:rsid w:val="6BA260BD"/>
    <w:rsid w:val="6BAA5CA7"/>
    <w:rsid w:val="6BAB7270"/>
    <w:rsid w:val="6BAD7854"/>
    <w:rsid w:val="6BAE24E5"/>
    <w:rsid w:val="6BB10498"/>
    <w:rsid w:val="6BC05C14"/>
    <w:rsid w:val="6BC34A2C"/>
    <w:rsid w:val="6BCE46E7"/>
    <w:rsid w:val="6BD46073"/>
    <w:rsid w:val="6BDA540B"/>
    <w:rsid w:val="6BDB169E"/>
    <w:rsid w:val="6BDD64E7"/>
    <w:rsid w:val="6BE35AAA"/>
    <w:rsid w:val="6BE50141"/>
    <w:rsid w:val="6BE56022"/>
    <w:rsid w:val="6BE60141"/>
    <w:rsid w:val="6BE91303"/>
    <w:rsid w:val="6BF35000"/>
    <w:rsid w:val="6BFD7CC2"/>
    <w:rsid w:val="6BFF2A20"/>
    <w:rsid w:val="6C0E5AF8"/>
    <w:rsid w:val="6C0E780C"/>
    <w:rsid w:val="6C1121BE"/>
    <w:rsid w:val="6C1455AD"/>
    <w:rsid w:val="6C202FFF"/>
    <w:rsid w:val="6C2131DC"/>
    <w:rsid w:val="6C2A678A"/>
    <w:rsid w:val="6C382A9F"/>
    <w:rsid w:val="6C404AD6"/>
    <w:rsid w:val="6C41211F"/>
    <w:rsid w:val="6C52345D"/>
    <w:rsid w:val="6C5839F1"/>
    <w:rsid w:val="6C587807"/>
    <w:rsid w:val="6C6319AA"/>
    <w:rsid w:val="6C69724B"/>
    <w:rsid w:val="6C6A7A21"/>
    <w:rsid w:val="6C6D159A"/>
    <w:rsid w:val="6C742BBE"/>
    <w:rsid w:val="6C79732B"/>
    <w:rsid w:val="6C864BA0"/>
    <w:rsid w:val="6C8A39AF"/>
    <w:rsid w:val="6C9309D2"/>
    <w:rsid w:val="6CA128B4"/>
    <w:rsid w:val="6CA173AD"/>
    <w:rsid w:val="6CA3574A"/>
    <w:rsid w:val="6CA6550A"/>
    <w:rsid w:val="6CA82595"/>
    <w:rsid w:val="6CA90AF6"/>
    <w:rsid w:val="6CAF54B1"/>
    <w:rsid w:val="6CB1291D"/>
    <w:rsid w:val="6CB41A04"/>
    <w:rsid w:val="6CC531B9"/>
    <w:rsid w:val="6CC854E3"/>
    <w:rsid w:val="6CD153D3"/>
    <w:rsid w:val="6CD20C40"/>
    <w:rsid w:val="6CD87BED"/>
    <w:rsid w:val="6CDF3C53"/>
    <w:rsid w:val="6CED4A0E"/>
    <w:rsid w:val="6D011B72"/>
    <w:rsid w:val="6D020F07"/>
    <w:rsid w:val="6D0E3B4D"/>
    <w:rsid w:val="6D150E64"/>
    <w:rsid w:val="6D164616"/>
    <w:rsid w:val="6D182158"/>
    <w:rsid w:val="6D215676"/>
    <w:rsid w:val="6D242707"/>
    <w:rsid w:val="6D263DF1"/>
    <w:rsid w:val="6D271560"/>
    <w:rsid w:val="6D310140"/>
    <w:rsid w:val="6D312E2B"/>
    <w:rsid w:val="6D3512C5"/>
    <w:rsid w:val="6D3531D1"/>
    <w:rsid w:val="6D3935F1"/>
    <w:rsid w:val="6D487742"/>
    <w:rsid w:val="6D5150A2"/>
    <w:rsid w:val="6D5249F0"/>
    <w:rsid w:val="6D5B6273"/>
    <w:rsid w:val="6D65744F"/>
    <w:rsid w:val="6D6F29A6"/>
    <w:rsid w:val="6D8B6B20"/>
    <w:rsid w:val="6D925C42"/>
    <w:rsid w:val="6D9452B8"/>
    <w:rsid w:val="6D9D42FC"/>
    <w:rsid w:val="6DA01B83"/>
    <w:rsid w:val="6DAA00C2"/>
    <w:rsid w:val="6DAD6CA6"/>
    <w:rsid w:val="6DB17873"/>
    <w:rsid w:val="6DBF717D"/>
    <w:rsid w:val="6DC027F8"/>
    <w:rsid w:val="6DC30AF7"/>
    <w:rsid w:val="6DC422E0"/>
    <w:rsid w:val="6DD005A8"/>
    <w:rsid w:val="6DD65337"/>
    <w:rsid w:val="6DDA3872"/>
    <w:rsid w:val="6DDD7E1A"/>
    <w:rsid w:val="6DE05AAF"/>
    <w:rsid w:val="6DE340CC"/>
    <w:rsid w:val="6DE80E46"/>
    <w:rsid w:val="6DFC47E1"/>
    <w:rsid w:val="6E0A1F1F"/>
    <w:rsid w:val="6E0D06C6"/>
    <w:rsid w:val="6E0E1448"/>
    <w:rsid w:val="6E1063C0"/>
    <w:rsid w:val="6E153ED3"/>
    <w:rsid w:val="6E2A6565"/>
    <w:rsid w:val="6E2B45C3"/>
    <w:rsid w:val="6E3747DE"/>
    <w:rsid w:val="6E3E315A"/>
    <w:rsid w:val="6E3E38C7"/>
    <w:rsid w:val="6E4D1BB3"/>
    <w:rsid w:val="6E6475E7"/>
    <w:rsid w:val="6E690C14"/>
    <w:rsid w:val="6E6F67CF"/>
    <w:rsid w:val="6E717867"/>
    <w:rsid w:val="6E7B01A5"/>
    <w:rsid w:val="6E801957"/>
    <w:rsid w:val="6E915149"/>
    <w:rsid w:val="6E9746C1"/>
    <w:rsid w:val="6E9D5A4D"/>
    <w:rsid w:val="6EAA2C05"/>
    <w:rsid w:val="6EC172FF"/>
    <w:rsid w:val="6EC42575"/>
    <w:rsid w:val="6EC61E3C"/>
    <w:rsid w:val="6EC826AA"/>
    <w:rsid w:val="6EDC05BD"/>
    <w:rsid w:val="6EDD6D02"/>
    <w:rsid w:val="6EFC0B8B"/>
    <w:rsid w:val="6EFE7E21"/>
    <w:rsid w:val="6F0A0530"/>
    <w:rsid w:val="6F0C7D4A"/>
    <w:rsid w:val="6F223007"/>
    <w:rsid w:val="6F3E7621"/>
    <w:rsid w:val="6F4D6644"/>
    <w:rsid w:val="6F5131B5"/>
    <w:rsid w:val="6F51451F"/>
    <w:rsid w:val="6F551510"/>
    <w:rsid w:val="6F5F7808"/>
    <w:rsid w:val="6F6513D7"/>
    <w:rsid w:val="6F6C7EFA"/>
    <w:rsid w:val="6F757BE0"/>
    <w:rsid w:val="6F7B3B29"/>
    <w:rsid w:val="6F7D002F"/>
    <w:rsid w:val="6F7F4ED7"/>
    <w:rsid w:val="6F82615C"/>
    <w:rsid w:val="6F846693"/>
    <w:rsid w:val="6F883BBD"/>
    <w:rsid w:val="6F901BA7"/>
    <w:rsid w:val="6F9857AB"/>
    <w:rsid w:val="6F9C054E"/>
    <w:rsid w:val="6F9C366C"/>
    <w:rsid w:val="6F9F08F6"/>
    <w:rsid w:val="6FA30573"/>
    <w:rsid w:val="6FAD0D41"/>
    <w:rsid w:val="6FB065F5"/>
    <w:rsid w:val="6FB378CC"/>
    <w:rsid w:val="6FB441B0"/>
    <w:rsid w:val="6FB522D9"/>
    <w:rsid w:val="6FBF560E"/>
    <w:rsid w:val="6FC136B5"/>
    <w:rsid w:val="6FC70267"/>
    <w:rsid w:val="6FD33CDB"/>
    <w:rsid w:val="6FD547F0"/>
    <w:rsid w:val="6FD76722"/>
    <w:rsid w:val="6FDD3136"/>
    <w:rsid w:val="6FE645E6"/>
    <w:rsid w:val="6FFA27AE"/>
    <w:rsid w:val="70003D2A"/>
    <w:rsid w:val="70044E4C"/>
    <w:rsid w:val="7007414B"/>
    <w:rsid w:val="7008395F"/>
    <w:rsid w:val="700C360A"/>
    <w:rsid w:val="702036F6"/>
    <w:rsid w:val="702166AA"/>
    <w:rsid w:val="702275F4"/>
    <w:rsid w:val="702A1868"/>
    <w:rsid w:val="702F159B"/>
    <w:rsid w:val="70340CD0"/>
    <w:rsid w:val="70392228"/>
    <w:rsid w:val="703A7A36"/>
    <w:rsid w:val="70470A5A"/>
    <w:rsid w:val="704735CB"/>
    <w:rsid w:val="70481F9F"/>
    <w:rsid w:val="70483BD1"/>
    <w:rsid w:val="704B59CB"/>
    <w:rsid w:val="704F6F86"/>
    <w:rsid w:val="70593932"/>
    <w:rsid w:val="705B05DF"/>
    <w:rsid w:val="705B4C8F"/>
    <w:rsid w:val="70657D19"/>
    <w:rsid w:val="706E0460"/>
    <w:rsid w:val="70745923"/>
    <w:rsid w:val="707D6997"/>
    <w:rsid w:val="707E058E"/>
    <w:rsid w:val="707F5E9F"/>
    <w:rsid w:val="70825596"/>
    <w:rsid w:val="70846AA1"/>
    <w:rsid w:val="7089164F"/>
    <w:rsid w:val="708C2B1F"/>
    <w:rsid w:val="708D1DCC"/>
    <w:rsid w:val="70906793"/>
    <w:rsid w:val="70913862"/>
    <w:rsid w:val="709272E8"/>
    <w:rsid w:val="7094303A"/>
    <w:rsid w:val="7094685C"/>
    <w:rsid w:val="709746CE"/>
    <w:rsid w:val="70980A7C"/>
    <w:rsid w:val="709D41FC"/>
    <w:rsid w:val="709E42BF"/>
    <w:rsid w:val="709F3AC0"/>
    <w:rsid w:val="70B41D80"/>
    <w:rsid w:val="70B46E8E"/>
    <w:rsid w:val="70B83BBD"/>
    <w:rsid w:val="70B9672D"/>
    <w:rsid w:val="70C87938"/>
    <w:rsid w:val="70D93730"/>
    <w:rsid w:val="70D96D56"/>
    <w:rsid w:val="70E12DF2"/>
    <w:rsid w:val="70EB4404"/>
    <w:rsid w:val="70EC11CE"/>
    <w:rsid w:val="70ED67FE"/>
    <w:rsid w:val="70F8730C"/>
    <w:rsid w:val="70FF58BE"/>
    <w:rsid w:val="70FF72AC"/>
    <w:rsid w:val="712E135F"/>
    <w:rsid w:val="71326597"/>
    <w:rsid w:val="713B0921"/>
    <w:rsid w:val="714A2B0E"/>
    <w:rsid w:val="71575147"/>
    <w:rsid w:val="71620540"/>
    <w:rsid w:val="7163552A"/>
    <w:rsid w:val="716943BF"/>
    <w:rsid w:val="716D4AB8"/>
    <w:rsid w:val="71713F64"/>
    <w:rsid w:val="71721FB0"/>
    <w:rsid w:val="717A0D38"/>
    <w:rsid w:val="717B21EA"/>
    <w:rsid w:val="717E15D6"/>
    <w:rsid w:val="71844169"/>
    <w:rsid w:val="71846CD6"/>
    <w:rsid w:val="718575B0"/>
    <w:rsid w:val="71895FE3"/>
    <w:rsid w:val="71897B0C"/>
    <w:rsid w:val="718A1DFB"/>
    <w:rsid w:val="71B41020"/>
    <w:rsid w:val="71B908F5"/>
    <w:rsid w:val="71BA56D5"/>
    <w:rsid w:val="71BA6C85"/>
    <w:rsid w:val="71BD5F7F"/>
    <w:rsid w:val="71CD1778"/>
    <w:rsid w:val="71D26A5A"/>
    <w:rsid w:val="71D30BE6"/>
    <w:rsid w:val="71D73A97"/>
    <w:rsid w:val="71DD446B"/>
    <w:rsid w:val="71E509E7"/>
    <w:rsid w:val="71E61F91"/>
    <w:rsid w:val="71E945D8"/>
    <w:rsid w:val="71EB59B9"/>
    <w:rsid w:val="71F521CB"/>
    <w:rsid w:val="71FA6C60"/>
    <w:rsid w:val="71FC10BB"/>
    <w:rsid w:val="71FE2889"/>
    <w:rsid w:val="7204013C"/>
    <w:rsid w:val="7205669E"/>
    <w:rsid w:val="72093D99"/>
    <w:rsid w:val="720E04DE"/>
    <w:rsid w:val="720F7339"/>
    <w:rsid w:val="72114FE7"/>
    <w:rsid w:val="7212600E"/>
    <w:rsid w:val="72134ED5"/>
    <w:rsid w:val="722713CF"/>
    <w:rsid w:val="722E72DC"/>
    <w:rsid w:val="72317640"/>
    <w:rsid w:val="72391C4C"/>
    <w:rsid w:val="724D0AE8"/>
    <w:rsid w:val="72500B1E"/>
    <w:rsid w:val="72532F96"/>
    <w:rsid w:val="7257161F"/>
    <w:rsid w:val="725873ED"/>
    <w:rsid w:val="725C0EDC"/>
    <w:rsid w:val="725E11F3"/>
    <w:rsid w:val="72691556"/>
    <w:rsid w:val="72710DC5"/>
    <w:rsid w:val="72736DF1"/>
    <w:rsid w:val="72867856"/>
    <w:rsid w:val="72896BD6"/>
    <w:rsid w:val="728B729F"/>
    <w:rsid w:val="729D7FA3"/>
    <w:rsid w:val="72AE55C4"/>
    <w:rsid w:val="72B00F61"/>
    <w:rsid w:val="72B800A3"/>
    <w:rsid w:val="72C47E3F"/>
    <w:rsid w:val="72C652FB"/>
    <w:rsid w:val="72D5137C"/>
    <w:rsid w:val="72D65611"/>
    <w:rsid w:val="72DA2113"/>
    <w:rsid w:val="72DF1F4A"/>
    <w:rsid w:val="72E15A3F"/>
    <w:rsid w:val="72E57C2C"/>
    <w:rsid w:val="72E94C99"/>
    <w:rsid w:val="73077FD0"/>
    <w:rsid w:val="730906B9"/>
    <w:rsid w:val="73117380"/>
    <w:rsid w:val="731E4AA1"/>
    <w:rsid w:val="73283D62"/>
    <w:rsid w:val="73365DF0"/>
    <w:rsid w:val="733C293E"/>
    <w:rsid w:val="733F075F"/>
    <w:rsid w:val="73436DCC"/>
    <w:rsid w:val="73440D38"/>
    <w:rsid w:val="73442B35"/>
    <w:rsid w:val="734637C0"/>
    <w:rsid w:val="73472666"/>
    <w:rsid w:val="73574A09"/>
    <w:rsid w:val="735B753A"/>
    <w:rsid w:val="735B7CEA"/>
    <w:rsid w:val="735C6E7C"/>
    <w:rsid w:val="735D682A"/>
    <w:rsid w:val="736B5758"/>
    <w:rsid w:val="736D415E"/>
    <w:rsid w:val="736F06DA"/>
    <w:rsid w:val="73724734"/>
    <w:rsid w:val="7373670C"/>
    <w:rsid w:val="737459E1"/>
    <w:rsid w:val="73762E31"/>
    <w:rsid w:val="73765D04"/>
    <w:rsid w:val="737C44A3"/>
    <w:rsid w:val="738E6040"/>
    <w:rsid w:val="73922911"/>
    <w:rsid w:val="73947F78"/>
    <w:rsid w:val="73955D18"/>
    <w:rsid w:val="73965DC9"/>
    <w:rsid w:val="73AC72C8"/>
    <w:rsid w:val="73AD36EC"/>
    <w:rsid w:val="73B35F1B"/>
    <w:rsid w:val="73B60B89"/>
    <w:rsid w:val="73B93A09"/>
    <w:rsid w:val="73BA3AB5"/>
    <w:rsid w:val="73C36B87"/>
    <w:rsid w:val="73C628F7"/>
    <w:rsid w:val="73D12FBE"/>
    <w:rsid w:val="73D472AE"/>
    <w:rsid w:val="73D7017A"/>
    <w:rsid w:val="73DA1ACD"/>
    <w:rsid w:val="73DB3EFC"/>
    <w:rsid w:val="73DB7DB7"/>
    <w:rsid w:val="73F47856"/>
    <w:rsid w:val="73F478A3"/>
    <w:rsid w:val="73F66304"/>
    <w:rsid w:val="73FF6571"/>
    <w:rsid w:val="74003083"/>
    <w:rsid w:val="74054C42"/>
    <w:rsid w:val="740D55BE"/>
    <w:rsid w:val="74125C44"/>
    <w:rsid w:val="741645F3"/>
    <w:rsid w:val="741905BA"/>
    <w:rsid w:val="74193740"/>
    <w:rsid w:val="741E11DB"/>
    <w:rsid w:val="741E6F8A"/>
    <w:rsid w:val="742059A1"/>
    <w:rsid w:val="74233C69"/>
    <w:rsid w:val="742E161B"/>
    <w:rsid w:val="74352946"/>
    <w:rsid w:val="743556C3"/>
    <w:rsid w:val="7437114C"/>
    <w:rsid w:val="743C303D"/>
    <w:rsid w:val="744243A4"/>
    <w:rsid w:val="74466B10"/>
    <w:rsid w:val="744864A5"/>
    <w:rsid w:val="745777ED"/>
    <w:rsid w:val="74604830"/>
    <w:rsid w:val="74671263"/>
    <w:rsid w:val="74697AF9"/>
    <w:rsid w:val="746F6EA7"/>
    <w:rsid w:val="74772F2B"/>
    <w:rsid w:val="747C72A9"/>
    <w:rsid w:val="748518A1"/>
    <w:rsid w:val="748676C5"/>
    <w:rsid w:val="74874717"/>
    <w:rsid w:val="748D5E7E"/>
    <w:rsid w:val="748E00AD"/>
    <w:rsid w:val="74B1481B"/>
    <w:rsid w:val="74B16D79"/>
    <w:rsid w:val="74B279AD"/>
    <w:rsid w:val="74B357F8"/>
    <w:rsid w:val="74B46A13"/>
    <w:rsid w:val="74B95BD4"/>
    <w:rsid w:val="74BB65AB"/>
    <w:rsid w:val="74CB0A1C"/>
    <w:rsid w:val="74CB50E2"/>
    <w:rsid w:val="74DA6BCA"/>
    <w:rsid w:val="74EE5612"/>
    <w:rsid w:val="74F31AC8"/>
    <w:rsid w:val="74FA0F92"/>
    <w:rsid w:val="74FA312C"/>
    <w:rsid w:val="74FA74EB"/>
    <w:rsid w:val="750174AD"/>
    <w:rsid w:val="750560A9"/>
    <w:rsid w:val="750F4869"/>
    <w:rsid w:val="75104E11"/>
    <w:rsid w:val="75312523"/>
    <w:rsid w:val="75362DC9"/>
    <w:rsid w:val="75374B5D"/>
    <w:rsid w:val="753F3635"/>
    <w:rsid w:val="75403DD6"/>
    <w:rsid w:val="754123CA"/>
    <w:rsid w:val="75462D3E"/>
    <w:rsid w:val="754F4411"/>
    <w:rsid w:val="7561057F"/>
    <w:rsid w:val="756D5B81"/>
    <w:rsid w:val="757337FB"/>
    <w:rsid w:val="758013F6"/>
    <w:rsid w:val="758105DF"/>
    <w:rsid w:val="75830A4B"/>
    <w:rsid w:val="759164C6"/>
    <w:rsid w:val="759B4B71"/>
    <w:rsid w:val="75A04280"/>
    <w:rsid w:val="75A6101B"/>
    <w:rsid w:val="75A84444"/>
    <w:rsid w:val="75AA2392"/>
    <w:rsid w:val="75AC2D74"/>
    <w:rsid w:val="75AD2C91"/>
    <w:rsid w:val="75B00EF5"/>
    <w:rsid w:val="75B374B6"/>
    <w:rsid w:val="75B464FF"/>
    <w:rsid w:val="75B909B6"/>
    <w:rsid w:val="75C90FC2"/>
    <w:rsid w:val="75D32612"/>
    <w:rsid w:val="75DE7884"/>
    <w:rsid w:val="75F90966"/>
    <w:rsid w:val="75FB430F"/>
    <w:rsid w:val="7617028A"/>
    <w:rsid w:val="76286C12"/>
    <w:rsid w:val="76433D89"/>
    <w:rsid w:val="764428BF"/>
    <w:rsid w:val="764A0304"/>
    <w:rsid w:val="76570F28"/>
    <w:rsid w:val="765931BF"/>
    <w:rsid w:val="76671E92"/>
    <w:rsid w:val="766E25FA"/>
    <w:rsid w:val="7679523A"/>
    <w:rsid w:val="768600F9"/>
    <w:rsid w:val="768604AE"/>
    <w:rsid w:val="76881499"/>
    <w:rsid w:val="769E27B1"/>
    <w:rsid w:val="769F1EA8"/>
    <w:rsid w:val="76A403AB"/>
    <w:rsid w:val="76A45896"/>
    <w:rsid w:val="76A62B60"/>
    <w:rsid w:val="76B21BE0"/>
    <w:rsid w:val="76B37FBB"/>
    <w:rsid w:val="76B7222A"/>
    <w:rsid w:val="76BA575E"/>
    <w:rsid w:val="76BB66C2"/>
    <w:rsid w:val="76C24A13"/>
    <w:rsid w:val="76DF7D94"/>
    <w:rsid w:val="76E123C5"/>
    <w:rsid w:val="76EB546E"/>
    <w:rsid w:val="76F0501E"/>
    <w:rsid w:val="76F371C9"/>
    <w:rsid w:val="770352E1"/>
    <w:rsid w:val="770A01CA"/>
    <w:rsid w:val="770F0CAD"/>
    <w:rsid w:val="77106C57"/>
    <w:rsid w:val="77173070"/>
    <w:rsid w:val="77181A85"/>
    <w:rsid w:val="771B7F88"/>
    <w:rsid w:val="771E3648"/>
    <w:rsid w:val="772143C2"/>
    <w:rsid w:val="773347AA"/>
    <w:rsid w:val="7734341B"/>
    <w:rsid w:val="773916B7"/>
    <w:rsid w:val="77403A15"/>
    <w:rsid w:val="77421578"/>
    <w:rsid w:val="77444826"/>
    <w:rsid w:val="774623E9"/>
    <w:rsid w:val="774B69D0"/>
    <w:rsid w:val="774C2830"/>
    <w:rsid w:val="77526F8F"/>
    <w:rsid w:val="775320A9"/>
    <w:rsid w:val="775D56D6"/>
    <w:rsid w:val="775F1442"/>
    <w:rsid w:val="77643816"/>
    <w:rsid w:val="77666B29"/>
    <w:rsid w:val="7767374D"/>
    <w:rsid w:val="777042CC"/>
    <w:rsid w:val="777B6468"/>
    <w:rsid w:val="778014DF"/>
    <w:rsid w:val="778F5AD6"/>
    <w:rsid w:val="77904FC9"/>
    <w:rsid w:val="7791437F"/>
    <w:rsid w:val="7799094A"/>
    <w:rsid w:val="779937D1"/>
    <w:rsid w:val="77A03EAD"/>
    <w:rsid w:val="77A622BD"/>
    <w:rsid w:val="77A95CBE"/>
    <w:rsid w:val="77AB7E89"/>
    <w:rsid w:val="77B32AAB"/>
    <w:rsid w:val="77B86FEA"/>
    <w:rsid w:val="77BA37C3"/>
    <w:rsid w:val="77BE7767"/>
    <w:rsid w:val="77C357AB"/>
    <w:rsid w:val="77C73C29"/>
    <w:rsid w:val="77CA6D8B"/>
    <w:rsid w:val="77D960E5"/>
    <w:rsid w:val="77DA0062"/>
    <w:rsid w:val="77DA184E"/>
    <w:rsid w:val="77DB409E"/>
    <w:rsid w:val="77E03771"/>
    <w:rsid w:val="77E70CB3"/>
    <w:rsid w:val="77F7571F"/>
    <w:rsid w:val="77F85BBE"/>
    <w:rsid w:val="77FD0F31"/>
    <w:rsid w:val="77FD2FA6"/>
    <w:rsid w:val="78054BBA"/>
    <w:rsid w:val="78062CFD"/>
    <w:rsid w:val="78092727"/>
    <w:rsid w:val="780D7482"/>
    <w:rsid w:val="781A4188"/>
    <w:rsid w:val="781E375E"/>
    <w:rsid w:val="78207506"/>
    <w:rsid w:val="782D6375"/>
    <w:rsid w:val="782F4B28"/>
    <w:rsid w:val="783412D4"/>
    <w:rsid w:val="7836766C"/>
    <w:rsid w:val="78440392"/>
    <w:rsid w:val="784629E5"/>
    <w:rsid w:val="784C3F61"/>
    <w:rsid w:val="784F5FBB"/>
    <w:rsid w:val="785054BD"/>
    <w:rsid w:val="78597E08"/>
    <w:rsid w:val="7864685B"/>
    <w:rsid w:val="786D7880"/>
    <w:rsid w:val="787020E7"/>
    <w:rsid w:val="78863804"/>
    <w:rsid w:val="78864A05"/>
    <w:rsid w:val="788B58B9"/>
    <w:rsid w:val="78932690"/>
    <w:rsid w:val="7899330E"/>
    <w:rsid w:val="78A066F8"/>
    <w:rsid w:val="78A233CB"/>
    <w:rsid w:val="78AB1BCD"/>
    <w:rsid w:val="78BF3A6A"/>
    <w:rsid w:val="78C64BB0"/>
    <w:rsid w:val="78CE72C4"/>
    <w:rsid w:val="78D478FB"/>
    <w:rsid w:val="78D83A0E"/>
    <w:rsid w:val="78DD4E9B"/>
    <w:rsid w:val="78E45C13"/>
    <w:rsid w:val="78E5688F"/>
    <w:rsid w:val="78E6418C"/>
    <w:rsid w:val="78E95AD1"/>
    <w:rsid w:val="78F1702B"/>
    <w:rsid w:val="78F56FFE"/>
    <w:rsid w:val="78FC452F"/>
    <w:rsid w:val="79034CEA"/>
    <w:rsid w:val="790A439B"/>
    <w:rsid w:val="790C0BDA"/>
    <w:rsid w:val="7920629F"/>
    <w:rsid w:val="792B56AF"/>
    <w:rsid w:val="792D66E0"/>
    <w:rsid w:val="79334536"/>
    <w:rsid w:val="795F545A"/>
    <w:rsid w:val="7962607D"/>
    <w:rsid w:val="79636DEC"/>
    <w:rsid w:val="797701F7"/>
    <w:rsid w:val="797A69DD"/>
    <w:rsid w:val="79824B61"/>
    <w:rsid w:val="7984176E"/>
    <w:rsid w:val="798425F7"/>
    <w:rsid w:val="79886DF4"/>
    <w:rsid w:val="798A64B0"/>
    <w:rsid w:val="799D694E"/>
    <w:rsid w:val="79A4029F"/>
    <w:rsid w:val="79AA13CA"/>
    <w:rsid w:val="79AD230A"/>
    <w:rsid w:val="79AD7CED"/>
    <w:rsid w:val="79AE3344"/>
    <w:rsid w:val="79AF35BA"/>
    <w:rsid w:val="79C26BF9"/>
    <w:rsid w:val="79C404E5"/>
    <w:rsid w:val="79D31296"/>
    <w:rsid w:val="79D413E8"/>
    <w:rsid w:val="79D70977"/>
    <w:rsid w:val="79D91DA6"/>
    <w:rsid w:val="79DA4B64"/>
    <w:rsid w:val="79DA6EE8"/>
    <w:rsid w:val="79DF37C2"/>
    <w:rsid w:val="79E007AE"/>
    <w:rsid w:val="79EE1516"/>
    <w:rsid w:val="79F04F41"/>
    <w:rsid w:val="79FD7B49"/>
    <w:rsid w:val="7A023D5D"/>
    <w:rsid w:val="7A056E5B"/>
    <w:rsid w:val="7A0A3862"/>
    <w:rsid w:val="7A176B47"/>
    <w:rsid w:val="7A195490"/>
    <w:rsid w:val="7A1E4836"/>
    <w:rsid w:val="7A204072"/>
    <w:rsid w:val="7A282272"/>
    <w:rsid w:val="7A357667"/>
    <w:rsid w:val="7A403AF7"/>
    <w:rsid w:val="7A452E92"/>
    <w:rsid w:val="7A49060E"/>
    <w:rsid w:val="7A49493E"/>
    <w:rsid w:val="7A4D1F16"/>
    <w:rsid w:val="7A52077A"/>
    <w:rsid w:val="7A5A424D"/>
    <w:rsid w:val="7A661E96"/>
    <w:rsid w:val="7A7352A1"/>
    <w:rsid w:val="7A7915C4"/>
    <w:rsid w:val="7A7E4590"/>
    <w:rsid w:val="7A864661"/>
    <w:rsid w:val="7A892987"/>
    <w:rsid w:val="7A894653"/>
    <w:rsid w:val="7A8B2687"/>
    <w:rsid w:val="7A8F5498"/>
    <w:rsid w:val="7A9C1475"/>
    <w:rsid w:val="7A9F4ADB"/>
    <w:rsid w:val="7AA32FE3"/>
    <w:rsid w:val="7AAA26A5"/>
    <w:rsid w:val="7ABE5562"/>
    <w:rsid w:val="7AC31970"/>
    <w:rsid w:val="7AC50B37"/>
    <w:rsid w:val="7AC553E7"/>
    <w:rsid w:val="7ACE2273"/>
    <w:rsid w:val="7ACF4119"/>
    <w:rsid w:val="7AD943C1"/>
    <w:rsid w:val="7AE55C4D"/>
    <w:rsid w:val="7AE61C3A"/>
    <w:rsid w:val="7AF05102"/>
    <w:rsid w:val="7AF2550C"/>
    <w:rsid w:val="7AFF3DA9"/>
    <w:rsid w:val="7B0302E3"/>
    <w:rsid w:val="7B0E5BD1"/>
    <w:rsid w:val="7B1055EB"/>
    <w:rsid w:val="7B1777D7"/>
    <w:rsid w:val="7B1931CE"/>
    <w:rsid w:val="7B1B412B"/>
    <w:rsid w:val="7B1E10F3"/>
    <w:rsid w:val="7B211732"/>
    <w:rsid w:val="7B2C77BB"/>
    <w:rsid w:val="7B327DED"/>
    <w:rsid w:val="7B335600"/>
    <w:rsid w:val="7B35389F"/>
    <w:rsid w:val="7B4221F9"/>
    <w:rsid w:val="7B500227"/>
    <w:rsid w:val="7B516004"/>
    <w:rsid w:val="7B5E63EC"/>
    <w:rsid w:val="7B600532"/>
    <w:rsid w:val="7B654028"/>
    <w:rsid w:val="7B66773B"/>
    <w:rsid w:val="7B683245"/>
    <w:rsid w:val="7B7E30C3"/>
    <w:rsid w:val="7B810054"/>
    <w:rsid w:val="7B8304B6"/>
    <w:rsid w:val="7B860404"/>
    <w:rsid w:val="7B890FB2"/>
    <w:rsid w:val="7B8A3D1E"/>
    <w:rsid w:val="7B9B05DC"/>
    <w:rsid w:val="7B9D0521"/>
    <w:rsid w:val="7B9F70DA"/>
    <w:rsid w:val="7BA2591F"/>
    <w:rsid w:val="7BA54219"/>
    <w:rsid w:val="7BAD5E3F"/>
    <w:rsid w:val="7BB04478"/>
    <w:rsid w:val="7BB072BA"/>
    <w:rsid w:val="7BB958F8"/>
    <w:rsid w:val="7BB95978"/>
    <w:rsid w:val="7BBF6155"/>
    <w:rsid w:val="7BC30313"/>
    <w:rsid w:val="7BD43EC8"/>
    <w:rsid w:val="7BD45A0E"/>
    <w:rsid w:val="7BDB7086"/>
    <w:rsid w:val="7BDD5587"/>
    <w:rsid w:val="7BDE7A9F"/>
    <w:rsid w:val="7BDF28F7"/>
    <w:rsid w:val="7BED3793"/>
    <w:rsid w:val="7BED5ABD"/>
    <w:rsid w:val="7BEE1753"/>
    <w:rsid w:val="7BFB405E"/>
    <w:rsid w:val="7BFE5FE1"/>
    <w:rsid w:val="7C0038FA"/>
    <w:rsid w:val="7C0067CB"/>
    <w:rsid w:val="7C030FA4"/>
    <w:rsid w:val="7C0F2E62"/>
    <w:rsid w:val="7C124C63"/>
    <w:rsid w:val="7C147A44"/>
    <w:rsid w:val="7C163016"/>
    <w:rsid w:val="7C1716A9"/>
    <w:rsid w:val="7C1C65FF"/>
    <w:rsid w:val="7C2433FB"/>
    <w:rsid w:val="7C2B3E20"/>
    <w:rsid w:val="7C2D44BB"/>
    <w:rsid w:val="7C2D4E87"/>
    <w:rsid w:val="7C30686A"/>
    <w:rsid w:val="7C3936C3"/>
    <w:rsid w:val="7C3D486A"/>
    <w:rsid w:val="7C61158D"/>
    <w:rsid w:val="7C6800E7"/>
    <w:rsid w:val="7C6D4642"/>
    <w:rsid w:val="7C755D05"/>
    <w:rsid w:val="7C77228A"/>
    <w:rsid w:val="7C86125B"/>
    <w:rsid w:val="7C870210"/>
    <w:rsid w:val="7C87237D"/>
    <w:rsid w:val="7C875B36"/>
    <w:rsid w:val="7C8C379B"/>
    <w:rsid w:val="7C923789"/>
    <w:rsid w:val="7C965B05"/>
    <w:rsid w:val="7C9B2AC4"/>
    <w:rsid w:val="7C9E5377"/>
    <w:rsid w:val="7C9F7F06"/>
    <w:rsid w:val="7CA104BD"/>
    <w:rsid w:val="7CA92545"/>
    <w:rsid w:val="7CB0643F"/>
    <w:rsid w:val="7CB272DE"/>
    <w:rsid w:val="7CC317BC"/>
    <w:rsid w:val="7CC43C6E"/>
    <w:rsid w:val="7CCA154B"/>
    <w:rsid w:val="7CD3320B"/>
    <w:rsid w:val="7CD76883"/>
    <w:rsid w:val="7CDF0C1D"/>
    <w:rsid w:val="7CE0455E"/>
    <w:rsid w:val="7CE42818"/>
    <w:rsid w:val="7CE949BB"/>
    <w:rsid w:val="7CED0DB6"/>
    <w:rsid w:val="7CEF38D8"/>
    <w:rsid w:val="7CF740E8"/>
    <w:rsid w:val="7CFF61DC"/>
    <w:rsid w:val="7D0470EC"/>
    <w:rsid w:val="7D18748C"/>
    <w:rsid w:val="7D2160EB"/>
    <w:rsid w:val="7D2D742B"/>
    <w:rsid w:val="7D2E0111"/>
    <w:rsid w:val="7D4707FC"/>
    <w:rsid w:val="7D4D78F8"/>
    <w:rsid w:val="7D554357"/>
    <w:rsid w:val="7D5A5C00"/>
    <w:rsid w:val="7D6560E6"/>
    <w:rsid w:val="7D6C7CF4"/>
    <w:rsid w:val="7D736652"/>
    <w:rsid w:val="7D7B3A24"/>
    <w:rsid w:val="7D826E76"/>
    <w:rsid w:val="7D844FEB"/>
    <w:rsid w:val="7D845E4E"/>
    <w:rsid w:val="7D850086"/>
    <w:rsid w:val="7D850D0E"/>
    <w:rsid w:val="7D9277F7"/>
    <w:rsid w:val="7DA00666"/>
    <w:rsid w:val="7DA357C3"/>
    <w:rsid w:val="7DA56A3E"/>
    <w:rsid w:val="7DB34064"/>
    <w:rsid w:val="7DB6681A"/>
    <w:rsid w:val="7DBE023E"/>
    <w:rsid w:val="7DC02D00"/>
    <w:rsid w:val="7DCF1844"/>
    <w:rsid w:val="7DD21A77"/>
    <w:rsid w:val="7DD41408"/>
    <w:rsid w:val="7DD91074"/>
    <w:rsid w:val="7DDE30FB"/>
    <w:rsid w:val="7DE02DAE"/>
    <w:rsid w:val="7DE16037"/>
    <w:rsid w:val="7DEB0215"/>
    <w:rsid w:val="7DEE6F9D"/>
    <w:rsid w:val="7DF3F317"/>
    <w:rsid w:val="7DF53971"/>
    <w:rsid w:val="7DFF4A4C"/>
    <w:rsid w:val="7E026B8A"/>
    <w:rsid w:val="7E0C0F0B"/>
    <w:rsid w:val="7E0F69AB"/>
    <w:rsid w:val="7E130ED1"/>
    <w:rsid w:val="7E1B482C"/>
    <w:rsid w:val="7E1D4F1F"/>
    <w:rsid w:val="7E206F7E"/>
    <w:rsid w:val="7E2770A8"/>
    <w:rsid w:val="7E294CF4"/>
    <w:rsid w:val="7E3514D0"/>
    <w:rsid w:val="7E356BEA"/>
    <w:rsid w:val="7E49529F"/>
    <w:rsid w:val="7E56378B"/>
    <w:rsid w:val="7E687B07"/>
    <w:rsid w:val="7E7B5A55"/>
    <w:rsid w:val="7E8E046B"/>
    <w:rsid w:val="7E8F39E1"/>
    <w:rsid w:val="7E913CCC"/>
    <w:rsid w:val="7E9F74E0"/>
    <w:rsid w:val="7EAA3C11"/>
    <w:rsid w:val="7EB515D0"/>
    <w:rsid w:val="7EB622E4"/>
    <w:rsid w:val="7EB93122"/>
    <w:rsid w:val="7EBA6623"/>
    <w:rsid w:val="7EBD5CCD"/>
    <w:rsid w:val="7EBE6A65"/>
    <w:rsid w:val="7EBF4DD7"/>
    <w:rsid w:val="7EC31A7E"/>
    <w:rsid w:val="7EC75497"/>
    <w:rsid w:val="7ED3678D"/>
    <w:rsid w:val="7EDA5112"/>
    <w:rsid w:val="7EDA5286"/>
    <w:rsid w:val="7EE5790A"/>
    <w:rsid w:val="7EEA1B49"/>
    <w:rsid w:val="7EED0B2F"/>
    <w:rsid w:val="7F01433E"/>
    <w:rsid w:val="7F015692"/>
    <w:rsid w:val="7F08561A"/>
    <w:rsid w:val="7F0B2F20"/>
    <w:rsid w:val="7F0D0622"/>
    <w:rsid w:val="7F0D3F24"/>
    <w:rsid w:val="7F130F27"/>
    <w:rsid w:val="7F286013"/>
    <w:rsid w:val="7F2D27E9"/>
    <w:rsid w:val="7F3200CE"/>
    <w:rsid w:val="7F352CE1"/>
    <w:rsid w:val="7F390999"/>
    <w:rsid w:val="7F4E6622"/>
    <w:rsid w:val="7F527B4B"/>
    <w:rsid w:val="7F6463DC"/>
    <w:rsid w:val="7F6D4EAF"/>
    <w:rsid w:val="7F70432F"/>
    <w:rsid w:val="7F742DA0"/>
    <w:rsid w:val="7F771787"/>
    <w:rsid w:val="7F881F61"/>
    <w:rsid w:val="7F940B50"/>
    <w:rsid w:val="7FA51EE9"/>
    <w:rsid w:val="7FA721A0"/>
    <w:rsid w:val="7FA75005"/>
    <w:rsid w:val="7FA80C8F"/>
    <w:rsid w:val="7FAD43F0"/>
    <w:rsid w:val="7FB144C9"/>
    <w:rsid w:val="7FB163B0"/>
    <w:rsid w:val="7FB7126B"/>
    <w:rsid w:val="7FC1796A"/>
    <w:rsid w:val="7FCD4530"/>
    <w:rsid w:val="7FCD65E6"/>
    <w:rsid w:val="7FD67D4B"/>
    <w:rsid w:val="7FDF71A6"/>
    <w:rsid w:val="7FF00272"/>
    <w:rsid w:val="7FF31C8D"/>
    <w:rsid w:val="7FFE5FB7"/>
    <w:rsid w:val="FF7A3004"/>
    <w:rsid w:val="FFFD935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5">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6">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仿宋_GB2312" w:eastAsia="仿宋_GB2312"/>
      <w:sz w:val="32"/>
    </w:rPr>
  </w:style>
  <w:style w:type="paragraph" w:styleId="6">
    <w:name w:val="toc 3"/>
    <w:basedOn w:val="1"/>
    <w:next w:val="1"/>
    <w:qFormat/>
    <w:uiPriority w:val="39"/>
    <w:pPr>
      <w:ind w:left="840" w:leftChars="400"/>
    </w:pPr>
  </w:style>
  <w:style w:type="paragraph" w:styleId="7">
    <w:name w:val="Plain Text"/>
    <w:basedOn w:val="1"/>
    <w:qFormat/>
    <w:uiPriority w:val="0"/>
    <w:rPr>
      <w:rFonts w:ascii="宋体" w:hAnsi="Courier New"/>
      <w:sz w:val="21"/>
    </w:rPr>
  </w:style>
  <w:style w:type="paragraph" w:styleId="8">
    <w:name w:val="Date"/>
    <w:basedOn w:val="1"/>
    <w:next w:val="1"/>
    <w:uiPriority w:val="0"/>
  </w:style>
  <w:style w:type="paragraph" w:styleId="9">
    <w:name w:val="Body Text Indent 2"/>
    <w:basedOn w:val="1"/>
    <w:qFormat/>
    <w:uiPriority w:val="0"/>
    <w:pPr>
      <w:snapToGrid w:val="0"/>
      <w:spacing w:line="560" w:lineRule="atLeast"/>
      <w:ind w:firstLine="540"/>
    </w:pPr>
  </w:style>
  <w:style w:type="paragraph" w:styleId="10">
    <w:name w:val="footer"/>
    <w:basedOn w:val="1"/>
    <w:next w:val="11"/>
    <w:qFormat/>
    <w:uiPriority w:val="0"/>
    <w:pPr>
      <w:tabs>
        <w:tab w:val="center" w:pos="4153"/>
        <w:tab w:val="right" w:pos="8306"/>
      </w:tabs>
      <w:snapToGrid w:val="0"/>
      <w:jc w:val="left"/>
    </w:pPr>
    <w:rPr>
      <w:sz w:val="18"/>
    </w:rPr>
  </w:style>
  <w:style w:type="paragraph" w:customStyle="1" w:styleId="11">
    <w:name w:val="索引 51"/>
    <w:basedOn w:val="1"/>
    <w:next w:val="1"/>
    <w:qFormat/>
    <w:uiPriority w:val="0"/>
    <w:pPr>
      <w:ind w:left="1680"/>
    </w:pPr>
  </w:style>
  <w:style w:type="paragraph" w:styleId="12">
    <w:name w:val="header"/>
    <w:basedOn w:val="1"/>
    <w:qFormat/>
    <w:uiPriority w:val="0"/>
    <w:pPr>
      <w:pBdr>
        <w:bottom w:val="single" w:color="auto" w:sz="6" w:space="1"/>
      </w:pBdr>
      <w:tabs>
        <w:tab w:val="center" w:pos="4153"/>
        <w:tab w:val="right" w:pos="8306"/>
      </w:tabs>
      <w:snapToGrid w:val="0"/>
      <w:jc w:val="center"/>
    </w:pPr>
    <w:rPr>
      <w:sz w:val="18"/>
    </w:rPr>
  </w:style>
  <w:style w:type="paragraph" w:styleId="13">
    <w:name w:val="toc 2"/>
    <w:basedOn w:val="1"/>
    <w:next w:val="1"/>
    <w:uiPriority w:val="39"/>
    <w:pPr>
      <w:ind w:left="420" w:leftChars="200"/>
    </w:pPr>
  </w:style>
  <w:style w:type="paragraph" w:styleId="14">
    <w:name w:val="Normal (Web)"/>
    <w:basedOn w:val="1"/>
    <w:qFormat/>
    <w:uiPriority w:val="0"/>
    <w:pPr>
      <w:widowControl/>
      <w:spacing w:before="100" w:beforeLines="0" w:beforeAutospacing="1" w:after="100" w:afterLines="0" w:afterAutospacing="1"/>
      <w:jc w:val="left"/>
    </w:pPr>
    <w:rPr>
      <w:rFonts w:ascii="宋体" w:hAnsi="宋体"/>
      <w:kern w:val="0"/>
      <w:sz w:val="24"/>
    </w:rPr>
  </w:style>
  <w:style w:type="character" w:styleId="17">
    <w:name w:val="Strong"/>
    <w:basedOn w:val="16"/>
    <w:qFormat/>
    <w:uiPriority w:val="0"/>
    <w:rPr>
      <w:b/>
    </w:rPr>
  </w:style>
  <w:style w:type="character" w:styleId="18">
    <w:name w:val="page number"/>
    <w:basedOn w:val="16"/>
    <w:uiPriority w:val="0"/>
  </w:style>
  <w:style w:type="paragraph" w:customStyle="1" w:styleId="19">
    <w:name w:val="1"/>
    <w:basedOn w:val="1"/>
    <w:next w:val="7"/>
    <w:uiPriority w:val="0"/>
    <w:rPr>
      <w:rFonts w:ascii="宋体" w:hAnsi="Courier New"/>
      <w:sz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39</Pages>
  <Words>1257</Words>
  <Characters>1325</Characters>
  <Lines>0</Lines>
  <Paragraphs>0</Paragraphs>
  <TotalTime>0</TotalTime>
  <ScaleCrop>false</ScaleCrop>
  <LinksUpToDate>false</LinksUpToDate>
  <CharactersWithSpaces>1394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2025-10-14T00:15:00Z</dcterms:created>
  <dc:creator>WPS_1478610647</dc:creator>
  <cp:lastModifiedBy>杜幽桥</cp:lastModifiedBy>
  <dcterms:modified xsi:type="dcterms:W3CDTF">2026-05-08T02:31:14Z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B7D607C585EA4A8AB2FF28A1908747BD_11</vt:lpwstr>
  </property>
  <property fmtid="{D5CDD505-2E9C-101B-9397-08002B2CF9AE}" pid="4" name="KSOTemplateDocerSaveRecord">
    <vt:lpwstr>eyJoZGlkIjoiMTE3YmZmMjM5NmI0ZGZkNDU1Mzk4NzUzYzMxNTBhZGIiLCJ1c2VySWQiOiIxNjU0MDI5MjYzIn0=</vt:lpwstr>
  </property>
</Properties>
</file>