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81C13E">
      <w:pPr>
        <w:pStyle w:val="2"/>
        <w:keepNext w:val="0"/>
        <w:keepLines w:val="0"/>
        <w:pageBreakBefore w:val="0"/>
        <w:widowControl w:val="0"/>
        <w:kinsoku/>
        <w:wordWrap/>
        <w:overflowPunct/>
        <w:topLinePunct w:val="0"/>
        <w:autoSpaceDE/>
        <w:autoSpaceDN/>
        <w:bidi w:val="0"/>
        <w:adjustRightInd/>
        <w:snapToGrid/>
        <w:spacing w:beforeAutospacing="0" w:afterAutospacing="0" w:line="500" w:lineRule="exact"/>
        <w:jc w:val="center"/>
        <w:textAlignment w:val="auto"/>
      </w:pPr>
      <w:r>
        <w:t>关于《</w:t>
      </w:r>
      <w:r>
        <w:rPr>
          <w:rFonts w:hint="eastAsia"/>
          <w:lang w:eastAsia="zh-CN"/>
        </w:rPr>
        <w:t>文旅集团职工食堂肉类食材配送服务</w:t>
      </w:r>
      <w:r>
        <w:t>采购项目》</w:t>
      </w:r>
    </w:p>
    <w:p w14:paraId="253AB436">
      <w:pPr>
        <w:pStyle w:val="2"/>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482" w:firstLineChars="100"/>
        <w:jc w:val="both"/>
        <w:textAlignment w:val="auto"/>
      </w:pPr>
      <w:r>
        <w:t>公平竞争审查公开征求意见的通告</w:t>
      </w:r>
    </w:p>
    <w:p w14:paraId="4910A341">
      <w:pPr>
        <w:rPr>
          <w:rFonts w:hint="default"/>
          <w:lang w:val="en-US" w:eastAsia="zh-CN"/>
        </w:rPr>
      </w:pPr>
    </w:p>
    <w:p w14:paraId="33F5F415">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为贯彻落实《反垄断法》《公平竞争审查条例》等法律法规要求，构建统一开放、竞争有序的政府采购市场体系，保障各类市场主体平等参与市场竞争的权利，我单位组织开展《文旅集团职工食堂肉类食材配送服务采购项目》（以下简称“本项目”）的公平竞争审查工作。根据《关于推进落实工程建设项目招标投标和采购领域公平竞争审查程序的通知》（大足双反办〔2025〕11号）等相关要求，现就本项目公平竞争审查有关内容向社会公开征求意见。有关事项通告如下：</w:t>
      </w:r>
    </w:p>
    <w:p w14:paraId="701288EF">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2" w:firstLineChars="200"/>
        <w:textAlignment w:val="auto"/>
        <w:rPr>
          <w:rFonts w:hint="eastAsia" w:ascii="仿宋" w:hAnsi="仿宋" w:eastAsia="仿宋" w:cs="仿宋"/>
          <w:b/>
          <w:bCs/>
          <w:sz w:val="30"/>
          <w:szCs w:val="30"/>
        </w:rPr>
      </w:pPr>
      <w:r>
        <w:rPr>
          <w:rFonts w:hint="eastAsia" w:ascii="仿宋" w:hAnsi="仿宋" w:eastAsia="仿宋" w:cs="仿宋"/>
          <w:b/>
          <w:bCs/>
          <w:sz w:val="30"/>
          <w:szCs w:val="30"/>
        </w:rPr>
        <w:t>一、项目基本情况</w:t>
      </w:r>
    </w:p>
    <w:p w14:paraId="01BA545D">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项目名称：</w:t>
      </w:r>
      <w:r>
        <w:rPr>
          <w:rFonts w:hint="eastAsia" w:ascii="仿宋" w:hAnsi="仿宋" w:eastAsia="仿宋" w:cs="仿宋"/>
          <w:sz w:val="30"/>
          <w:szCs w:val="30"/>
          <w:lang w:eastAsia="zh-CN"/>
        </w:rPr>
        <w:t>文旅集团职工食堂肉类食材配送服务</w:t>
      </w:r>
    </w:p>
    <w:p w14:paraId="69DF1DC8">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eastAsia="zh-CN"/>
        </w:rPr>
        <w:t>招标单位</w:t>
      </w:r>
      <w:r>
        <w:rPr>
          <w:rFonts w:hint="eastAsia" w:ascii="仿宋" w:hAnsi="仿宋" w:eastAsia="仿宋" w:cs="仿宋"/>
          <w:sz w:val="30"/>
          <w:szCs w:val="30"/>
        </w:rPr>
        <w:t>：</w:t>
      </w:r>
      <w:r>
        <w:rPr>
          <w:rFonts w:hint="eastAsia" w:ascii="仿宋" w:hAnsi="仿宋" w:eastAsia="仿宋" w:cs="仿宋"/>
          <w:sz w:val="30"/>
          <w:szCs w:val="30"/>
          <w:lang w:eastAsia="zh-CN"/>
        </w:rPr>
        <w:t>重庆大足石刻国际文化旅游集团有限公司</w:t>
      </w:r>
    </w:p>
    <w:p w14:paraId="6C9308D9">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default" w:ascii="仿宋" w:hAnsi="仿宋" w:eastAsia="仿宋" w:cs="仿宋"/>
          <w:sz w:val="30"/>
          <w:szCs w:val="30"/>
          <w:lang w:eastAsia="zh-CN"/>
          <w:woUserID w:val="1"/>
        </w:rPr>
        <w:t>招标公告</w:t>
      </w:r>
      <w:r>
        <w:rPr>
          <w:rFonts w:hint="eastAsia" w:ascii="仿宋" w:hAnsi="仿宋" w:eastAsia="仿宋" w:cs="仿宋"/>
          <w:sz w:val="30"/>
          <w:szCs w:val="30"/>
          <w:lang w:eastAsia="zh-CN"/>
        </w:rPr>
        <w:t>主要</w:t>
      </w:r>
      <w:r>
        <w:rPr>
          <w:rFonts w:hint="eastAsia" w:ascii="仿宋" w:hAnsi="仿宋" w:eastAsia="仿宋" w:cs="仿宋"/>
          <w:sz w:val="30"/>
          <w:szCs w:val="30"/>
        </w:rPr>
        <w:t>内容：</w:t>
      </w:r>
      <w:bookmarkStart w:id="0" w:name="_Toc24961"/>
      <w:r>
        <w:rPr>
          <w:rFonts w:hint="eastAsia" w:ascii="仿宋" w:hAnsi="仿宋" w:eastAsia="仿宋" w:cs="仿宋"/>
          <w:sz w:val="30"/>
          <w:szCs w:val="30"/>
          <w:lang w:val="en-US" w:eastAsia="zh-CN"/>
        </w:rPr>
        <w:t>本次采购内容包括文旅集团职工食堂所需猪肉、鸡、鸭、鹅、兔、牛羊肉类采购。并按照采购人通知的时间(自然原因造成的人力不可抗拒因素除外)、数量、品种、品质要求准时送货到指定地点。</w:t>
      </w:r>
      <w:bookmarkEnd w:id="0"/>
    </w:p>
    <w:p w14:paraId="1FEFCCAF">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项目制定依据：</w:t>
      </w:r>
      <w:r>
        <w:rPr>
          <w:rFonts w:hint="eastAsia" w:ascii="仿宋" w:hAnsi="仿宋" w:eastAsia="仿宋" w:cs="仿宋"/>
          <w:sz w:val="30"/>
          <w:szCs w:val="30"/>
          <w:highlight w:val="none"/>
          <w:shd w:val="clear" w:color="auto" w:fill="auto"/>
          <w:lang w:val="en-US" w:eastAsia="zh-CN"/>
        </w:rPr>
        <w:t>文旅集团党委会纪要</w:t>
      </w:r>
      <w:r>
        <w:rPr>
          <w:rFonts w:ascii="方正仿宋_GBK" w:hAnsi="方正仿宋_GBK" w:eastAsia="方正仿宋_GBK" w:cs="方正仿宋_GBK"/>
          <w:color w:val="000000"/>
          <w:kern w:val="0"/>
          <w:sz w:val="31"/>
          <w:szCs w:val="31"/>
          <w:highlight w:val="none"/>
          <w:shd w:val="clear" w:color="auto" w:fill="auto"/>
          <w:lang w:val="en-US" w:eastAsia="zh-CN" w:bidi="ar"/>
        </w:rPr>
        <w:t>〔</w:t>
      </w:r>
      <w:r>
        <w:rPr>
          <w:rFonts w:hint="default" w:ascii="Times New Roman" w:hAnsi="Times New Roman" w:eastAsia="宋体" w:cs="Times New Roman"/>
          <w:color w:val="000000"/>
          <w:kern w:val="0"/>
          <w:sz w:val="31"/>
          <w:szCs w:val="31"/>
          <w:highlight w:val="none"/>
          <w:shd w:val="clear" w:color="auto" w:fill="auto"/>
          <w:lang w:val="en-US" w:eastAsia="zh-CN" w:bidi="ar"/>
        </w:rPr>
        <w:t>2026</w:t>
      </w:r>
      <w:r>
        <w:rPr>
          <w:rFonts w:hint="eastAsia" w:ascii="方正仿宋_GBK" w:hAnsi="方正仿宋_GBK" w:eastAsia="方正仿宋_GBK" w:cs="方正仿宋_GBK"/>
          <w:color w:val="000000"/>
          <w:kern w:val="0"/>
          <w:sz w:val="31"/>
          <w:szCs w:val="31"/>
          <w:highlight w:val="none"/>
          <w:shd w:val="clear" w:color="auto" w:fill="auto"/>
          <w:lang w:val="en-US" w:eastAsia="zh-CN" w:bidi="ar"/>
        </w:rPr>
        <w:t>〕第 6 期</w:t>
      </w:r>
    </w:p>
    <w:p w14:paraId="4CDACFDD">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2" w:firstLineChars="200"/>
        <w:textAlignment w:val="auto"/>
        <w:rPr>
          <w:rFonts w:hint="eastAsia" w:ascii="仿宋" w:hAnsi="仿宋" w:eastAsia="仿宋" w:cs="仿宋"/>
          <w:b/>
          <w:bCs/>
          <w:sz w:val="30"/>
          <w:szCs w:val="30"/>
        </w:rPr>
      </w:pPr>
      <w:r>
        <w:rPr>
          <w:rFonts w:hint="eastAsia" w:ascii="仿宋" w:hAnsi="仿宋" w:eastAsia="仿宋" w:cs="仿宋"/>
          <w:b/>
          <w:bCs/>
          <w:sz w:val="30"/>
          <w:szCs w:val="30"/>
        </w:rPr>
        <w:t>二、公平竞争审查重点内容</w:t>
      </w:r>
    </w:p>
    <w:p w14:paraId="7F14E150">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根据公平竞争审查相关标准，本次重点审查以下内容是否存在排除、限制市场竞争情形：</w:t>
      </w:r>
    </w:p>
    <w:p w14:paraId="3825F690">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1、是否以供应商的所有制形式、组织形式或者股权结构为由，实施差别待遇或歧视待遇；</w:t>
      </w:r>
    </w:p>
    <w:p w14:paraId="17C1F99D">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w:t>
      </w:r>
      <w:r>
        <w:rPr>
          <w:rFonts w:hint="default" w:ascii="仿宋" w:hAnsi="仿宋" w:eastAsia="仿宋" w:cs="仿宋"/>
          <w:sz w:val="30"/>
          <w:szCs w:val="30"/>
          <w:lang w:val="en-US" w:eastAsia="zh-CN"/>
        </w:rPr>
        <w:t>是否通过设置备选库、名录库、资格库等入围方式，变相限制供应商进入市场；</w:t>
      </w:r>
    </w:p>
    <w:p w14:paraId="067A1EA1">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3、</w:t>
      </w:r>
      <w:r>
        <w:rPr>
          <w:rFonts w:hint="default" w:ascii="仿宋" w:hAnsi="仿宋" w:eastAsia="仿宋" w:cs="仿宋"/>
          <w:sz w:val="30"/>
          <w:szCs w:val="30"/>
          <w:lang w:val="en-US" w:eastAsia="zh-CN"/>
        </w:rPr>
        <w:t>是否要求供应商设立分支机构、满足特定规模或成立年限等不合理门槛；</w:t>
      </w:r>
    </w:p>
    <w:p w14:paraId="5C3CCAFE">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4、</w:t>
      </w:r>
      <w:r>
        <w:rPr>
          <w:rFonts w:hint="default" w:ascii="仿宋" w:hAnsi="仿宋" w:eastAsia="仿宋" w:cs="仿宋"/>
          <w:sz w:val="30"/>
          <w:szCs w:val="30"/>
          <w:lang w:val="en-US" w:eastAsia="zh-CN"/>
        </w:rPr>
        <w:t>是否强制要求供应商购买指定</w:t>
      </w:r>
      <w:r>
        <w:rPr>
          <w:rFonts w:hint="eastAsia" w:ascii="仿宋" w:hAnsi="仿宋" w:eastAsia="仿宋" w:cs="仿宋"/>
          <w:sz w:val="30"/>
          <w:szCs w:val="30"/>
          <w:lang w:val="en-US" w:eastAsia="zh-CN"/>
        </w:rPr>
        <w:t>品牌</w:t>
      </w:r>
      <w:r>
        <w:rPr>
          <w:rFonts w:hint="default" w:ascii="仿宋" w:hAnsi="仿宋" w:eastAsia="仿宋" w:cs="仿宋"/>
          <w:sz w:val="30"/>
          <w:szCs w:val="30"/>
          <w:lang w:val="en-US" w:eastAsia="zh-CN"/>
        </w:rPr>
        <w:t>或接受其他附加条件作为参与投标的前提；</w:t>
      </w:r>
    </w:p>
    <w:p w14:paraId="388656EB">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5、</w:t>
      </w:r>
      <w:r>
        <w:rPr>
          <w:rFonts w:hint="default" w:ascii="仿宋" w:hAnsi="仿宋" w:eastAsia="仿宋" w:cs="仿宋"/>
          <w:sz w:val="30"/>
          <w:szCs w:val="30"/>
          <w:lang w:val="en-US" w:eastAsia="zh-CN"/>
        </w:rPr>
        <w:t>是否存在不依法及时、完整公开采购信息，妨碍供应商参与竞争的情况；</w:t>
      </w:r>
    </w:p>
    <w:p w14:paraId="74F8E861">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6、</w:t>
      </w:r>
      <w:r>
        <w:rPr>
          <w:rFonts w:hint="default" w:ascii="仿宋" w:hAnsi="仿宋" w:eastAsia="仿宋" w:cs="仿宋"/>
          <w:sz w:val="30"/>
          <w:szCs w:val="30"/>
          <w:lang w:val="en-US" w:eastAsia="zh-CN"/>
        </w:rPr>
        <w:t>是否设置无法律法规依据的审批、备案或收费事项；</w:t>
      </w:r>
    </w:p>
    <w:p w14:paraId="6735BBC8">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7、</w:t>
      </w:r>
      <w:r>
        <w:rPr>
          <w:rFonts w:hint="default" w:ascii="仿宋" w:hAnsi="仿宋" w:eastAsia="仿宋" w:cs="仿宋"/>
          <w:sz w:val="30"/>
          <w:szCs w:val="30"/>
          <w:lang w:val="en-US" w:eastAsia="zh-CN"/>
        </w:rPr>
        <w:t>其他可能妨碍公平竞争的情形。</w:t>
      </w:r>
      <w:r>
        <w:rPr>
          <w:rFonts w:hint="eastAsia" w:ascii="仿宋" w:hAnsi="仿宋" w:eastAsia="仿宋" w:cs="仿宋"/>
          <w:sz w:val="30"/>
          <w:szCs w:val="30"/>
          <w:lang w:val="en-US" w:eastAsia="zh-CN"/>
        </w:rPr>
        <w:t xml:space="preserve">                        </w:t>
      </w:r>
    </w:p>
    <w:p w14:paraId="53282643">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2" w:firstLineChars="200"/>
        <w:textAlignment w:val="auto"/>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t>三、意见反馈方式及期限</w:t>
      </w:r>
    </w:p>
    <w:p w14:paraId="138E2475">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default" w:ascii="仿宋" w:hAnsi="仿宋" w:eastAsia="仿宋" w:cs="仿宋"/>
          <w:sz w:val="30"/>
          <w:szCs w:val="30"/>
          <w:lang w:val="en-US" w:eastAsia="zh-CN"/>
        </w:rPr>
      </w:pPr>
      <w:r>
        <w:rPr>
          <w:rFonts w:hint="eastAsia" w:ascii="仿宋" w:hAnsi="仿宋" w:eastAsia="仿宋" w:cs="仿宋"/>
          <w:sz w:val="30"/>
          <w:szCs w:val="30"/>
          <w:lang w:val="en-US" w:eastAsia="zh-CN"/>
        </w:rPr>
        <w:t>（一）反馈途径</w:t>
      </w:r>
    </w:p>
    <w:p w14:paraId="0EC8769A">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1、</w:t>
      </w:r>
      <w:r>
        <w:rPr>
          <w:rFonts w:hint="eastAsia" w:ascii="仿宋" w:hAnsi="仿宋" w:eastAsia="仿宋" w:cs="仿宋"/>
          <w:sz w:val="30"/>
          <w:szCs w:val="30"/>
        </w:rPr>
        <w:t>电子邮件：发送至[</w:t>
      </w:r>
      <w:r>
        <w:rPr>
          <w:rFonts w:hint="eastAsia" w:ascii="仿宋" w:hAnsi="仿宋" w:eastAsia="仿宋" w:cs="仿宋"/>
          <w:sz w:val="30"/>
          <w:szCs w:val="30"/>
          <w:lang w:val="en-US" w:eastAsia="zh-CN"/>
        </w:rPr>
        <w:t>3022181286@qq.com</w:t>
      </w:r>
      <w:r>
        <w:rPr>
          <w:rFonts w:hint="eastAsia" w:ascii="仿宋" w:hAnsi="仿宋" w:eastAsia="仿宋" w:cs="仿宋"/>
          <w:sz w:val="30"/>
          <w:szCs w:val="30"/>
        </w:rPr>
        <w:t>]，邮件主题请注明“《</w:t>
      </w:r>
      <w:r>
        <w:rPr>
          <w:rFonts w:hint="eastAsia" w:ascii="仿宋" w:hAnsi="仿宋" w:eastAsia="仿宋" w:cs="仿宋"/>
          <w:sz w:val="30"/>
          <w:szCs w:val="30"/>
          <w:lang w:val="en-US" w:eastAsia="zh-CN"/>
        </w:rPr>
        <w:t>文旅集团职工食堂肉类食材配送服务</w:t>
      </w:r>
      <w:r>
        <w:rPr>
          <w:rFonts w:hint="eastAsia" w:ascii="仿宋" w:hAnsi="仿宋" w:eastAsia="仿宋" w:cs="仿宋"/>
          <w:sz w:val="30"/>
          <w:szCs w:val="30"/>
        </w:rPr>
        <w:t>采购项目》公平竞争审查反馈意见”。</w:t>
      </w:r>
    </w:p>
    <w:p w14:paraId="3C6BA627">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2、</w:t>
      </w:r>
      <w:r>
        <w:rPr>
          <w:rFonts w:hint="eastAsia" w:ascii="仿宋" w:hAnsi="仿宋" w:eastAsia="仿宋" w:cs="仿宋"/>
          <w:sz w:val="30"/>
          <w:szCs w:val="30"/>
        </w:rPr>
        <w:t>信函邮寄：寄送至[重庆市大足区棠香街道大铜路污水处理厂内]，收件人：[</w:t>
      </w:r>
      <w:r>
        <w:rPr>
          <w:rFonts w:hint="eastAsia" w:ascii="仿宋" w:hAnsi="仿宋" w:eastAsia="仿宋" w:cs="仿宋"/>
          <w:sz w:val="30"/>
          <w:szCs w:val="30"/>
          <w:lang w:eastAsia="zh-CN"/>
        </w:rPr>
        <w:t>杜幽桥</w:t>
      </w:r>
      <w:r>
        <w:rPr>
          <w:rFonts w:hint="eastAsia" w:ascii="仿宋" w:hAnsi="仿宋" w:eastAsia="仿宋" w:cs="仿宋"/>
          <w:sz w:val="30"/>
          <w:szCs w:val="30"/>
        </w:rPr>
        <w:t>]，邮政编码：[</w:t>
      </w:r>
      <w:r>
        <w:rPr>
          <w:rFonts w:hint="eastAsia" w:ascii="仿宋" w:hAnsi="仿宋" w:eastAsia="仿宋" w:cs="仿宋"/>
          <w:sz w:val="30"/>
          <w:szCs w:val="30"/>
          <w:lang w:val="en-US" w:eastAsia="zh-CN"/>
        </w:rPr>
        <w:t>402360</w:t>
      </w:r>
      <w:r>
        <w:rPr>
          <w:rFonts w:hint="eastAsia" w:ascii="仿宋" w:hAnsi="仿宋" w:eastAsia="仿宋" w:cs="仿宋"/>
          <w:sz w:val="30"/>
          <w:szCs w:val="30"/>
        </w:rPr>
        <w:t>]，信封上请注明 “《</w:t>
      </w:r>
      <w:r>
        <w:rPr>
          <w:rFonts w:hint="eastAsia" w:ascii="仿宋" w:hAnsi="仿宋" w:eastAsia="仿宋" w:cs="仿宋"/>
          <w:sz w:val="30"/>
          <w:szCs w:val="30"/>
          <w:lang w:val="en-US" w:eastAsia="zh-CN"/>
        </w:rPr>
        <w:t>文旅集团职工食堂肉类食材配送服务</w:t>
      </w:r>
      <w:r>
        <w:rPr>
          <w:rFonts w:hint="eastAsia" w:ascii="仿宋" w:hAnsi="仿宋" w:eastAsia="仿宋" w:cs="仿宋"/>
          <w:sz w:val="30"/>
          <w:szCs w:val="30"/>
        </w:rPr>
        <w:t>采购项目》公平竞争审查反馈意见”字样。</w:t>
      </w:r>
    </w:p>
    <w:p w14:paraId="0DF49499">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3、</w:t>
      </w:r>
      <w:r>
        <w:rPr>
          <w:rFonts w:hint="eastAsia" w:ascii="仿宋" w:hAnsi="仿宋" w:eastAsia="仿宋" w:cs="仿宋"/>
          <w:sz w:val="30"/>
          <w:szCs w:val="30"/>
        </w:rPr>
        <w:t>现场提交：地址：[重庆市大足区棠香街道大铜路污水处理厂内]，联系电话：[</w:t>
      </w:r>
      <w:r>
        <w:rPr>
          <w:rFonts w:hint="eastAsia" w:ascii="仿宋" w:hAnsi="仿宋" w:eastAsia="仿宋" w:cs="仿宋"/>
          <w:sz w:val="30"/>
          <w:szCs w:val="30"/>
          <w:lang w:val="en-US" w:eastAsia="zh-CN"/>
        </w:rPr>
        <w:t>15856060343</w:t>
      </w:r>
      <w:r>
        <w:rPr>
          <w:rFonts w:hint="eastAsia" w:ascii="仿宋" w:hAnsi="仿宋" w:eastAsia="仿宋" w:cs="仿宋"/>
          <w:sz w:val="30"/>
          <w:szCs w:val="30"/>
        </w:rPr>
        <w:t>]，提交时间：工作日9:00-11:30、14:00-17:00。</w:t>
      </w:r>
    </w:p>
    <w:p w14:paraId="76275B18">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（二）反馈期限</w:t>
      </w:r>
    </w:p>
    <w:p w14:paraId="60FC48E7">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highlight w:val="none"/>
        </w:rPr>
      </w:pPr>
      <w:r>
        <w:rPr>
          <w:rFonts w:hint="eastAsia" w:ascii="仿宋" w:hAnsi="仿宋" w:eastAsia="仿宋" w:cs="仿宋"/>
          <w:sz w:val="30"/>
          <w:szCs w:val="30"/>
          <w:lang w:val="en-US" w:eastAsia="zh-CN"/>
        </w:rPr>
        <w:t>本次公开征求意见期限为自本通告发布之日起7天内</w:t>
      </w:r>
      <w:r>
        <w:rPr>
          <w:rFonts w:hint="eastAsia" w:ascii="仿宋" w:hAnsi="仿宋" w:eastAsia="仿宋" w:cs="仿宋"/>
          <w:sz w:val="30"/>
          <w:szCs w:val="30"/>
          <w:highlight w:val="none"/>
          <w:lang w:val="en-US" w:eastAsia="zh-CN"/>
        </w:rPr>
        <w:t>，</w:t>
      </w:r>
      <w:r>
        <w:rPr>
          <w:rFonts w:hint="eastAsia" w:ascii="仿宋" w:hAnsi="仿宋" w:eastAsia="仿宋" w:cs="仿宋"/>
          <w:sz w:val="30"/>
          <w:szCs w:val="30"/>
          <w:highlight w:val="none"/>
          <w:lang w:eastAsia="zh-CN"/>
        </w:rPr>
        <w:t>于</w:t>
      </w:r>
      <w:r>
        <w:rPr>
          <w:rFonts w:hint="eastAsia" w:ascii="仿宋" w:hAnsi="仿宋" w:eastAsia="仿宋" w:cs="仿宋"/>
          <w:sz w:val="30"/>
          <w:szCs w:val="30"/>
          <w:highlight w:val="none"/>
          <w:lang w:val="en-US" w:eastAsia="zh-CN"/>
        </w:rPr>
        <w:t>2026</w:t>
      </w:r>
      <w:r>
        <w:rPr>
          <w:rFonts w:hint="eastAsia" w:ascii="仿宋" w:hAnsi="仿宋" w:eastAsia="仿宋" w:cs="仿宋"/>
          <w:sz w:val="30"/>
          <w:szCs w:val="30"/>
          <w:highlight w:val="none"/>
        </w:rPr>
        <w:t>年</w:t>
      </w:r>
      <w:r>
        <w:rPr>
          <w:rFonts w:hint="eastAsia" w:ascii="仿宋" w:hAnsi="仿宋" w:eastAsia="仿宋" w:cs="仿宋"/>
          <w:sz w:val="30"/>
          <w:szCs w:val="30"/>
          <w:highlight w:val="none"/>
          <w:lang w:val="en-US" w:eastAsia="zh-CN"/>
        </w:rPr>
        <w:t>5</w:t>
      </w:r>
      <w:r>
        <w:rPr>
          <w:rFonts w:hint="eastAsia" w:ascii="仿宋" w:hAnsi="仿宋" w:eastAsia="仿宋" w:cs="仿宋"/>
          <w:sz w:val="30"/>
          <w:szCs w:val="30"/>
          <w:highlight w:val="none"/>
        </w:rPr>
        <w:t>月</w:t>
      </w:r>
      <w:r>
        <w:rPr>
          <w:rFonts w:hint="eastAsia" w:ascii="仿宋" w:hAnsi="仿宋" w:eastAsia="仿宋" w:cs="仿宋"/>
          <w:sz w:val="30"/>
          <w:szCs w:val="30"/>
          <w:highlight w:val="none"/>
          <w:lang w:val="en-US" w:eastAsia="zh-CN"/>
        </w:rPr>
        <w:t>14</w:t>
      </w:r>
      <w:r>
        <w:rPr>
          <w:rFonts w:hint="eastAsia" w:ascii="仿宋" w:hAnsi="仿宋" w:eastAsia="仿宋" w:cs="仿宋"/>
          <w:sz w:val="30"/>
          <w:szCs w:val="30"/>
          <w:highlight w:val="none"/>
        </w:rPr>
        <w:t>日前</w:t>
      </w:r>
      <w:r>
        <w:rPr>
          <w:rFonts w:hint="eastAsia" w:ascii="仿宋" w:hAnsi="仿宋" w:eastAsia="仿宋" w:cs="仿宋"/>
          <w:sz w:val="30"/>
          <w:szCs w:val="30"/>
          <w:highlight w:val="none"/>
          <w:lang w:eastAsia="zh-CN"/>
        </w:rPr>
        <w:t>按</w:t>
      </w:r>
      <w:r>
        <w:rPr>
          <w:rFonts w:hint="default" w:ascii="仿宋" w:hAnsi="仿宋" w:eastAsia="仿宋" w:cs="仿宋"/>
          <w:sz w:val="30"/>
          <w:szCs w:val="30"/>
          <w:highlight w:val="none"/>
          <w:lang w:eastAsia="zh-CN"/>
          <w:woUserID w:val="2"/>
        </w:rPr>
        <w:t>上述</w:t>
      </w:r>
      <w:r>
        <w:rPr>
          <w:rFonts w:hint="eastAsia" w:ascii="仿宋" w:hAnsi="仿宋" w:eastAsia="仿宋" w:cs="仿宋"/>
          <w:sz w:val="30"/>
          <w:szCs w:val="30"/>
          <w:highlight w:val="none"/>
          <w:lang w:eastAsia="zh-CN"/>
        </w:rPr>
        <w:t>途径反馈。</w:t>
      </w:r>
    </w:p>
    <w:p w14:paraId="1BC6E9F7">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2" w:firstLineChars="200"/>
        <w:textAlignment w:val="auto"/>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t>四、其他事项</w:t>
      </w:r>
    </w:p>
    <w:p w14:paraId="0C71BEDB">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反馈意见需明确提出具体修改建议及理由，可附相关事实依据或政策支撑材料。</w:t>
      </w:r>
    </w:p>
    <w:p w14:paraId="7AA5ADDF">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为便于沟通交流，请在反馈意见中注明联系人姓名、单位（如适用）、联系电话及电子邮箱。</w:t>
      </w:r>
    </w:p>
    <w:p w14:paraId="4D86FC60">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我单位将对收到的意见建议进行汇总梳理和研究论证，对合理意见予以采纳，并在后续审查结论中说明意见采纳情况及理由。</w:t>
      </w:r>
    </w:p>
    <w:p w14:paraId="6FE03AAE">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有关本项目公平竞争审查的疑问，可致电[联系电话]咨询，咨询时间：工作日9:00-11:30、14:00-17:00。</w:t>
      </w:r>
    </w:p>
    <w:p w14:paraId="385DEC24">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2" w:firstLineChars="200"/>
        <w:textAlignment w:val="auto"/>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t>五、附件</w:t>
      </w:r>
    </w:p>
    <w:p w14:paraId="4A53E193">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900" w:firstLineChars="3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1、项目招标（采购）文件、招标（采购）公告；</w:t>
      </w:r>
    </w:p>
    <w:p w14:paraId="748690CE">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900" w:firstLineChars="300"/>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2、</w:t>
      </w:r>
      <w:r>
        <w:rPr>
          <w:rFonts w:hint="eastAsia" w:ascii="仿宋" w:hAnsi="仿宋" w:eastAsia="仿宋" w:cs="仿宋"/>
          <w:sz w:val="30"/>
          <w:szCs w:val="30"/>
        </w:rPr>
        <w:t>项目制定依据：</w:t>
      </w:r>
      <w:r>
        <w:rPr>
          <w:rFonts w:hint="eastAsia" w:ascii="仿宋" w:hAnsi="仿宋" w:eastAsia="仿宋" w:cs="仿宋"/>
          <w:sz w:val="30"/>
          <w:szCs w:val="30"/>
          <w:highlight w:val="none"/>
          <w:lang w:val="en-US" w:eastAsia="zh-CN"/>
        </w:rPr>
        <w:t>文旅集团党委会纪要</w:t>
      </w:r>
      <w:r>
        <w:rPr>
          <w:rFonts w:ascii="方正仿宋_GBK" w:hAnsi="方正仿宋_GBK" w:eastAsia="方正仿宋_GBK" w:cs="方正仿宋_GBK"/>
          <w:color w:val="000000"/>
          <w:kern w:val="0"/>
          <w:sz w:val="31"/>
          <w:szCs w:val="31"/>
          <w:highlight w:val="none"/>
          <w:lang w:val="en-US" w:eastAsia="zh-CN" w:bidi="ar"/>
        </w:rPr>
        <w:t>〔</w:t>
      </w:r>
      <w:r>
        <w:rPr>
          <w:rFonts w:hint="default" w:ascii="Times New Roman" w:hAnsi="Times New Roman" w:eastAsia="宋体" w:cs="Times New Roman"/>
          <w:color w:val="000000"/>
          <w:kern w:val="0"/>
          <w:sz w:val="31"/>
          <w:szCs w:val="31"/>
          <w:highlight w:val="none"/>
          <w:lang w:val="en-US" w:eastAsia="zh-CN" w:bidi="ar"/>
        </w:rPr>
        <w:t>2</w:t>
      </w:r>
      <w:r>
        <w:rPr>
          <w:rFonts w:hint="default" w:ascii="Times New Roman" w:hAnsi="Times New Roman" w:eastAsia="宋体" w:cs="Times New Roman"/>
          <w:color w:val="000000"/>
          <w:kern w:val="0"/>
          <w:sz w:val="31"/>
          <w:szCs w:val="31"/>
          <w:lang w:val="en-US" w:eastAsia="zh-CN" w:bidi="ar"/>
        </w:rPr>
        <w:t>026</w:t>
      </w:r>
      <w:r>
        <w:rPr>
          <w:rFonts w:hint="eastAsia" w:ascii="方正仿宋_GBK" w:hAnsi="方正仿宋_GBK" w:eastAsia="方正仿宋_GBK" w:cs="方正仿宋_GBK"/>
          <w:color w:val="000000"/>
          <w:kern w:val="0"/>
          <w:sz w:val="31"/>
          <w:szCs w:val="31"/>
          <w:lang w:val="en-US" w:eastAsia="zh-CN" w:bidi="ar"/>
        </w:rPr>
        <w:t>〕第 6 期</w:t>
      </w:r>
    </w:p>
    <w:p w14:paraId="5BA1257C">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900" w:firstLineChars="300"/>
        <w:textAlignment w:val="auto"/>
        <w:rPr>
          <w:rFonts w:hint="eastAsia" w:ascii="仿宋" w:hAnsi="仿宋" w:eastAsia="仿宋" w:cs="仿宋"/>
          <w:sz w:val="30"/>
          <w:szCs w:val="30"/>
        </w:rPr>
      </w:pPr>
    </w:p>
    <w:p w14:paraId="3A25912E">
      <w:pPr>
        <w:keepNext w:val="0"/>
        <w:keepLines w:val="0"/>
        <w:pageBreakBefore w:val="0"/>
        <w:widowControl w:val="0"/>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30"/>
          <w:szCs w:val="30"/>
          <w:lang w:val="en-US" w:eastAsia="zh-CN"/>
        </w:rPr>
      </w:pPr>
    </w:p>
    <w:p w14:paraId="6ABF43AE">
      <w:pPr>
        <w:keepNext w:val="0"/>
        <w:keepLines w:val="0"/>
        <w:pageBreakBefore w:val="0"/>
        <w:widowControl w:val="0"/>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30"/>
          <w:szCs w:val="30"/>
          <w:lang w:val="en-US" w:eastAsia="zh-CN"/>
        </w:rPr>
      </w:pPr>
    </w:p>
    <w:p w14:paraId="33CC7144">
      <w:pPr>
        <w:keepNext w:val="0"/>
        <w:keepLines w:val="0"/>
        <w:pageBreakBefore w:val="0"/>
        <w:widowControl w:val="0"/>
        <w:kinsoku/>
        <w:wordWrap/>
        <w:overflowPunct/>
        <w:topLinePunct w:val="0"/>
        <w:autoSpaceDE/>
        <w:autoSpaceDN/>
        <w:bidi w:val="0"/>
        <w:adjustRightInd/>
        <w:snapToGrid/>
        <w:spacing w:beforeAutospacing="0" w:afterAutospacing="0" w:line="500" w:lineRule="exact"/>
        <w:jc w:val="right"/>
        <w:textAlignment w:val="auto"/>
        <w:rPr>
          <w:rFonts w:hint="default" w:ascii="仿宋" w:hAnsi="仿宋" w:eastAsia="仿宋" w:cs="仿宋"/>
          <w:sz w:val="30"/>
          <w:szCs w:val="30"/>
          <w:woUserID w:val="2"/>
        </w:rPr>
      </w:pPr>
      <w:r>
        <w:rPr>
          <w:rFonts w:hint="default" w:ascii="仿宋" w:hAnsi="仿宋" w:eastAsia="仿宋" w:cs="仿宋"/>
          <w:sz w:val="30"/>
          <w:szCs w:val="30"/>
          <w:woUserID w:val="1"/>
        </w:rPr>
        <w:t xml:space="preserve">  </w:t>
      </w:r>
      <w:r>
        <w:rPr>
          <w:rFonts w:hint="default" w:ascii="仿宋" w:hAnsi="仿宋" w:eastAsia="仿宋" w:cs="仿宋"/>
          <w:sz w:val="30"/>
          <w:szCs w:val="30"/>
          <w:lang w:eastAsia="zh-CN"/>
          <w:woUserID w:val="1"/>
        </w:rPr>
        <w:t>重庆大足石刻国际文化旅游集团有限公司</w:t>
      </w:r>
      <w:r>
        <w:rPr>
          <w:rFonts w:hint="default" w:ascii="仿宋" w:hAnsi="仿宋" w:eastAsia="仿宋" w:cs="仿宋"/>
          <w:sz w:val="30"/>
          <w:szCs w:val="30"/>
          <w:woUserID w:val="1"/>
        </w:rPr>
        <w:t xml:space="preserve">                                      </w:t>
      </w:r>
      <w:r>
        <w:rPr>
          <w:rFonts w:hint="eastAsia" w:ascii="仿宋" w:hAnsi="仿宋" w:eastAsia="仿宋" w:cs="仿宋"/>
          <w:sz w:val="30"/>
          <w:szCs w:val="30"/>
          <w:lang w:val="en-US" w:eastAsia="zh-CN"/>
          <w:woUserID w:val="1"/>
        </w:rPr>
        <w:t>2026</w:t>
      </w:r>
      <w:r>
        <w:rPr>
          <w:rFonts w:hint="default" w:ascii="仿宋" w:hAnsi="仿宋" w:eastAsia="仿宋" w:cs="仿宋"/>
          <w:sz w:val="30"/>
          <w:szCs w:val="30"/>
          <w:woUserID w:val="1"/>
        </w:rPr>
        <w:t xml:space="preserve">年 </w:t>
      </w:r>
      <w:r>
        <w:rPr>
          <w:rFonts w:hint="eastAsia" w:ascii="仿宋" w:hAnsi="仿宋" w:eastAsia="仿宋" w:cs="仿宋"/>
          <w:sz w:val="30"/>
          <w:szCs w:val="30"/>
          <w:lang w:val="en-US" w:eastAsia="zh-CN"/>
          <w:woUserID w:val="1"/>
        </w:rPr>
        <w:t>5</w:t>
      </w:r>
      <w:r>
        <w:rPr>
          <w:rFonts w:hint="default" w:ascii="仿宋" w:hAnsi="仿宋" w:eastAsia="仿宋" w:cs="仿宋"/>
          <w:sz w:val="30"/>
          <w:szCs w:val="30"/>
          <w:woUserID w:val="1"/>
        </w:rPr>
        <w:t>月</w:t>
      </w:r>
      <w:r>
        <w:rPr>
          <w:rFonts w:hint="eastAsia" w:ascii="仿宋" w:hAnsi="仿宋" w:eastAsia="仿宋" w:cs="仿宋"/>
          <w:sz w:val="30"/>
          <w:szCs w:val="30"/>
          <w:lang w:val="en-US" w:eastAsia="zh-CN"/>
          <w:woUserID w:val="1"/>
        </w:rPr>
        <w:t>8</w:t>
      </w:r>
      <w:r>
        <w:rPr>
          <w:rFonts w:hint="default" w:ascii="仿宋" w:hAnsi="仿宋" w:eastAsia="仿宋" w:cs="仿宋"/>
          <w:sz w:val="30"/>
          <w:szCs w:val="30"/>
          <w:woUserID w:val="1"/>
        </w:rPr>
        <w:t xml:space="preserve"> 日</w:t>
      </w:r>
      <w:r>
        <w:rPr>
          <w:rFonts w:hint="default" w:ascii="仿宋" w:hAnsi="仿宋" w:eastAsia="仿宋" w:cs="仿宋"/>
          <w:sz w:val="30"/>
          <w:szCs w:val="30"/>
          <w:woUserID w:val="2"/>
        </w:rPr>
        <w:t xml:space="preserve"> </w:t>
      </w:r>
    </w:p>
    <w:p w14:paraId="5958FB2B">
      <w:pPr>
        <w:keepNext w:val="0"/>
        <w:keepLines w:val="0"/>
        <w:pageBreakBefore w:val="0"/>
        <w:widowControl w:val="0"/>
        <w:kinsoku/>
        <w:wordWrap/>
        <w:overflowPunct/>
        <w:topLinePunct w:val="0"/>
        <w:autoSpaceDE/>
        <w:autoSpaceDN/>
        <w:bidi w:val="0"/>
        <w:adjustRightInd/>
        <w:snapToGrid/>
        <w:spacing w:beforeAutospacing="0" w:afterAutospacing="0" w:line="500" w:lineRule="exact"/>
        <w:jc w:val="right"/>
        <w:textAlignment w:val="auto"/>
        <w:rPr>
          <w:rFonts w:hint="default" w:ascii="仿宋" w:hAnsi="仿宋" w:eastAsia="仿宋" w:cs="仿宋"/>
          <w:sz w:val="30"/>
          <w:szCs w:val="30"/>
          <w:woUserID w:val="2"/>
        </w:rPr>
      </w:pPr>
    </w:p>
    <w:p w14:paraId="4A071F19">
      <w:pPr>
        <w:keepNext w:val="0"/>
        <w:keepLines w:val="0"/>
        <w:pageBreakBefore w:val="0"/>
        <w:widowControl w:val="0"/>
        <w:kinsoku/>
        <w:wordWrap/>
        <w:overflowPunct/>
        <w:topLinePunct w:val="0"/>
        <w:autoSpaceDE/>
        <w:autoSpaceDN/>
        <w:bidi w:val="0"/>
        <w:adjustRightInd/>
        <w:snapToGrid/>
        <w:spacing w:beforeAutospacing="0" w:afterAutospacing="0" w:line="500" w:lineRule="exact"/>
        <w:jc w:val="right"/>
        <w:textAlignment w:val="auto"/>
        <w:rPr>
          <w:rFonts w:hint="default" w:ascii="仿宋" w:hAnsi="仿宋" w:eastAsia="仿宋" w:cs="仿宋"/>
          <w:sz w:val="30"/>
          <w:szCs w:val="30"/>
          <w:woUserID w:val="2"/>
        </w:rPr>
      </w:pPr>
    </w:p>
    <w:p w14:paraId="390061B8">
      <w:pPr>
        <w:keepNext w:val="0"/>
        <w:keepLines w:val="0"/>
        <w:pageBreakBefore w:val="0"/>
        <w:widowControl w:val="0"/>
        <w:kinsoku/>
        <w:wordWrap/>
        <w:overflowPunct/>
        <w:topLinePunct w:val="0"/>
        <w:autoSpaceDE/>
        <w:autoSpaceDN/>
        <w:bidi w:val="0"/>
        <w:adjustRightInd/>
        <w:snapToGrid/>
        <w:spacing w:beforeAutospacing="0" w:afterAutospacing="0" w:line="500" w:lineRule="exact"/>
        <w:jc w:val="right"/>
        <w:textAlignment w:val="auto"/>
        <w:rPr>
          <w:rFonts w:hint="default" w:ascii="仿宋" w:hAnsi="仿宋" w:eastAsia="仿宋" w:cs="仿宋"/>
          <w:sz w:val="30"/>
          <w:szCs w:val="30"/>
          <w:woUserID w:val="2"/>
        </w:rPr>
      </w:pPr>
    </w:p>
    <w:p w14:paraId="23360BBA">
      <w:pPr>
        <w:keepNext w:val="0"/>
        <w:keepLines w:val="0"/>
        <w:pageBreakBefore w:val="0"/>
        <w:widowControl w:val="0"/>
        <w:kinsoku/>
        <w:wordWrap/>
        <w:overflowPunct/>
        <w:topLinePunct w:val="0"/>
        <w:autoSpaceDE/>
        <w:autoSpaceDN/>
        <w:bidi w:val="0"/>
        <w:adjustRightInd/>
        <w:snapToGrid/>
        <w:spacing w:beforeAutospacing="0" w:afterAutospacing="0" w:line="500" w:lineRule="exact"/>
        <w:jc w:val="right"/>
        <w:textAlignment w:val="auto"/>
        <w:rPr>
          <w:rFonts w:hint="default" w:ascii="仿宋" w:hAnsi="仿宋" w:eastAsia="仿宋" w:cs="仿宋"/>
          <w:sz w:val="30"/>
          <w:szCs w:val="30"/>
          <w:woUserID w:val="2"/>
        </w:rPr>
      </w:pPr>
    </w:p>
    <w:p w14:paraId="75BE9A32">
      <w:pPr>
        <w:keepNext w:val="0"/>
        <w:keepLines w:val="0"/>
        <w:pageBreakBefore w:val="0"/>
        <w:widowControl w:val="0"/>
        <w:kinsoku/>
        <w:wordWrap/>
        <w:overflowPunct/>
        <w:topLinePunct w:val="0"/>
        <w:autoSpaceDE/>
        <w:autoSpaceDN/>
        <w:bidi w:val="0"/>
        <w:adjustRightInd/>
        <w:snapToGrid/>
        <w:spacing w:beforeAutospacing="0" w:afterAutospacing="0" w:line="500" w:lineRule="exact"/>
        <w:jc w:val="right"/>
        <w:textAlignment w:val="auto"/>
        <w:rPr>
          <w:rFonts w:hint="default" w:ascii="仿宋" w:hAnsi="仿宋" w:eastAsia="仿宋" w:cs="仿宋"/>
          <w:sz w:val="30"/>
          <w:szCs w:val="30"/>
          <w:woUserID w:val="2"/>
        </w:rPr>
      </w:pPr>
    </w:p>
    <w:p w14:paraId="06D313FF">
      <w:pPr>
        <w:keepNext w:val="0"/>
        <w:keepLines w:val="0"/>
        <w:pageBreakBefore w:val="0"/>
        <w:widowControl w:val="0"/>
        <w:kinsoku/>
        <w:wordWrap/>
        <w:overflowPunct/>
        <w:topLinePunct w:val="0"/>
        <w:autoSpaceDE/>
        <w:autoSpaceDN/>
        <w:bidi w:val="0"/>
        <w:adjustRightInd/>
        <w:snapToGrid/>
        <w:spacing w:beforeAutospacing="0" w:afterAutospacing="0" w:line="500" w:lineRule="exact"/>
        <w:jc w:val="right"/>
        <w:textAlignment w:val="auto"/>
        <w:rPr>
          <w:rFonts w:hint="default" w:ascii="仿宋" w:hAnsi="仿宋" w:eastAsia="仿宋" w:cs="仿宋"/>
          <w:sz w:val="30"/>
          <w:szCs w:val="30"/>
          <w:woUserID w:val="2"/>
        </w:rPr>
      </w:pPr>
    </w:p>
    <w:p w14:paraId="325A296F">
      <w:pPr>
        <w:keepNext w:val="0"/>
        <w:keepLines w:val="0"/>
        <w:pageBreakBefore w:val="0"/>
        <w:widowControl w:val="0"/>
        <w:kinsoku/>
        <w:wordWrap/>
        <w:overflowPunct/>
        <w:topLinePunct w:val="0"/>
        <w:autoSpaceDE/>
        <w:autoSpaceDN/>
        <w:bidi w:val="0"/>
        <w:adjustRightInd/>
        <w:snapToGrid/>
        <w:spacing w:beforeAutospacing="0" w:afterAutospacing="0" w:line="500" w:lineRule="exact"/>
        <w:jc w:val="right"/>
        <w:textAlignment w:val="auto"/>
        <w:rPr>
          <w:rFonts w:hint="default" w:ascii="仿宋" w:hAnsi="仿宋" w:eastAsia="仿宋" w:cs="仿宋"/>
          <w:sz w:val="30"/>
          <w:szCs w:val="30"/>
          <w:woUserID w:val="2"/>
        </w:rPr>
      </w:pPr>
    </w:p>
    <w:p w14:paraId="4EEA4DA6">
      <w:pPr>
        <w:keepNext w:val="0"/>
        <w:keepLines w:val="0"/>
        <w:pageBreakBefore w:val="0"/>
        <w:widowControl w:val="0"/>
        <w:kinsoku/>
        <w:wordWrap/>
        <w:overflowPunct/>
        <w:topLinePunct w:val="0"/>
        <w:autoSpaceDE/>
        <w:autoSpaceDN/>
        <w:bidi w:val="0"/>
        <w:adjustRightInd/>
        <w:snapToGrid/>
        <w:spacing w:beforeAutospacing="0" w:afterAutospacing="0" w:line="500" w:lineRule="exact"/>
        <w:jc w:val="right"/>
        <w:textAlignment w:val="auto"/>
        <w:rPr>
          <w:rFonts w:hint="default" w:ascii="仿宋" w:hAnsi="仿宋" w:eastAsia="仿宋" w:cs="仿宋"/>
          <w:sz w:val="30"/>
          <w:szCs w:val="30"/>
          <w:woUserID w:val="2"/>
        </w:rPr>
      </w:pPr>
    </w:p>
    <w:p w14:paraId="5BF78301">
      <w:pPr>
        <w:keepNext w:val="0"/>
        <w:keepLines w:val="0"/>
        <w:pageBreakBefore w:val="0"/>
        <w:widowControl w:val="0"/>
        <w:kinsoku/>
        <w:wordWrap/>
        <w:overflowPunct/>
        <w:topLinePunct w:val="0"/>
        <w:autoSpaceDE/>
        <w:autoSpaceDN/>
        <w:bidi w:val="0"/>
        <w:adjustRightInd/>
        <w:snapToGrid/>
        <w:spacing w:beforeAutospacing="0" w:afterAutospacing="0" w:line="500" w:lineRule="exact"/>
        <w:jc w:val="right"/>
        <w:textAlignment w:val="auto"/>
        <w:rPr>
          <w:rFonts w:hint="default" w:ascii="仿宋" w:hAnsi="仿宋" w:eastAsia="仿宋" w:cs="仿宋"/>
          <w:sz w:val="30"/>
          <w:szCs w:val="30"/>
          <w:woUserID w:val="2"/>
        </w:rPr>
      </w:pPr>
    </w:p>
    <w:p w14:paraId="61FE16B4">
      <w:pPr>
        <w:keepNext w:val="0"/>
        <w:keepLines w:val="0"/>
        <w:pageBreakBefore w:val="0"/>
        <w:widowControl w:val="0"/>
        <w:kinsoku/>
        <w:wordWrap/>
        <w:overflowPunct/>
        <w:topLinePunct w:val="0"/>
        <w:autoSpaceDE/>
        <w:autoSpaceDN/>
        <w:bidi w:val="0"/>
        <w:adjustRightInd/>
        <w:snapToGrid/>
        <w:spacing w:beforeAutospacing="0" w:afterAutospacing="0" w:line="500" w:lineRule="exact"/>
        <w:jc w:val="right"/>
        <w:textAlignment w:val="auto"/>
        <w:rPr>
          <w:rFonts w:hint="default" w:ascii="仿宋" w:hAnsi="仿宋" w:eastAsia="仿宋" w:cs="仿宋"/>
          <w:sz w:val="30"/>
          <w:szCs w:val="30"/>
          <w:woUserID w:val="2"/>
        </w:rPr>
      </w:pPr>
    </w:p>
    <w:p w14:paraId="29BF074A">
      <w:pPr>
        <w:keepNext w:val="0"/>
        <w:keepLines w:val="0"/>
        <w:pageBreakBefore w:val="0"/>
        <w:widowControl w:val="0"/>
        <w:kinsoku/>
        <w:wordWrap/>
        <w:overflowPunct/>
        <w:topLinePunct w:val="0"/>
        <w:autoSpaceDE/>
        <w:autoSpaceDN/>
        <w:bidi w:val="0"/>
        <w:adjustRightInd/>
        <w:snapToGrid/>
        <w:spacing w:beforeAutospacing="0" w:afterAutospacing="0" w:line="500" w:lineRule="exact"/>
        <w:jc w:val="right"/>
        <w:textAlignment w:val="auto"/>
        <w:rPr>
          <w:rFonts w:hint="default" w:ascii="仿宋" w:hAnsi="仿宋" w:eastAsia="仿宋" w:cs="仿宋"/>
          <w:sz w:val="30"/>
          <w:szCs w:val="30"/>
          <w:woUserID w:val="2"/>
        </w:rPr>
      </w:pPr>
    </w:p>
    <w:p w14:paraId="521CFBF6">
      <w:pPr>
        <w:keepNext w:val="0"/>
        <w:keepLines w:val="0"/>
        <w:pageBreakBefore w:val="0"/>
        <w:widowControl w:val="0"/>
        <w:kinsoku/>
        <w:wordWrap/>
        <w:overflowPunct/>
        <w:topLinePunct w:val="0"/>
        <w:autoSpaceDE/>
        <w:autoSpaceDN/>
        <w:bidi w:val="0"/>
        <w:adjustRightInd/>
        <w:snapToGrid/>
        <w:spacing w:beforeAutospacing="0" w:afterAutospacing="0" w:line="500" w:lineRule="exact"/>
        <w:jc w:val="right"/>
        <w:textAlignment w:val="auto"/>
        <w:rPr>
          <w:rFonts w:hint="default" w:ascii="仿宋" w:hAnsi="仿宋" w:eastAsia="仿宋" w:cs="仿宋"/>
          <w:sz w:val="30"/>
          <w:szCs w:val="30"/>
          <w:woUserID w:val="2"/>
        </w:rPr>
      </w:pPr>
    </w:p>
    <w:p w14:paraId="1EC6404C">
      <w:pPr>
        <w:keepNext w:val="0"/>
        <w:keepLines w:val="0"/>
        <w:pageBreakBefore w:val="0"/>
        <w:widowControl w:val="0"/>
        <w:kinsoku/>
        <w:wordWrap/>
        <w:overflowPunct/>
        <w:topLinePunct w:val="0"/>
        <w:autoSpaceDE/>
        <w:autoSpaceDN/>
        <w:bidi w:val="0"/>
        <w:adjustRightInd/>
        <w:snapToGrid/>
        <w:spacing w:beforeAutospacing="0" w:afterAutospacing="0" w:line="500" w:lineRule="exact"/>
        <w:jc w:val="right"/>
        <w:textAlignment w:val="auto"/>
        <w:rPr>
          <w:rFonts w:hint="default" w:ascii="仿宋" w:hAnsi="仿宋" w:eastAsia="仿宋" w:cs="仿宋"/>
          <w:sz w:val="30"/>
          <w:szCs w:val="30"/>
          <w:woUserID w:val="2"/>
        </w:rPr>
      </w:pPr>
    </w:p>
    <w:p w14:paraId="3E15C788">
      <w:pPr>
        <w:keepNext w:val="0"/>
        <w:keepLines w:val="0"/>
        <w:pageBreakBefore w:val="0"/>
        <w:widowControl w:val="0"/>
        <w:kinsoku/>
        <w:wordWrap/>
        <w:overflowPunct/>
        <w:topLinePunct w:val="0"/>
        <w:autoSpaceDE/>
        <w:autoSpaceDN/>
        <w:bidi w:val="0"/>
        <w:adjustRightInd/>
        <w:snapToGrid/>
        <w:spacing w:beforeAutospacing="0" w:afterAutospacing="0" w:line="500" w:lineRule="exact"/>
        <w:jc w:val="right"/>
        <w:textAlignment w:val="auto"/>
        <w:rPr>
          <w:rFonts w:hint="default" w:ascii="仿宋" w:hAnsi="仿宋" w:eastAsia="仿宋" w:cs="仿宋"/>
          <w:sz w:val="30"/>
          <w:szCs w:val="30"/>
          <w:woUserID w:val="2"/>
        </w:rPr>
      </w:pPr>
    </w:p>
    <w:p w14:paraId="667E82D9">
      <w:pPr>
        <w:keepNext w:val="0"/>
        <w:keepLines w:val="0"/>
        <w:pageBreakBefore w:val="0"/>
        <w:widowControl w:val="0"/>
        <w:kinsoku/>
        <w:wordWrap/>
        <w:overflowPunct/>
        <w:topLinePunct w:val="0"/>
        <w:autoSpaceDE/>
        <w:autoSpaceDN/>
        <w:bidi w:val="0"/>
        <w:adjustRightInd/>
        <w:snapToGrid/>
        <w:spacing w:beforeAutospacing="0" w:afterAutospacing="0" w:line="500" w:lineRule="exact"/>
        <w:jc w:val="right"/>
        <w:textAlignment w:val="auto"/>
        <w:rPr>
          <w:rFonts w:hint="default" w:ascii="仿宋" w:hAnsi="仿宋" w:eastAsia="仿宋" w:cs="仿宋"/>
          <w:sz w:val="30"/>
          <w:szCs w:val="30"/>
          <w:woUserID w:val="2"/>
        </w:rPr>
      </w:pPr>
    </w:p>
    <w:p w14:paraId="79C9F310">
      <w:pPr>
        <w:rPr>
          <w:rFonts w:hint="eastAsia" w:ascii="仿宋" w:hAnsi="仿宋" w:eastAsia="仿宋" w:cs="仿宋"/>
          <w:color w:val="auto"/>
          <w:sz w:val="30"/>
          <w:szCs w:val="30"/>
          <w:lang w:val="en-US" w:eastAsia="zh-CN"/>
          <w:woUserID w:val="2"/>
        </w:rPr>
      </w:pPr>
    </w:p>
    <w:p w14:paraId="0EF7C7AB">
      <w:pPr>
        <w:rPr>
          <w:rFonts w:hint="eastAsia" w:ascii="仿宋" w:hAnsi="仿宋" w:eastAsia="仿宋" w:cs="仿宋"/>
          <w:color w:val="auto"/>
          <w:sz w:val="30"/>
          <w:szCs w:val="30"/>
          <w:lang w:val="en-US" w:eastAsia="zh-CN"/>
          <w:woUserID w:val="2"/>
        </w:rPr>
      </w:pPr>
    </w:p>
    <w:p w14:paraId="787BB142">
      <w:pPr>
        <w:rPr>
          <w:rFonts w:hint="eastAsia" w:ascii="仿宋" w:hAnsi="仿宋" w:eastAsia="仿宋" w:cs="仿宋"/>
          <w:color w:val="auto"/>
          <w:sz w:val="30"/>
          <w:szCs w:val="30"/>
          <w:lang w:val="en-US" w:eastAsia="zh-CN"/>
          <w:woUserID w:val="2"/>
        </w:rPr>
      </w:pPr>
    </w:p>
    <w:p w14:paraId="23576E3E">
      <w:pPr>
        <w:rPr>
          <w:rFonts w:hint="eastAsia" w:ascii="仿宋" w:hAnsi="仿宋" w:eastAsia="仿宋" w:cs="仿宋"/>
          <w:color w:val="auto"/>
          <w:sz w:val="30"/>
          <w:szCs w:val="30"/>
          <w:lang w:val="en-US" w:eastAsia="zh-CN"/>
          <w:woUserID w:val="2"/>
        </w:rPr>
      </w:pPr>
    </w:p>
    <w:p w14:paraId="2AD739D9">
      <w:pPr>
        <w:rPr>
          <w:rFonts w:hint="eastAsia" w:ascii="仿宋" w:hAnsi="仿宋" w:eastAsia="仿宋" w:cs="仿宋"/>
          <w:color w:val="auto"/>
          <w:sz w:val="30"/>
          <w:szCs w:val="30"/>
          <w:lang w:val="en-US" w:eastAsia="zh-CN"/>
          <w:woUserID w:val="2"/>
        </w:rPr>
      </w:pPr>
    </w:p>
    <w:p w14:paraId="10AF43D6">
      <w:pPr>
        <w:rPr>
          <w:rFonts w:hint="eastAsia" w:ascii="仿宋" w:hAnsi="仿宋" w:eastAsia="仿宋" w:cs="仿宋"/>
          <w:color w:val="auto"/>
          <w:sz w:val="30"/>
          <w:szCs w:val="30"/>
          <w:lang w:val="en-US" w:eastAsia="zh-CN"/>
          <w:woUserID w:val="2"/>
        </w:rPr>
      </w:pPr>
    </w:p>
    <w:p w14:paraId="003C7740">
      <w:pPr>
        <w:rPr>
          <w:rFonts w:hint="eastAsia" w:ascii="仿宋" w:hAnsi="仿宋" w:eastAsia="仿宋" w:cs="仿宋"/>
          <w:color w:val="auto"/>
          <w:sz w:val="30"/>
          <w:szCs w:val="30"/>
          <w:lang w:val="en-US" w:eastAsia="zh-CN"/>
          <w:woUserID w:val="2"/>
        </w:rPr>
      </w:pPr>
    </w:p>
    <w:p w14:paraId="536498B6">
      <w:pPr>
        <w:rPr>
          <w:rFonts w:hint="eastAsia" w:ascii="仿宋" w:hAnsi="仿宋" w:eastAsia="仿宋" w:cs="仿宋"/>
          <w:color w:val="auto"/>
          <w:sz w:val="30"/>
          <w:szCs w:val="30"/>
          <w:lang w:val="en-US" w:eastAsia="zh-CN"/>
          <w:woUserID w:val="2"/>
        </w:rPr>
      </w:pPr>
    </w:p>
    <w:p w14:paraId="3D06D189">
      <w:pPr>
        <w:rPr>
          <w:rFonts w:hint="eastAsia" w:ascii="仿宋" w:hAnsi="仿宋" w:eastAsia="仿宋" w:cs="仿宋"/>
          <w:color w:val="auto"/>
          <w:sz w:val="30"/>
          <w:szCs w:val="30"/>
          <w:lang w:val="en-US" w:eastAsia="zh-CN"/>
          <w:woUserID w:val="2"/>
        </w:rPr>
      </w:pPr>
    </w:p>
    <w:p w14:paraId="407AA45F">
      <w:pPr>
        <w:rPr>
          <w:rFonts w:hint="eastAsia" w:ascii="仿宋" w:hAnsi="仿宋" w:eastAsia="仿宋" w:cs="仿宋"/>
          <w:color w:val="auto"/>
          <w:sz w:val="30"/>
          <w:szCs w:val="30"/>
          <w:lang w:val="en-US" w:eastAsia="zh-CN"/>
          <w:woUserID w:val="2"/>
        </w:rPr>
      </w:pPr>
    </w:p>
    <w:p w14:paraId="45205B90">
      <w:pPr>
        <w:rPr>
          <w:rFonts w:hint="eastAsia" w:ascii="仿宋" w:hAnsi="仿宋" w:eastAsia="仿宋" w:cs="仿宋"/>
          <w:color w:val="auto"/>
          <w:sz w:val="30"/>
          <w:szCs w:val="30"/>
          <w:lang w:val="en-US" w:eastAsia="zh-CN"/>
          <w:woUserID w:val="2"/>
        </w:rPr>
      </w:pPr>
    </w:p>
    <w:p w14:paraId="51A015E4">
      <w:pPr>
        <w:rPr>
          <w:rFonts w:hint="default" w:ascii="仿宋" w:hAnsi="仿宋" w:eastAsia="仿宋" w:cs="仿宋"/>
          <w:color w:val="auto"/>
          <w:sz w:val="30"/>
          <w:szCs w:val="30"/>
          <w:woUserID w:val="2"/>
        </w:rPr>
      </w:pPr>
      <w:r>
        <w:rPr>
          <w:rFonts w:hint="eastAsia" w:ascii="仿宋" w:hAnsi="仿宋" w:eastAsia="仿宋" w:cs="仿宋"/>
          <w:color w:val="auto"/>
          <w:sz w:val="30"/>
          <w:szCs w:val="30"/>
          <w:lang w:val="en-US" w:eastAsia="zh-CN"/>
          <w:woUserID w:val="2"/>
        </w:rPr>
        <w:t>附件1：</w:t>
      </w:r>
    </w:p>
    <w:p w14:paraId="5832086F">
      <w:pPr>
        <w:suppressAutoHyphens/>
        <w:jc w:val="center"/>
        <w:rPr>
          <w:rFonts w:hint="eastAsia" w:ascii="仿宋" w:hAnsi="仿宋" w:eastAsia="仿宋" w:cs="仿宋"/>
          <w:b/>
          <w:bCs/>
          <w:color w:val="auto"/>
          <w:sz w:val="44"/>
          <w:szCs w:val="44"/>
          <w:highlight w:val="none"/>
          <w:lang w:eastAsia="zh-CN"/>
        </w:rPr>
      </w:pPr>
      <w:r>
        <w:rPr>
          <w:rFonts w:hint="eastAsia" w:ascii="仿宋" w:hAnsi="仿宋" w:eastAsia="仿宋" w:cs="仿宋"/>
          <w:b/>
          <w:bCs/>
          <w:color w:val="auto"/>
          <w:sz w:val="44"/>
          <w:szCs w:val="44"/>
          <w:highlight w:val="none"/>
          <w:lang w:eastAsia="zh-CN"/>
        </w:rPr>
        <w:t>项目名称：文旅集团职工食堂肉类食材配送服务</w:t>
      </w:r>
    </w:p>
    <w:p w14:paraId="324B06E1">
      <w:pPr>
        <w:spacing w:line="360" w:lineRule="auto"/>
        <w:jc w:val="center"/>
        <w:rPr>
          <w:rFonts w:hint="eastAsia" w:ascii="仿宋" w:hAnsi="仿宋" w:eastAsia="仿宋" w:cs="仿宋"/>
          <w:color w:val="auto"/>
          <w:sz w:val="22"/>
          <w:szCs w:val="16"/>
        </w:rPr>
      </w:pPr>
    </w:p>
    <w:p w14:paraId="471303EF">
      <w:pPr>
        <w:spacing w:line="360" w:lineRule="auto"/>
        <w:jc w:val="center"/>
        <w:rPr>
          <w:rFonts w:hint="eastAsia" w:ascii="仿宋" w:hAnsi="仿宋" w:eastAsia="仿宋" w:cs="仿宋"/>
          <w:color w:val="auto"/>
          <w:sz w:val="22"/>
          <w:szCs w:val="16"/>
        </w:rPr>
      </w:pPr>
    </w:p>
    <w:p w14:paraId="51B1B420">
      <w:pPr>
        <w:spacing w:line="360" w:lineRule="auto"/>
        <w:jc w:val="center"/>
        <w:outlineLvl w:val="0"/>
        <w:rPr>
          <w:rFonts w:hint="eastAsia" w:ascii="仿宋" w:hAnsi="仿宋" w:eastAsia="仿宋" w:cs="仿宋"/>
          <w:color w:val="auto"/>
          <w:spacing w:val="80"/>
          <w:sz w:val="72"/>
          <w:szCs w:val="72"/>
        </w:rPr>
      </w:pPr>
    </w:p>
    <w:p w14:paraId="18D07B4C">
      <w:pPr>
        <w:pStyle w:val="5"/>
        <w:rPr>
          <w:rFonts w:hint="eastAsia" w:ascii="仿宋" w:hAnsi="仿宋" w:eastAsia="仿宋" w:cs="仿宋"/>
          <w:color w:val="auto"/>
          <w:spacing w:val="80"/>
          <w:sz w:val="72"/>
          <w:szCs w:val="72"/>
        </w:rPr>
      </w:pPr>
    </w:p>
    <w:p w14:paraId="3F865E66">
      <w:pPr>
        <w:rPr>
          <w:rFonts w:hint="eastAsia"/>
          <w:color w:val="auto"/>
        </w:rPr>
      </w:pPr>
    </w:p>
    <w:p w14:paraId="07BDC26D">
      <w:pPr>
        <w:pStyle w:val="5"/>
        <w:rPr>
          <w:rFonts w:hint="eastAsia" w:ascii="仿宋" w:hAnsi="仿宋" w:eastAsia="仿宋" w:cs="仿宋"/>
          <w:color w:val="auto"/>
        </w:rPr>
      </w:pPr>
    </w:p>
    <w:p w14:paraId="6BF0EC28">
      <w:pPr>
        <w:spacing w:line="360" w:lineRule="auto"/>
        <w:jc w:val="center"/>
        <w:outlineLvl w:val="0"/>
        <w:rPr>
          <w:rFonts w:hint="eastAsia" w:ascii="仿宋" w:hAnsi="仿宋" w:eastAsia="仿宋" w:cs="仿宋"/>
          <w:b/>
          <w:bCs/>
          <w:color w:val="auto"/>
          <w:spacing w:val="80"/>
          <w:sz w:val="72"/>
          <w:szCs w:val="72"/>
        </w:rPr>
      </w:pPr>
      <w:r>
        <w:rPr>
          <w:rFonts w:hint="eastAsia" w:ascii="仿宋" w:hAnsi="仿宋" w:eastAsia="仿宋" w:cs="仿宋"/>
          <w:b/>
          <w:bCs/>
          <w:color w:val="auto"/>
          <w:spacing w:val="80"/>
          <w:sz w:val="72"/>
          <w:szCs w:val="72"/>
          <w:lang w:eastAsia="zh-CN"/>
        </w:rPr>
        <w:t>询比采购</w:t>
      </w:r>
      <w:r>
        <w:rPr>
          <w:rFonts w:hint="eastAsia" w:ascii="仿宋" w:hAnsi="仿宋" w:eastAsia="仿宋" w:cs="仿宋"/>
          <w:b/>
          <w:bCs/>
          <w:color w:val="auto"/>
          <w:spacing w:val="80"/>
          <w:sz w:val="72"/>
          <w:szCs w:val="72"/>
        </w:rPr>
        <w:t>文件</w:t>
      </w:r>
    </w:p>
    <w:p w14:paraId="64058BB4">
      <w:pPr>
        <w:spacing w:line="360" w:lineRule="auto"/>
        <w:jc w:val="center"/>
        <w:rPr>
          <w:rFonts w:hint="eastAsia" w:ascii="仿宋" w:hAnsi="仿宋" w:eastAsia="仿宋" w:cs="仿宋"/>
          <w:color w:val="auto"/>
          <w:sz w:val="24"/>
          <w:szCs w:val="16"/>
        </w:rPr>
      </w:pPr>
    </w:p>
    <w:p w14:paraId="489D2BD1">
      <w:pPr>
        <w:spacing w:line="360" w:lineRule="auto"/>
        <w:rPr>
          <w:rFonts w:hint="eastAsia" w:ascii="仿宋" w:hAnsi="仿宋" w:eastAsia="仿宋" w:cs="仿宋"/>
          <w:color w:val="auto"/>
          <w:sz w:val="24"/>
          <w:szCs w:val="16"/>
        </w:rPr>
      </w:pPr>
    </w:p>
    <w:p w14:paraId="43B439CD">
      <w:pPr>
        <w:spacing w:line="360" w:lineRule="auto"/>
        <w:jc w:val="center"/>
        <w:rPr>
          <w:rFonts w:hint="eastAsia" w:ascii="仿宋" w:hAnsi="仿宋" w:eastAsia="仿宋" w:cs="仿宋"/>
          <w:color w:val="auto"/>
          <w:sz w:val="24"/>
          <w:szCs w:val="16"/>
        </w:rPr>
      </w:pPr>
    </w:p>
    <w:p w14:paraId="354EAF22">
      <w:pPr>
        <w:spacing w:line="360" w:lineRule="auto"/>
        <w:jc w:val="center"/>
        <w:rPr>
          <w:rFonts w:hint="eastAsia" w:ascii="仿宋" w:hAnsi="仿宋" w:eastAsia="仿宋" w:cs="仿宋"/>
          <w:color w:val="auto"/>
          <w:sz w:val="24"/>
          <w:szCs w:val="16"/>
        </w:rPr>
      </w:pPr>
    </w:p>
    <w:p w14:paraId="5BBF31C0">
      <w:pPr>
        <w:pStyle w:val="5"/>
        <w:spacing w:line="360" w:lineRule="auto"/>
        <w:rPr>
          <w:rFonts w:hint="eastAsia" w:ascii="仿宋" w:hAnsi="仿宋" w:eastAsia="仿宋" w:cs="仿宋"/>
          <w:color w:val="auto"/>
          <w:kern w:val="2"/>
          <w:sz w:val="28"/>
          <w:szCs w:val="24"/>
          <w:lang w:val="en-US" w:eastAsia="zh-CN" w:bidi="ar-SA"/>
        </w:rPr>
      </w:pPr>
      <w:r>
        <w:rPr>
          <w:rFonts w:hint="eastAsia" w:ascii="仿宋" w:hAnsi="仿宋" w:eastAsia="仿宋" w:cs="仿宋"/>
          <w:color w:val="auto"/>
        </w:rPr>
        <w:t xml:space="preserve"> </w:t>
      </w:r>
    </w:p>
    <w:p w14:paraId="51F57CEC">
      <w:pPr>
        <w:spacing w:line="360" w:lineRule="auto"/>
        <w:ind w:firstLine="1360" w:firstLineChars="486"/>
        <w:rPr>
          <w:rFonts w:hint="eastAsia" w:ascii="仿宋" w:hAnsi="仿宋" w:eastAsia="仿宋" w:cs="仿宋"/>
          <w:color w:val="auto"/>
          <w:kern w:val="2"/>
          <w:sz w:val="28"/>
          <w:szCs w:val="24"/>
          <w:lang w:val="en-US" w:eastAsia="zh-CN" w:bidi="ar-SA"/>
        </w:rPr>
      </w:pPr>
    </w:p>
    <w:p w14:paraId="02315262">
      <w:pPr>
        <w:spacing w:line="360" w:lineRule="auto"/>
        <w:ind w:firstLine="1020" w:firstLineChars="486"/>
        <w:rPr>
          <w:rFonts w:hint="eastAsia" w:ascii="仿宋" w:hAnsi="仿宋" w:eastAsia="仿宋" w:cs="仿宋"/>
          <w:color w:val="auto"/>
          <w:szCs w:val="24"/>
        </w:rPr>
      </w:pPr>
    </w:p>
    <w:p w14:paraId="382B5634">
      <w:pPr>
        <w:spacing w:line="360" w:lineRule="auto"/>
        <w:jc w:val="center"/>
        <w:rPr>
          <w:rFonts w:hint="eastAsia" w:ascii="仿宋" w:hAnsi="仿宋" w:eastAsia="仿宋" w:cs="仿宋"/>
          <w:b/>
          <w:color w:val="auto"/>
          <w:sz w:val="24"/>
          <w:szCs w:val="24"/>
        </w:rPr>
      </w:pPr>
    </w:p>
    <w:p w14:paraId="54B5D8ED">
      <w:pPr>
        <w:spacing w:line="700" w:lineRule="exact"/>
        <w:jc w:val="center"/>
        <w:rPr>
          <w:rFonts w:hint="eastAsia" w:ascii="仿宋" w:hAnsi="仿宋" w:eastAsia="仿宋" w:cs="仿宋"/>
          <w:b/>
          <w:bCs/>
          <w:color w:val="auto"/>
          <w:sz w:val="36"/>
          <w:szCs w:val="36"/>
          <w:highlight w:val="none"/>
        </w:rPr>
      </w:pPr>
      <w:r>
        <w:rPr>
          <w:rFonts w:hint="eastAsia" w:ascii="仿宋" w:hAnsi="仿宋" w:eastAsia="仿宋" w:cs="仿宋"/>
          <w:b/>
          <w:bCs/>
          <w:color w:val="auto"/>
          <w:sz w:val="36"/>
          <w:szCs w:val="36"/>
          <w:highlight w:val="none"/>
        </w:rPr>
        <w:t>采 购 人：</w:t>
      </w:r>
      <w:r>
        <w:rPr>
          <w:rFonts w:hint="eastAsia" w:ascii="仿宋" w:hAnsi="仿宋" w:eastAsia="仿宋" w:cs="仿宋"/>
          <w:b/>
          <w:bCs/>
          <w:color w:val="auto"/>
          <w:sz w:val="36"/>
          <w:szCs w:val="36"/>
          <w:highlight w:val="none"/>
          <w:lang w:eastAsia="zh-CN"/>
        </w:rPr>
        <w:t>重庆大足石刻国际文化旅游集团有限公司</w:t>
      </w:r>
    </w:p>
    <w:p w14:paraId="6D7227BB">
      <w:pPr>
        <w:spacing w:line="700" w:lineRule="exact"/>
        <w:jc w:val="center"/>
        <w:rPr>
          <w:rFonts w:hint="eastAsia" w:ascii="仿宋" w:hAnsi="仿宋" w:eastAsia="仿宋" w:cs="仿宋"/>
          <w:b/>
          <w:bCs/>
          <w:color w:val="auto"/>
          <w:sz w:val="36"/>
          <w:szCs w:val="36"/>
          <w:highlight w:val="none"/>
        </w:rPr>
      </w:pPr>
      <w:r>
        <w:rPr>
          <w:rFonts w:hint="eastAsia" w:ascii="仿宋" w:hAnsi="仿宋" w:eastAsia="仿宋" w:cs="仿宋"/>
          <w:b/>
          <w:bCs/>
          <w:color w:val="auto"/>
          <w:sz w:val="36"/>
          <w:szCs w:val="36"/>
          <w:highlight w:val="none"/>
        </w:rPr>
        <w:t>采购代理机构：</w:t>
      </w:r>
      <w:r>
        <w:rPr>
          <w:rFonts w:hint="eastAsia" w:ascii="仿宋" w:hAnsi="仿宋" w:eastAsia="仿宋" w:cs="Times New Roman"/>
          <w:b/>
          <w:bCs/>
          <w:color w:val="auto"/>
          <w:sz w:val="36"/>
          <w:szCs w:val="36"/>
          <w:lang w:val="en-US" w:eastAsia="zh-CN"/>
        </w:rPr>
        <w:t>重庆修为工程咨询有限公司</w:t>
      </w:r>
    </w:p>
    <w:p w14:paraId="7551BF2F">
      <w:pPr>
        <w:spacing w:line="720" w:lineRule="exact"/>
        <w:jc w:val="center"/>
        <w:outlineLvl w:val="0"/>
        <w:rPr>
          <w:rFonts w:hint="eastAsia" w:ascii="仿宋" w:hAnsi="仿宋" w:eastAsia="仿宋" w:cs="仿宋"/>
          <w:b/>
          <w:bCs/>
          <w:color w:val="auto"/>
          <w:sz w:val="36"/>
          <w:szCs w:val="36"/>
          <w:highlight w:val="none"/>
        </w:rPr>
      </w:pPr>
      <w:r>
        <w:rPr>
          <w:rFonts w:hint="eastAsia" w:ascii="仿宋" w:hAnsi="仿宋" w:eastAsia="仿宋" w:cs="仿宋"/>
          <w:b/>
          <w:bCs/>
          <w:color w:val="auto"/>
          <w:sz w:val="36"/>
          <w:szCs w:val="36"/>
          <w:highlight w:val="none"/>
        </w:rPr>
        <w:t>二〇二</w:t>
      </w:r>
      <w:r>
        <w:rPr>
          <w:rFonts w:hint="eastAsia" w:ascii="仿宋" w:hAnsi="仿宋" w:eastAsia="仿宋" w:cs="仿宋"/>
          <w:b/>
          <w:bCs/>
          <w:color w:val="auto"/>
          <w:sz w:val="36"/>
          <w:szCs w:val="36"/>
          <w:highlight w:val="none"/>
          <w:lang w:eastAsia="zh-CN"/>
        </w:rPr>
        <w:t>六</w:t>
      </w:r>
      <w:r>
        <w:rPr>
          <w:rFonts w:hint="eastAsia" w:ascii="仿宋" w:hAnsi="仿宋" w:eastAsia="仿宋" w:cs="仿宋"/>
          <w:b/>
          <w:bCs/>
          <w:color w:val="auto"/>
          <w:sz w:val="36"/>
          <w:szCs w:val="36"/>
          <w:highlight w:val="none"/>
        </w:rPr>
        <w:t>年</w:t>
      </w:r>
      <w:r>
        <w:rPr>
          <w:rFonts w:hint="eastAsia" w:ascii="仿宋" w:hAnsi="仿宋" w:eastAsia="仿宋" w:cs="仿宋"/>
          <w:b/>
          <w:bCs/>
          <w:color w:val="auto"/>
          <w:sz w:val="36"/>
          <w:szCs w:val="36"/>
          <w:highlight w:val="none"/>
          <w:lang w:val="en-US" w:eastAsia="zh-CN"/>
        </w:rPr>
        <w:t>五</w:t>
      </w:r>
      <w:r>
        <w:rPr>
          <w:rFonts w:hint="eastAsia" w:ascii="仿宋" w:hAnsi="仿宋" w:eastAsia="仿宋" w:cs="仿宋"/>
          <w:b/>
          <w:bCs/>
          <w:color w:val="auto"/>
          <w:sz w:val="36"/>
          <w:szCs w:val="36"/>
          <w:highlight w:val="none"/>
        </w:rPr>
        <w:t>月</w:t>
      </w:r>
    </w:p>
    <w:p w14:paraId="0241100A">
      <w:pPr>
        <w:spacing w:line="360" w:lineRule="auto"/>
        <w:jc w:val="center"/>
        <w:outlineLvl w:val="0"/>
        <w:rPr>
          <w:rFonts w:hint="eastAsia" w:ascii="仿宋" w:hAnsi="仿宋" w:eastAsia="仿宋" w:cs="仿宋"/>
          <w:color w:val="auto"/>
          <w:sz w:val="44"/>
          <w:szCs w:val="28"/>
        </w:rPr>
        <w:sectPr>
          <w:headerReference r:id="rId4" w:type="first"/>
          <w:footerReference r:id="rId6" w:type="first"/>
          <w:headerReference r:id="rId3" w:type="default"/>
          <w:footerReference r:id="rId5" w:type="even"/>
          <w:pgSz w:w="11907" w:h="16840"/>
          <w:pgMar w:top="1134" w:right="1191" w:bottom="1134" w:left="1304" w:header="851" w:footer="992" w:gutter="0"/>
          <w:pgNumType w:fmt="numberInDash" w:start="1"/>
          <w:cols w:space="720" w:num="1"/>
          <w:docGrid w:linePitch="380" w:charSpace="-5735"/>
        </w:sectPr>
      </w:pPr>
    </w:p>
    <w:p w14:paraId="281192F2">
      <w:pPr>
        <w:spacing w:line="360" w:lineRule="auto"/>
        <w:jc w:val="center"/>
        <w:outlineLvl w:val="0"/>
        <w:rPr>
          <w:rFonts w:hint="eastAsia" w:ascii="仿宋" w:hAnsi="仿宋" w:eastAsia="仿宋" w:cs="仿宋"/>
          <w:color w:val="auto"/>
          <w:sz w:val="44"/>
          <w:szCs w:val="28"/>
        </w:rPr>
      </w:pPr>
      <w:r>
        <w:rPr>
          <w:rFonts w:hint="eastAsia" w:ascii="仿宋" w:hAnsi="仿宋" w:eastAsia="仿宋" w:cs="仿宋"/>
          <w:color w:val="auto"/>
          <w:sz w:val="44"/>
          <w:szCs w:val="28"/>
        </w:rPr>
        <w:t>目   录</w:t>
      </w:r>
    </w:p>
    <w:p w14:paraId="51A38FDD">
      <w:pPr>
        <w:pStyle w:val="13"/>
        <w:tabs>
          <w:tab w:val="right" w:leader="dot" w:pos="9412"/>
        </w:tabs>
        <w:rPr>
          <w:color w:val="auto"/>
        </w:rPr>
      </w:pPr>
      <w:r>
        <w:rPr>
          <w:rFonts w:hint="eastAsia" w:ascii="仿宋" w:hAnsi="仿宋" w:eastAsia="仿宋" w:cs="仿宋"/>
          <w:color w:val="auto"/>
          <w:sz w:val="21"/>
          <w:szCs w:val="21"/>
        </w:rPr>
        <w:fldChar w:fldCharType="begin"/>
      </w:r>
      <w:r>
        <w:rPr>
          <w:rFonts w:hint="eastAsia" w:ascii="仿宋" w:hAnsi="仿宋" w:eastAsia="仿宋" w:cs="仿宋"/>
          <w:color w:val="auto"/>
          <w:sz w:val="21"/>
          <w:szCs w:val="21"/>
        </w:rPr>
        <w:instrText xml:space="preserve"> TOC \o "1-3" \h \z </w:instrText>
      </w:r>
      <w:r>
        <w:rPr>
          <w:rFonts w:hint="eastAsia" w:ascii="仿宋" w:hAnsi="仿宋" w:eastAsia="仿宋" w:cs="仿宋"/>
          <w:color w:val="auto"/>
          <w:sz w:val="21"/>
          <w:szCs w:val="21"/>
        </w:rPr>
        <w:fldChar w:fldCharType="separate"/>
      </w: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_Toc4991 </w:instrText>
      </w:r>
      <w:r>
        <w:rPr>
          <w:rFonts w:hint="eastAsia" w:ascii="仿宋" w:hAnsi="仿宋" w:eastAsia="仿宋" w:cs="仿宋"/>
          <w:color w:val="auto"/>
          <w:szCs w:val="21"/>
        </w:rPr>
        <w:fldChar w:fldCharType="separate"/>
      </w:r>
      <w:r>
        <w:rPr>
          <w:rFonts w:hint="eastAsia" w:ascii="仿宋" w:hAnsi="仿宋" w:eastAsia="仿宋" w:cs="仿宋"/>
          <w:color w:val="auto"/>
          <w:szCs w:val="30"/>
        </w:rPr>
        <w:t>第一篇  采购邀请书</w:t>
      </w:r>
      <w:r>
        <w:rPr>
          <w:color w:val="auto"/>
        </w:rPr>
        <w:tab/>
      </w:r>
      <w:r>
        <w:rPr>
          <w:color w:val="auto"/>
        </w:rPr>
        <w:fldChar w:fldCharType="begin"/>
      </w:r>
      <w:r>
        <w:rPr>
          <w:color w:val="auto"/>
        </w:rPr>
        <w:instrText xml:space="preserve"> PAGEREF _Toc4991 \h </w:instrText>
      </w:r>
      <w:r>
        <w:rPr>
          <w:color w:val="auto"/>
        </w:rPr>
        <w:fldChar w:fldCharType="separate"/>
      </w:r>
      <w:r>
        <w:rPr>
          <w:color w:val="auto"/>
        </w:rPr>
        <w:t>- 3 -</w:t>
      </w:r>
      <w:r>
        <w:rPr>
          <w:color w:val="auto"/>
        </w:rPr>
        <w:fldChar w:fldCharType="end"/>
      </w:r>
      <w:r>
        <w:rPr>
          <w:rFonts w:hint="eastAsia" w:ascii="仿宋" w:hAnsi="仿宋" w:eastAsia="仿宋" w:cs="仿宋"/>
          <w:color w:val="auto"/>
          <w:szCs w:val="21"/>
        </w:rPr>
        <w:fldChar w:fldCharType="end"/>
      </w:r>
    </w:p>
    <w:p w14:paraId="56C120E1">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_Toc18171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一、</w:t>
      </w:r>
      <w:r>
        <w:rPr>
          <w:rFonts w:hint="eastAsia" w:ascii="仿宋" w:hAnsi="仿宋" w:eastAsia="仿宋" w:cs="仿宋"/>
          <w:color w:val="auto"/>
          <w:szCs w:val="24"/>
          <w:lang w:eastAsia="zh-CN"/>
        </w:rPr>
        <w:t>询比</w:t>
      </w:r>
      <w:r>
        <w:rPr>
          <w:rFonts w:hint="eastAsia" w:ascii="仿宋" w:hAnsi="仿宋" w:eastAsia="仿宋" w:cs="仿宋"/>
          <w:color w:val="auto"/>
          <w:szCs w:val="24"/>
        </w:rPr>
        <w:t>内容</w:t>
      </w:r>
      <w:r>
        <w:rPr>
          <w:color w:val="auto"/>
        </w:rPr>
        <w:tab/>
      </w:r>
      <w:r>
        <w:rPr>
          <w:color w:val="auto"/>
        </w:rPr>
        <w:fldChar w:fldCharType="begin"/>
      </w:r>
      <w:r>
        <w:rPr>
          <w:color w:val="auto"/>
        </w:rPr>
        <w:instrText xml:space="preserve"> PAGEREF _Toc18171 \h </w:instrText>
      </w:r>
      <w:r>
        <w:rPr>
          <w:color w:val="auto"/>
        </w:rPr>
        <w:fldChar w:fldCharType="separate"/>
      </w:r>
      <w:r>
        <w:rPr>
          <w:color w:val="auto"/>
        </w:rPr>
        <w:t>- 3 -</w:t>
      </w:r>
      <w:r>
        <w:rPr>
          <w:color w:val="auto"/>
        </w:rPr>
        <w:fldChar w:fldCharType="end"/>
      </w:r>
      <w:r>
        <w:rPr>
          <w:rFonts w:hint="eastAsia" w:ascii="仿宋" w:hAnsi="仿宋" w:eastAsia="仿宋" w:cs="仿宋"/>
          <w:color w:val="auto"/>
          <w:szCs w:val="21"/>
        </w:rPr>
        <w:fldChar w:fldCharType="end"/>
      </w:r>
    </w:p>
    <w:p w14:paraId="67FDAD6C">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_Toc13580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二、资金来源</w:t>
      </w:r>
      <w:r>
        <w:rPr>
          <w:color w:val="auto"/>
        </w:rPr>
        <w:tab/>
      </w:r>
      <w:r>
        <w:rPr>
          <w:color w:val="auto"/>
        </w:rPr>
        <w:fldChar w:fldCharType="begin"/>
      </w:r>
      <w:r>
        <w:rPr>
          <w:color w:val="auto"/>
        </w:rPr>
        <w:instrText xml:space="preserve"> PAGEREF _Toc13580 \h </w:instrText>
      </w:r>
      <w:r>
        <w:rPr>
          <w:color w:val="auto"/>
        </w:rPr>
        <w:fldChar w:fldCharType="separate"/>
      </w:r>
      <w:r>
        <w:rPr>
          <w:color w:val="auto"/>
        </w:rPr>
        <w:t>- 3 -</w:t>
      </w:r>
      <w:r>
        <w:rPr>
          <w:color w:val="auto"/>
        </w:rPr>
        <w:fldChar w:fldCharType="end"/>
      </w:r>
      <w:r>
        <w:rPr>
          <w:rFonts w:hint="eastAsia" w:ascii="仿宋" w:hAnsi="仿宋" w:eastAsia="仿宋" w:cs="仿宋"/>
          <w:color w:val="auto"/>
          <w:szCs w:val="21"/>
        </w:rPr>
        <w:fldChar w:fldCharType="end"/>
      </w:r>
    </w:p>
    <w:p w14:paraId="245D3902">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_Toc9123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三、供应商资格条件</w:t>
      </w:r>
      <w:r>
        <w:rPr>
          <w:color w:val="auto"/>
        </w:rPr>
        <w:tab/>
      </w:r>
      <w:r>
        <w:rPr>
          <w:color w:val="auto"/>
        </w:rPr>
        <w:fldChar w:fldCharType="begin"/>
      </w:r>
      <w:r>
        <w:rPr>
          <w:color w:val="auto"/>
        </w:rPr>
        <w:instrText xml:space="preserve"> PAGEREF _Toc9123 \h </w:instrText>
      </w:r>
      <w:r>
        <w:rPr>
          <w:color w:val="auto"/>
        </w:rPr>
        <w:fldChar w:fldCharType="separate"/>
      </w:r>
      <w:r>
        <w:rPr>
          <w:color w:val="auto"/>
        </w:rPr>
        <w:t>- 3 -</w:t>
      </w:r>
      <w:r>
        <w:rPr>
          <w:color w:val="auto"/>
        </w:rPr>
        <w:fldChar w:fldCharType="end"/>
      </w:r>
      <w:r>
        <w:rPr>
          <w:rFonts w:hint="eastAsia" w:ascii="仿宋" w:hAnsi="仿宋" w:eastAsia="仿宋" w:cs="仿宋"/>
          <w:color w:val="auto"/>
          <w:szCs w:val="21"/>
        </w:rPr>
        <w:fldChar w:fldCharType="end"/>
      </w:r>
    </w:p>
    <w:p w14:paraId="5039A1E1">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_Toc17259 </w:instrText>
      </w:r>
      <w:r>
        <w:rPr>
          <w:rFonts w:hint="eastAsia" w:ascii="仿宋" w:hAnsi="仿宋" w:eastAsia="仿宋" w:cs="仿宋"/>
          <w:color w:val="auto"/>
          <w:szCs w:val="21"/>
        </w:rPr>
        <w:fldChar w:fldCharType="separate"/>
      </w:r>
      <w:r>
        <w:rPr>
          <w:rFonts w:hint="eastAsia" w:ascii="仿宋" w:hAnsi="仿宋" w:eastAsia="仿宋" w:cs="仿宋"/>
          <w:color w:val="auto"/>
          <w:szCs w:val="24"/>
          <w:lang w:val="en-US" w:eastAsia="zh-CN"/>
        </w:rPr>
        <w:t>四、询比有关说明</w:t>
      </w:r>
      <w:r>
        <w:rPr>
          <w:color w:val="auto"/>
        </w:rPr>
        <w:tab/>
      </w:r>
      <w:r>
        <w:rPr>
          <w:color w:val="auto"/>
        </w:rPr>
        <w:fldChar w:fldCharType="begin"/>
      </w:r>
      <w:r>
        <w:rPr>
          <w:color w:val="auto"/>
        </w:rPr>
        <w:instrText xml:space="preserve"> PAGEREF _Toc17259 \h </w:instrText>
      </w:r>
      <w:r>
        <w:rPr>
          <w:color w:val="auto"/>
        </w:rPr>
        <w:fldChar w:fldCharType="separate"/>
      </w:r>
      <w:r>
        <w:rPr>
          <w:color w:val="auto"/>
        </w:rPr>
        <w:t>- 3 -</w:t>
      </w:r>
      <w:r>
        <w:rPr>
          <w:color w:val="auto"/>
        </w:rPr>
        <w:fldChar w:fldCharType="end"/>
      </w:r>
      <w:r>
        <w:rPr>
          <w:rFonts w:hint="eastAsia" w:ascii="仿宋" w:hAnsi="仿宋" w:eastAsia="仿宋" w:cs="仿宋"/>
          <w:color w:val="auto"/>
          <w:szCs w:val="21"/>
        </w:rPr>
        <w:fldChar w:fldCharType="end"/>
      </w:r>
    </w:p>
    <w:p w14:paraId="131EE86E">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_Toc15209 </w:instrText>
      </w:r>
      <w:r>
        <w:rPr>
          <w:rFonts w:hint="eastAsia" w:ascii="仿宋" w:hAnsi="仿宋" w:eastAsia="仿宋" w:cs="仿宋"/>
          <w:color w:val="auto"/>
          <w:szCs w:val="21"/>
        </w:rPr>
        <w:fldChar w:fldCharType="separate"/>
      </w:r>
      <w:r>
        <w:rPr>
          <w:rFonts w:hint="eastAsia" w:ascii="仿宋" w:hAnsi="仿宋" w:eastAsia="仿宋" w:cs="仿宋"/>
          <w:color w:val="auto"/>
          <w:szCs w:val="24"/>
          <w:lang w:val="en-US" w:eastAsia="zh-CN"/>
        </w:rPr>
        <w:t>五、询比保证金</w:t>
      </w:r>
      <w:r>
        <w:rPr>
          <w:color w:val="auto"/>
        </w:rPr>
        <w:tab/>
      </w:r>
      <w:r>
        <w:rPr>
          <w:color w:val="auto"/>
        </w:rPr>
        <w:fldChar w:fldCharType="begin"/>
      </w:r>
      <w:r>
        <w:rPr>
          <w:color w:val="auto"/>
        </w:rPr>
        <w:instrText xml:space="preserve"> PAGEREF _Toc15209 \h </w:instrText>
      </w:r>
      <w:r>
        <w:rPr>
          <w:color w:val="auto"/>
        </w:rPr>
        <w:fldChar w:fldCharType="separate"/>
      </w:r>
      <w:r>
        <w:rPr>
          <w:color w:val="auto"/>
        </w:rPr>
        <w:t>- 4 -</w:t>
      </w:r>
      <w:r>
        <w:rPr>
          <w:color w:val="auto"/>
        </w:rPr>
        <w:fldChar w:fldCharType="end"/>
      </w:r>
      <w:r>
        <w:rPr>
          <w:rFonts w:hint="eastAsia" w:ascii="仿宋" w:hAnsi="仿宋" w:eastAsia="仿宋" w:cs="仿宋"/>
          <w:color w:val="auto"/>
          <w:szCs w:val="21"/>
        </w:rPr>
        <w:fldChar w:fldCharType="end"/>
      </w:r>
    </w:p>
    <w:p w14:paraId="7C16E3E5">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_Toc28959 </w:instrText>
      </w:r>
      <w:r>
        <w:rPr>
          <w:rFonts w:hint="eastAsia" w:ascii="仿宋" w:hAnsi="仿宋" w:eastAsia="仿宋" w:cs="仿宋"/>
          <w:color w:val="auto"/>
          <w:szCs w:val="21"/>
        </w:rPr>
        <w:fldChar w:fldCharType="separate"/>
      </w:r>
      <w:r>
        <w:rPr>
          <w:rFonts w:hint="eastAsia" w:ascii="仿宋" w:hAnsi="仿宋" w:eastAsia="仿宋" w:cs="仿宋"/>
          <w:color w:val="auto"/>
          <w:kern w:val="2"/>
          <w:szCs w:val="24"/>
          <w:lang w:val="en-US" w:eastAsia="zh-CN" w:bidi="ar-SA"/>
        </w:rPr>
        <w:t>六、投标有关规定</w:t>
      </w:r>
      <w:r>
        <w:rPr>
          <w:color w:val="auto"/>
        </w:rPr>
        <w:tab/>
      </w:r>
      <w:r>
        <w:rPr>
          <w:color w:val="auto"/>
        </w:rPr>
        <w:fldChar w:fldCharType="begin"/>
      </w:r>
      <w:r>
        <w:rPr>
          <w:color w:val="auto"/>
        </w:rPr>
        <w:instrText xml:space="preserve"> PAGEREF _Toc28959 \h </w:instrText>
      </w:r>
      <w:r>
        <w:rPr>
          <w:color w:val="auto"/>
        </w:rPr>
        <w:fldChar w:fldCharType="separate"/>
      </w:r>
      <w:r>
        <w:rPr>
          <w:color w:val="auto"/>
        </w:rPr>
        <w:t>- 4 -</w:t>
      </w:r>
      <w:r>
        <w:rPr>
          <w:color w:val="auto"/>
        </w:rPr>
        <w:fldChar w:fldCharType="end"/>
      </w:r>
      <w:r>
        <w:rPr>
          <w:rFonts w:hint="eastAsia" w:ascii="仿宋" w:hAnsi="仿宋" w:eastAsia="仿宋" w:cs="仿宋"/>
          <w:color w:val="auto"/>
          <w:szCs w:val="21"/>
        </w:rPr>
        <w:fldChar w:fldCharType="end"/>
      </w:r>
    </w:p>
    <w:p w14:paraId="3D9A7862">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_Toc19421 </w:instrText>
      </w:r>
      <w:r>
        <w:rPr>
          <w:rFonts w:hint="eastAsia" w:ascii="仿宋" w:hAnsi="仿宋" w:eastAsia="仿宋" w:cs="仿宋"/>
          <w:color w:val="auto"/>
          <w:szCs w:val="21"/>
        </w:rPr>
        <w:fldChar w:fldCharType="separate"/>
      </w:r>
      <w:r>
        <w:rPr>
          <w:rFonts w:hint="eastAsia" w:ascii="仿宋" w:hAnsi="仿宋" w:eastAsia="仿宋" w:cs="仿宋"/>
          <w:color w:val="auto"/>
          <w:szCs w:val="24"/>
          <w:lang w:eastAsia="zh-CN"/>
        </w:rPr>
        <w:t>七</w:t>
      </w:r>
      <w:r>
        <w:rPr>
          <w:rFonts w:hint="eastAsia" w:ascii="仿宋" w:hAnsi="仿宋" w:eastAsia="仿宋" w:cs="仿宋"/>
          <w:color w:val="auto"/>
          <w:szCs w:val="24"/>
        </w:rPr>
        <w:t>、联系方式</w:t>
      </w:r>
      <w:r>
        <w:rPr>
          <w:color w:val="auto"/>
        </w:rPr>
        <w:tab/>
      </w:r>
      <w:r>
        <w:rPr>
          <w:color w:val="auto"/>
        </w:rPr>
        <w:fldChar w:fldCharType="begin"/>
      </w:r>
      <w:r>
        <w:rPr>
          <w:color w:val="auto"/>
        </w:rPr>
        <w:instrText xml:space="preserve"> PAGEREF _Toc19421 \h </w:instrText>
      </w:r>
      <w:r>
        <w:rPr>
          <w:color w:val="auto"/>
        </w:rPr>
        <w:fldChar w:fldCharType="separate"/>
      </w:r>
      <w:r>
        <w:rPr>
          <w:color w:val="auto"/>
        </w:rPr>
        <w:t>- 5 -</w:t>
      </w:r>
      <w:r>
        <w:rPr>
          <w:color w:val="auto"/>
        </w:rPr>
        <w:fldChar w:fldCharType="end"/>
      </w:r>
      <w:r>
        <w:rPr>
          <w:rFonts w:hint="eastAsia" w:ascii="仿宋" w:hAnsi="仿宋" w:eastAsia="仿宋" w:cs="仿宋"/>
          <w:color w:val="auto"/>
          <w:szCs w:val="21"/>
        </w:rPr>
        <w:fldChar w:fldCharType="end"/>
      </w:r>
    </w:p>
    <w:p w14:paraId="59649142">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_Toc2358 </w:instrText>
      </w:r>
      <w:r>
        <w:rPr>
          <w:rFonts w:hint="eastAsia" w:ascii="仿宋" w:hAnsi="仿宋" w:eastAsia="仿宋" w:cs="仿宋"/>
          <w:color w:val="auto"/>
          <w:szCs w:val="21"/>
        </w:rPr>
        <w:fldChar w:fldCharType="separate"/>
      </w:r>
      <w:r>
        <w:rPr>
          <w:rFonts w:hint="eastAsia" w:ascii="仿宋" w:hAnsi="仿宋" w:eastAsia="仿宋" w:cs="仿宋"/>
          <w:color w:val="auto"/>
          <w:szCs w:val="30"/>
          <w:lang w:val="en-US" w:eastAsia="zh-CN"/>
        </w:rPr>
        <w:t>第二篇  项目服务需求</w:t>
      </w:r>
      <w:r>
        <w:rPr>
          <w:color w:val="auto"/>
        </w:rPr>
        <w:tab/>
      </w:r>
      <w:r>
        <w:rPr>
          <w:color w:val="auto"/>
        </w:rPr>
        <w:fldChar w:fldCharType="begin"/>
      </w:r>
      <w:r>
        <w:rPr>
          <w:color w:val="auto"/>
        </w:rPr>
        <w:instrText xml:space="preserve"> PAGEREF _Toc2358 \h </w:instrText>
      </w:r>
      <w:r>
        <w:rPr>
          <w:color w:val="auto"/>
        </w:rPr>
        <w:fldChar w:fldCharType="separate"/>
      </w:r>
      <w:r>
        <w:rPr>
          <w:color w:val="auto"/>
        </w:rPr>
        <w:t>- 6 -</w:t>
      </w:r>
      <w:r>
        <w:rPr>
          <w:color w:val="auto"/>
        </w:rPr>
        <w:fldChar w:fldCharType="end"/>
      </w:r>
      <w:r>
        <w:rPr>
          <w:rFonts w:hint="eastAsia" w:ascii="仿宋" w:hAnsi="仿宋" w:eastAsia="仿宋" w:cs="仿宋"/>
          <w:color w:val="auto"/>
          <w:szCs w:val="21"/>
        </w:rPr>
        <w:fldChar w:fldCharType="end"/>
      </w:r>
    </w:p>
    <w:p w14:paraId="6FC38C75">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_Toc25821 </w:instrText>
      </w:r>
      <w:r>
        <w:rPr>
          <w:rFonts w:hint="eastAsia" w:ascii="仿宋" w:hAnsi="仿宋" w:eastAsia="仿宋" w:cs="仿宋"/>
          <w:color w:val="auto"/>
          <w:szCs w:val="21"/>
        </w:rPr>
        <w:fldChar w:fldCharType="separate"/>
      </w:r>
      <w:r>
        <w:rPr>
          <w:rFonts w:hint="eastAsia" w:ascii="仿宋" w:hAnsi="仿宋" w:eastAsia="仿宋" w:cs="仿宋"/>
          <w:color w:val="auto"/>
        </w:rPr>
        <w:t>一、采购内容</w:t>
      </w:r>
      <w:r>
        <w:rPr>
          <w:color w:val="auto"/>
        </w:rPr>
        <w:tab/>
      </w:r>
      <w:r>
        <w:rPr>
          <w:color w:val="auto"/>
        </w:rPr>
        <w:fldChar w:fldCharType="begin"/>
      </w:r>
      <w:r>
        <w:rPr>
          <w:color w:val="auto"/>
        </w:rPr>
        <w:instrText xml:space="preserve"> PAGEREF _Toc25821 \h </w:instrText>
      </w:r>
      <w:r>
        <w:rPr>
          <w:color w:val="auto"/>
        </w:rPr>
        <w:fldChar w:fldCharType="separate"/>
      </w:r>
      <w:r>
        <w:rPr>
          <w:color w:val="auto"/>
        </w:rPr>
        <w:t>- 6 -</w:t>
      </w:r>
      <w:r>
        <w:rPr>
          <w:color w:val="auto"/>
        </w:rPr>
        <w:fldChar w:fldCharType="end"/>
      </w:r>
      <w:r>
        <w:rPr>
          <w:rFonts w:hint="eastAsia" w:ascii="仿宋" w:hAnsi="仿宋" w:eastAsia="仿宋" w:cs="仿宋"/>
          <w:color w:val="auto"/>
          <w:szCs w:val="21"/>
        </w:rPr>
        <w:fldChar w:fldCharType="end"/>
      </w:r>
    </w:p>
    <w:p w14:paraId="15D12F69">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_Toc7357 </w:instrText>
      </w:r>
      <w:r>
        <w:rPr>
          <w:rFonts w:hint="eastAsia" w:ascii="仿宋" w:hAnsi="仿宋" w:eastAsia="仿宋" w:cs="仿宋"/>
          <w:color w:val="auto"/>
          <w:szCs w:val="21"/>
        </w:rPr>
        <w:fldChar w:fldCharType="separate"/>
      </w:r>
      <w:r>
        <w:rPr>
          <w:rFonts w:hint="eastAsia" w:ascii="仿宋" w:hAnsi="仿宋" w:eastAsia="仿宋" w:cs="仿宋"/>
          <w:color w:val="auto"/>
          <w:lang w:eastAsia="zh-CN"/>
        </w:rPr>
        <w:t>二、</w:t>
      </w:r>
      <w:r>
        <w:rPr>
          <w:rFonts w:hint="eastAsia" w:ascii="仿宋" w:hAnsi="仿宋" w:eastAsia="仿宋" w:cs="仿宋"/>
          <w:color w:val="auto"/>
        </w:rPr>
        <w:t>服务</w:t>
      </w:r>
      <w:r>
        <w:rPr>
          <w:rFonts w:hint="eastAsia" w:ascii="仿宋" w:hAnsi="仿宋" w:eastAsia="仿宋" w:cs="仿宋"/>
          <w:color w:val="auto"/>
          <w:lang w:eastAsia="zh-CN"/>
        </w:rPr>
        <w:t>要求</w:t>
      </w:r>
      <w:r>
        <w:rPr>
          <w:color w:val="auto"/>
        </w:rPr>
        <w:tab/>
      </w:r>
      <w:r>
        <w:rPr>
          <w:color w:val="auto"/>
        </w:rPr>
        <w:fldChar w:fldCharType="begin"/>
      </w:r>
      <w:r>
        <w:rPr>
          <w:color w:val="auto"/>
        </w:rPr>
        <w:instrText xml:space="preserve"> PAGEREF _Toc7357 \h </w:instrText>
      </w:r>
      <w:r>
        <w:rPr>
          <w:color w:val="auto"/>
        </w:rPr>
        <w:fldChar w:fldCharType="separate"/>
      </w:r>
      <w:r>
        <w:rPr>
          <w:color w:val="auto"/>
        </w:rPr>
        <w:t>- 6 -</w:t>
      </w:r>
      <w:r>
        <w:rPr>
          <w:color w:val="auto"/>
        </w:rPr>
        <w:fldChar w:fldCharType="end"/>
      </w:r>
      <w:r>
        <w:rPr>
          <w:rFonts w:hint="eastAsia" w:ascii="仿宋" w:hAnsi="仿宋" w:eastAsia="仿宋" w:cs="仿宋"/>
          <w:color w:val="auto"/>
          <w:szCs w:val="21"/>
        </w:rPr>
        <w:fldChar w:fldCharType="end"/>
      </w:r>
    </w:p>
    <w:p w14:paraId="329A1832">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_Toc30651 </w:instrText>
      </w:r>
      <w:r>
        <w:rPr>
          <w:rFonts w:hint="eastAsia" w:ascii="仿宋" w:hAnsi="仿宋" w:eastAsia="仿宋" w:cs="仿宋"/>
          <w:color w:val="auto"/>
          <w:szCs w:val="21"/>
        </w:rPr>
        <w:fldChar w:fldCharType="separate"/>
      </w:r>
      <w:r>
        <w:rPr>
          <w:rFonts w:hint="eastAsia" w:ascii="仿宋" w:hAnsi="仿宋" w:eastAsia="仿宋" w:cs="仿宋"/>
          <w:color w:val="auto"/>
          <w:lang w:eastAsia="zh-CN"/>
        </w:rPr>
        <w:t>三、配送要求</w:t>
      </w:r>
      <w:r>
        <w:rPr>
          <w:color w:val="auto"/>
        </w:rPr>
        <w:tab/>
      </w:r>
      <w:r>
        <w:rPr>
          <w:color w:val="auto"/>
        </w:rPr>
        <w:fldChar w:fldCharType="begin"/>
      </w:r>
      <w:r>
        <w:rPr>
          <w:color w:val="auto"/>
        </w:rPr>
        <w:instrText xml:space="preserve"> PAGEREF _Toc30651 \h </w:instrText>
      </w:r>
      <w:r>
        <w:rPr>
          <w:color w:val="auto"/>
        </w:rPr>
        <w:fldChar w:fldCharType="separate"/>
      </w:r>
      <w:r>
        <w:rPr>
          <w:color w:val="auto"/>
        </w:rPr>
        <w:t>- 7 -</w:t>
      </w:r>
      <w:r>
        <w:rPr>
          <w:color w:val="auto"/>
        </w:rPr>
        <w:fldChar w:fldCharType="end"/>
      </w:r>
      <w:r>
        <w:rPr>
          <w:rFonts w:hint="eastAsia" w:ascii="仿宋" w:hAnsi="仿宋" w:eastAsia="仿宋" w:cs="仿宋"/>
          <w:color w:val="auto"/>
          <w:szCs w:val="21"/>
        </w:rPr>
        <w:fldChar w:fldCharType="end"/>
      </w:r>
    </w:p>
    <w:p w14:paraId="15EC5B77">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_Toc8223 </w:instrText>
      </w:r>
      <w:r>
        <w:rPr>
          <w:rFonts w:hint="eastAsia" w:ascii="仿宋" w:hAnsi="仿宋" w:eastAsia="仿宋" w:cs="仿宋"/>
          <w:color w:val="auto"/>
          <w:szCs w:val="21"/>
        </w:rPr>
        <w:fldChar w:fldCharType="separate"/>
      </w:r>
      <w:r>
        <w:rPr>
          <w:rFonts w:hint="eastAsia" w:ascii="仿宋" w:hAnsi="仿宋" w:eastAsia="仿宋" w:cs="仿宋"/>
          <w:color w:val="auto"/>
          <w:szCs w:val="30"/>
        </w:rPr>
        <w:t>第三篇  项目商务需求</w:t>
      </w:r>
      <w:r>
        <w:rPr>
          <w:color w:val="auto"/>
        </w:rPr>
        <w:tab/>
      </w:r>
      <w:r>
        <w:rPr>
          <w:color w:val="auto"/>
        </w:rPr>
        <w:fldChar w:fldCharType="begin"/>
      </w:r>
      <w:r>
        <w:rPr>
          <w:color w:val="auto"/>
        </w:rPr>
        <w:instrText xml:space="preserve"> PAGEREF _Toc8223 \h </w:instrText>
      </w:r>
      <w:r>
        <w:rPr>
          <w:color w:val="auto"/>
        </w:rPr>
        <w:fldChar w:fldCharType="separate"/>
      </w:r>
      <w:r>
        <w:rPr>
          <w:color w:val="auto"/>
        </w:rPr>
        <w:t>- 9 -</w:t>
      </w:r>
      <w:r>
        <w:rPr>
          <w:color w:val="auto"/>
        </w:rPr>
        <w:fldChar w:fldCharType="end"/>
      </w:r>
      <w:r>
        <w:rPr>
          <w:rFonts w:hint="eastAsia" w:ascii="仿宋" w:hAnsi="仿宋" w:eastAsia="仿宋" w:cs="仿宋"/>
          <w:color w:val="auto"/>
          <w:szCs w:val="21"/>
        </w:rPr>
        <w:fldChar w:fldCharType="end"/>
      </w:r>
    </w:p>
    <w:p w14:paraId="474DA11A">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_Toc7308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一、服务期、地点及验收方式</w:t>
      </w:r>
      <w:r>
        <w:rPr>
          <w:color w:val="auto"/>
        </w:rPr>
        <w:tab/>
      </w:r>
      <w:r>
        <w:rPr>
          <w:color w:val="auto"/>
        </w:rPr>
        <w:fldChar w:fldCharType="begin"/>
      </w:r>
      <w:r>
        <w:rPr>
          <w:color w:val="auto"/>
        </w:rPr>
        <w:instrText xml:space="preserve"> PAGEREF _Toc7308 \h </w:instrText>
      </w:r>
      <w:r>
        <w:rPr>
          <w:color w:val="auto"/>
        </w:rPr>
        <w:fldChar w:fldCharType="separate"/>
      </w:r>
      <w:r>
        <w:rPr>
          <w:color w:val="auto"/>
        </w:rPr>
        <w:t>- 9 -</w:t>
      </w:r>
      <w:r>
        <w:rPr>
          <w:color w:val="auto"/>
        </w:rPr>
        <w:fldChar w:fldCharType="end"/>
      </w:r>
      <w:r>
        <w:rPr>
          <w:rFonts w:hint="eastAsia" w:ascii="仿宋" w:hAnsi="仿宋" w:eastAsia="仿宋" w:cs="仿宋"/>
          <w:color w:val="auto"/>
          <w:szCs w:val="21"/>
        </w:rPr>
        <w:fldChar w:fldCharType="end"/>
      </w:r>
    </w:p>
    <w:p w14:paraId="25AA46D8">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_Toc8551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二、报价要求</w:t>
      </w:r>
      <w:r>
        <w:rPr>
          <w:color w:val="auto"/>
        </w:rPr>
        <w:tab/>
      </w:r>
      <w:r>
        <w:rPr>
          <w:color w:val="auto"/>
        </w:rPr>
        <w:fldChar w:fldCharType="begin"/>
      </w:r>
      <w:r>
        <w:rPr>
          <w:color w:val="auto"/>
        </w:rPr>
        <w:instrText xml:space="preserve"> PAGEREF _Toc8551 \h </w:instrText>
      </w:r>
      <w:r>
        <w:rPr>
          <w:color w:val="auto"/>
        </w:rPr>
        <w:fldChar w:fldCharType="separate"/>
      </w:r>
      <w:r>
        <w:rPr>
          <w:color w:val="auto"/>
        </w:rPr>
        <w:t>- 9 -</w:t>
      </w:r>
      <w:r>
        <w:rPr>
          <w:color w:val="auto"/>
        </w:rPr>
        <w:fldChar w:fldCharType="end"/>
      </w:r>
      <w:r>
        <w:rPr>
          <w:rFonts w:hint="eastAsia" w:ascii="仿宋" w:hAnsi="仿宋" w:eastAsia="仿宋" w:cs="仿宋"/>
          <w:color w:val="auto"/>
          <w:szCs w:val="21"/>
        </w:rPr>
        <w:fldChar w:fldCharType="end"/>
      </w:r>
    </w:p>
    <w:p w14:paraId="39B5445E">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_Toc21409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三、质量保证及售后服务</w:t>
      </w:r>
      <w:r>
        <w:rPr>
          <w:color w:val="auto"/>
        </w:rPr>
        <w:tab/>
      </w:r>
      <w:r>
        <w:rPr>
          <w:color w:val="auto"/>
        </w:rPr>
        <w:fldChar w:fldCharType="begin"/>
      </w:r>
      <w:r>
        <w:rPr>
          <w:color w:val="auto"/>
        </w:rPr>
        <w:instrText xml:space="preserve"> PAGEREF _Toc21409 \h </w:instrText>
      </w:r>
      <w:r>
        <w:rPr>
          <w:color w:val="auto"/>
        </w:rPr>
        <w:fldChar w:fldCharType="separate"/>
      </w:r>
      <w:r>
        <w:rPr>
          <w:color w:val="auto"/>
        </w:rPr>
        <w:t>- 10 -</w:t>
      </w:r>
      <w:r>
        <w:rPr>
          <w:color w:val="auto"/>
        </w:rPr>
        <w:fldChar w:fldCharType="end"/>
      </w:r>
      <w:r>
        <w:rPr>
          <w:rFonts w:hint="eastAsia" w:ascii="仿宋" w:hAnsi="仿宋" w:eastAsia="仿宋" w:cs="仿宋"/>
          <w:color w:val="auto"/>
          <w:szCs w:val="21"/>
        </w:rPr>
        <w:fldChar w:fldCharType="end"/>
      </w:r>
    </w:p>
    <w:p w14:paraId="1CA0D6B0">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_Toc11525 </w:instrText>
      </w:r>
      <w:r>
        <w:rPr>
          <w:rFonts w:hint="eastAsia" w:ascii="仿宋" w:hAnsi="仿宋" w:eastAsia="仿宋" w:cs="仿宋"/>
          <w:color w:val="auto"/>
          <w:szCs w:val="21"/>
        </w:rPr>
        <w:fldChar w:fldCharType="separate"/>
      </w:r>
      <w:r>
        <w:rPr>
          <w:rFonts w:hint="eastAsia" w:ascii="仿宋" w:hAnsi="仿宋" w:eastAsia="仿宋" w:cs="仿宋"/>
          <w:color w:val="auto"/>
          <w:szCs w:val="24"/>
          <w:lang w:val="en-US" w:eastAsia="zh-CN"/>
        </w:rPr>
        <w:t xml:space="preserve">四、 </w:t>
      </w:r>
      <w:r>
        <w:rPr>
          <w:rFonts w:hint="eastAsia" w:ascii="仿宋" w:hAnsi="仿宋" w:eastAsia="仿宋" w:cs="仿宋"/>
          <w:color w:val="auto"/>
          <w:szCs w:val="24"/>
          <w:highlight w:val="none"/>
          <w:lang w:val="en-US" w:eastAsia="zh-CN"/>
        </w:rPr>
        <w:t>考核要求</w:t>
      </w:r>
      <w:r>
        <w:rPr>
          <w:color w:val="auto"/>
        </w:rPr>
        <w:tab/>
      </w:r>
      <w:r>
        <w:rPr>
          <w:color w:val="auto"/>
        </w:rPr>
        <w:fldChar w:fldCharType="begin"/>
      </w:r>
      <w:r>
        <w:rPr>
          <w:color w:val="auto"/>
        </w:rPr>
        <w:instrText xml:space="preserve"> PAGEREF _Toc11525 \h </w:instrText>
      </w:r>
      <w:r>
        <w:rPr>
          <w:color w:val="auto"/>
        </w:rPr>
        <w:fldChar w:fldCharType="separate"/>
      </w:r>
      <w:r>
        <w:rPr>
          <w:color w:val="auto"/>
        </w:rPr>
        <w:t>- 10 -</w:t>
      </w:r>
      <w:r>
        <w:rPr>
          <w:color w:val="auto"/>
        </w:rPr>
        <w:fldChar w:fldCharType="end"/>
      </w:r>
      <w:r>
        <w:rPr>
          <w:rFonts w:hint="eastAsia" w:ascii="仿宋" w:hAnsi="仿宋" w:eastAsia="仿宋" w:cs="仿宋"/>
          <w:color w:val="auto"/>
          <w:szCs w:val="21"/>
        </w:rPr>
        <w:fldChar w:fldCharType="end"/>
      </w:r>
    </w:p>
    <w:p w14:paraId="778E71E0">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_Toc31058 </w:instrText>
      </w:r>
      <w:r>
        <w:rPr>
          <w:rFonts w:hint="eastAsia" w:ascii="仿宋" w:hAnsi="仿宋" w:eastAsia="仿宋" w:cs="仿宋"/>
          <w:color w:val="auto"/>
          <w:szCs w:val="21"/>
        </w:rPr>
        <w:fldChar w:fldCharType="separate"/>
      </w:r>
      <w:r>
        <w:rPr>
          <w:rFonts w:hint="eastAsia" w:ascii="仿宋" w:hAnsi="仿宋" w:eastAsia="仿宋" w:cs="仿宋"/>
          <w:color w:val="auto"/>
          <w:szCs w:val="24"/>
          <w:highlight w:val="none"/>
          <w:lang w:val="en-US" w:eastAsia="zh-CN"/>
        </w:rPr>
        <w:t>五</w:t>
      </w:r>
      <w:r>
        <w:rPr>
          <w:rFonts w:hint="eastAsia" w:ascii="仿宋" w:hAnsi="仿宋" w:eastAsia="仿宋" w:cs="仿宋"/>
          <w:color w:val="auto"/>
          <w:szCs w:val="24"/>
          <w:highlight w:val="none"/>
        </w:rPr>
        <w:t>、履约保证金</w:t>
      </w:r>
      <w:r>
        <w:rPr>
          <w:color w:val="auto"/>
        </w:rPr>
        <w:tab/>
      </w:r>
      <w:r>
        <w:rPr>
          <w:color w:val="auto"/>
        </w:rPr>
        <w:fldChar w:fldCharType="begin"/>
      </w:r>
      <w:r>
        <w:rPr>
          <w:color w:val="auto"/>
        </w:rPr>
        <w:instrText xml:space="preserve"> PAGEREF _Toc31058 \h </w:instrText>
      </w:r>
      <w:r>
        <w:rPr>
          <w:color w:val="auto"/>
        </w:rPr>
        <w:fldChar w:fldCharType="separate"/>
      </w:r>
      <w:r>
        <w:rPr>
          <w:color w:val="auto"/>
        </w:rPr>
        <w:t>- 12 -</w:t>
      </w:r>
      <w:r>
        <w:rPr>
          <w:color w:val="auto"/>
        </w:rPr>
        <w:fldChar w:fldCharType="end"/>
      </w:r>
      <w:r>
        <w:rPr>
          <w:rFonts w:hint="eastAsia" w:ascii="仿宋" w:hAnsi="仿宋" w:eastAsia="仿宋" w:cs="仿宋"/>
          <w:color w:val="auto"/>
          <w:szCs w:val="21"/>
        </w:rPr>
        <w:fldChar w:fldCharType="end"/>
      </w:r>
    </w:p>
    <w:p w14:paraId="6E8EE8BE">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_Toc20721 </w:instrText>
      </w:r>
      <w:r>
        <w:rPr>
          <w:rFonts w:hint="eastAsia" w:ascii="仿宋" w:hAnsi="仿宋" w:eastAsia="仿宋" w:cs="仿宋"/>
          <w:color w:val="auto"/>
          <w:szCs w:val="21"/>
        </w:rPr>
        <w:fldChar w:fldCharType="separate"/>
      </w:r>
      <w:r>
        <w:rPr>
          <w:rFonts w:hint="eastAsia" w:ascii="仿宋" w:hAnsi="仿宋" w:eastAsia="仿宋" w:cs="仿宋"/>
          <w:color w:val="auto"/>
          <w:szCs w:val="24"/>
          <w:highlight w:val="none"/>
          <w:lang w:eastAsia="zh-CN"/>
        </w:rPr>
        <w:t>六</w:t>
      </w:r>
      <w:r>
        <w:rPr>
          <w:rFonts w:hint="eastAsia" w:ascii="仿宋" w:hAnsi="仿宋" w:eastAsia="仿宋" w:cs="仿宋"/>
          <w:color w:val="auto"/>
          <w:szCs w:val="24"/>
          <w:highlight w:val="none"/>
        </w:rPr>
        <w:t>、食材询定价与结算</w:t>
      </w:r>
      <w:r>
        <w:rPr>
          <w:color w:val="auto"/>
        </w:rPr>
        <w:tab/>
      </w:r>
      <w:r>
        <w:rPr>
          <w:color w:val="auto"/>
        </w:rPr>
        <w:fldChar w:fldCharType="begin"/>
      </w:r>
      <w:r>
        <w:rPr>
          <w:color w:val="auto"/>
        </w:rPr>
        <w:instrText xml:space="preserve"> PAGEREF _Toc20721 \h </w:instrText>
      </w:r>
      <w:r>
        <w:rPr>
          <w:color w:val="auto"/>
        </w:rPr>
        <w:fldChar w:fldCharType="separate"/>
      </w:r>
      <w:r>
        <w:rPr>
          <w:color w:val="auto"/>
        </w:rPr>
        <w:t>- 13 -</w:t>
      </w:r>
      <w:r>
        <w:rPr>
          <w:color w:val="auto"/>
        </w:rPr>
        <w:fldChar w:fldCharType="end"/>
      </w:r>
      <w:r>
        <w:rPr>
          <w:rFonts w:hint="eastAsia" w:ascii="仿宋" w:hAnsi="仿宋" w:eastAsia="仿宋" w:cs="仿宋"/>
          <w:color w:val="auto"/>
          <w:szCs w:val="21"/>
        </w:rPr>
        <w:fldChar w:fldCharType="end"/>
      </w:r>
    </w:p>
    <w:p w14:paraId="01CBFDBE">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_Toc690 </w:instrText>
      </w:r>
      <w:r>
        <w:rPr>
          <w:rFonts w:hint="eastAsia" w:ascii="仿宋" w:hAnsi="仿宋" w:eastAsia="仿宋" w:cs="仿宋"/>
          <w:color w:val="auto"/>
          <w:szCs w:val="21"/>
        </w:rPr>
        <w:fldChar w:fldCharType="separate"/>
      </w:r>
      <w:r>
        <w:rPr>
          <w:rFonts w:hint="eastAsia" w:ascii="仿宋" w:hAnsi="仿宋" w:eastAsia="仿宋" w:cs="仿宋"/>
          <w:color w:val="auto"/>
          <w:szCs w:val="24"/>
          <w:highlight w:val="none"/>
          <w:lang w:eastAsia="zh-CN"/>
        </w:rPr>
        <w:t>七</w:t>
      </w:r>
      <w:r>
        <w:rPr>
          <w:rFonts w:hint="eastAsia" w:ascii="仿宋" w:hAnsi="仿宋" w:eastAsia="仿宋" w:cs="仿宋"/>
          <w:color w:val="auto"/>
          <w:szCs w:val="24"/>
          <w:highlight w:val="none"/>
        </w:rPr>
        <w:t>、付款方式</w:t>
      </w:r>
      <w:r>
        <w:rPr>
          <w:color w:val="auto"/>
        </w:rPr>
        <w:tab/>
      </w:r>
      <w:r>
        <w:rPr>
          <w:color w:val="auto"/>
        </w:rPr>
        <w:fldChar w:fldCharType="begin"/>
      </w:r>
      <w:r>
        <w:rPr>
          <w:color w:val="auto"/>
        </w:rPr>
        <w:instrText xml:space="preserve"> PAGEREF _Toc690 \h </w:instrText>
      </w:r>
      <w:r>
        <w:rPr>
          <w:color w:val="auto"/>
        </w:rPr>
        <w:fldChar w:fldCharType="separate"/>
      </w:r>
      <w:r>
        <w:rPr>
          <w:color w:val="auto"/>
        </w:rPr>
        <w:t>- 13 -</w:t>
      </w:r>
      <w:r>
        <w:rPr>
          <w:color w:val="auto"/>
        </w:rPr>
        <w:fldChar w:fldCharType="end"/>
      </w:r>
      <w:r>
        <w:rPr>
          <w:rFonts w:hint="eastAsia" w:ascii="仿宋" w:hAnsi="仿宋" w:eastAsia="仿宋" w:cs="仿宋"/>
          <w:color w:val="auto"/>
          <w:szCs w:val="21"/>
        </w:rPr>
        <w:fldChar w:fldCharType="end"/>
      </w:r>
    </w:p>
    <w:p w14:paraId="08374D74">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_Toc14594 </w:instrText>
      </w:r>
      <w:r>
        <w:rPr>
          <w:rFonts w:hint="eastAsia" w:ascii="仿宋" w:hAnsi="仿宋" w:eastAsia="仿宋" w:cs="仿宋"/>
          <w:color w:val="auto"/>
          <w:szCs w:val="21"/>
        </w:rPr>
        <w:fldChar w:fldCharType="separate"/>
      </w:r>
      <w:r>
        <w:rPr>
          <w:rFonts w:hint="eastAsia" w:ascii="仿宋" w:hAnsi="仿宋" w:eastAsia="仿宋" w:cs="仿宋"/>
          <w:color w:val="auto"/>
          <w:szCs w:val="24"/>
          <w:highlight w:val="none"/>
          <w:lang w:val="en-US" w:eastAsia="zh-CN"/>
        </w:rPr>
        <w:t>八</w:t>
      </w:r>
      <w:r>
        <w:rPr>
          <w:rFonts w:hint="eastAsia" w:ascii="仿宋" w:hAnsi="仿宋" w:eastAsia="仿宋" w:cs="仿宋"/>
          <w:color w:val="auto"/>
          <w:szCs w:val="24"/>
          <w:highlight w:val="none"/>
        </w:rPr>
        <w:t>、其他</w:t>
      </w:r>
      <w:r>
        <w:rPr>
          <w:color w:val="auto"/>
        </w:rPr>
        <w:tab/>
      </w:r>
      <w:r>
        <w:rPr>
          <w:color w:val="auto"/>
        </w:rPr>
        <w:fldChar w:fldCharType="begin"/>
      </w:r>
      <w:r>
        <w:rPr>
          <w:color w:val="auto"/>
        </w:rPr>
        <w:instrText xml:space="preserve"> PAGEREF _Toc14594 \h </w:instrText>
      </w:r>
      <w:r>
        <w:rPr>
          <w:color w:val="auto"/>
        </w:rPr>
        <w:fldChar w:fldCharType="separate"/>
      </w:r>
      <w:r>
        <w:rPr>
          <w:color w:val="auto"/>
        </w:rPr>
        <w:t>- 14 -</w:t>
      </w:r>
      <w:r>
        <w:rPr>
          <w:color w:val="auto"/>
        </w:rPr>
        <w:fldChar w:fldCharType="end"/>
      </w:r>
      <w:r>
        <w:rPr>
          <w:rFonts w:hint="eastAsia" w:ascii="仿宋" w:hAnsi="仿宋" w:eastAsia="仿宋" w:cs="仿宋"/>
          <w:color w:val="auto"/>
          <w:szCs w:val="21"/>
        </w:rPr>
        <w:fldChar w:fldCharType="end"/>
      </w:r>
    </w:p>
    <w:p w14:paraId="2EEDDEF2">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_Toc4871 </w:instrText>
      </w:r>
      <w:r>
        <w:rPr>
          <w:rFonts w:hint="eastAsia" w:ascii="仿宋" w:hAnsi="仿宋" w:eastAsia="仿宋" w:cs="仿宋"/>
          <w:color w:val="auto"/>
          <w:szCs w:val="21"/>
        </w:rPr>
        <w:fldChar w:fldCharType="separate"/>
      </w:r>
      <w:r>
        <w:rPr>
          <w:rFonts w:hint="eastAsia" w:ascii="仿宋" w:hAnsi="仿宋" w:eastAsia="仿宋" w:cs="仿宋"/>
          <w:color w:val="auto"/>
          <w:szCs w:val="30"/>
        </w:rPr>
        <w:t xml:space="preserve">第四篇  </w:t>
      </w:r>
      <w:r>
        <w:rPr>
          <w:rFonts w:hint="eastAsia" w:ascii="仿宋" w:hAnsi="仿宋" w:eastAsia="仿宋" w:cs="仿宋"/>
          <w:color w:val="auto"/>
          <w:szCs w:val="30"/>
          <w:lang w:eastAsia="zh-CN"/>
        </w:rPr>
        <w:t>评审</w:t>
      </w:r>
      <w:r>
        <w:rPr>
          <w:rFonts w:hint="eastAsia" w:ascii="仿宋" w:hAnsi="仿宋" w:eastAsia="仿宋" w:cs="仿宋"/>
          <w:color w:val="auto"/>
          <w:szCs w:val="30"/>
        </w:rPr>
        <w:t>程序及方法、评审标准、无效响应和</w:t>
      </w:r>
      <w:r>
        <w:rPr>
          <w:rFonts w:hint="eastAsia" w:ascii="仿宋" w:hAnsi="仿宋" w:eastAsia="仿宋" w:cs="仿宋"/>
          <w:color w:val="auto"/>
          <w:szCs w:val="36"/>
        </w:rPr>
        <w:t>采购终止</w:t>
      </w:r>
      <w:r>
        <w:rPr>
          <w:color w:val="auto"/>
        </w:rPr>
        <w:tab/>
      </w:r>
      <w:r>
        <w:rPr>
          <w:color w:val="auto"/>
        </w:rPr>
        <w:fldChar w:fldCharType="begin"/>
      </w:r>
      <w:r>
        <w:rPr>
          <w:color w:val="auto"/>
        </w:rPr>
        <w:instrText xml:space="preserve"> PAGEREF _Toc4871 \h </w:instrText>
      </w:r>
      <w:r>
        <w:rPr>
          <w:color w:val="auto"/>
        </w:rPr>
        <w:fldChar w:fldCharType="separate"/>
      </w:r>
      <w:r>
        <w:rPr>
          <w:color w:val="auto"/>
        </w:rPr>
        <w:t>- 15 -</w:t>
      </w:r>
      <w:r>
        <w:rPr>
          <w:color w:val="auto"/>
        </w:rPr>
        <w:fldChar w:fldCharType="end"/>
      </w:r>
      <w:r>
        <w:rPr>
          <w:rFonts w:hint="eastAsia" w:ascii="仿宋" w:hAnsi="仿宋" w:eastAsia="仿宋" w:cs="仿宋"/>
          <w:color w:val="auto"/>
          <w:szCs w:val="21"/>
        </w:rPr>
        <w:fldChar w:fldCharType="end"/>
      </w:r>
    </w:p>
    <w:p w14:paraId="207EA7A4">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_Toc12044 </w:instrText>
      </w:r>
      <w:r>
        <w:rPr>
          <w:rFonts w:hint="eastAsia" w:ascii="仿宋" w:hAnsi="仿宋" w:eastAsia="仿宋" w:cs="仿宋"/>
          <w:color w:val="auto"/>
          <w:szCs w:val="21"/>
        </w:rPr>
        <w:fldChar w:fldCharType="separate"/>
      </w:r>
      <w:r>
        <w:rPr>
          <w:rFonts w:hint="eastAsia" w:ascii="仿宋" w:hAnsi="仿宋" w:eastAsia="仿宋" w:cs="仿宋"/>
          <w:color w:val="auto"/>
        </w:rPr>
        <w:t>一、</w:t>
      </w:r>
      <w:r>
        <w:rPr>
          <w:rFonts w:hint="eastAsia" w:ascii="仿宋" w:hAnsi="仿宋" w:eastAsia="仿宋" w:cs="仿宋"/>
          <w:color w:val="auto"/>
          <w:lang w:eastAsia="zh-CN"/>
        </w:rPr>
        <w:t>评审</w:t>
      </w:r>
      <w:r>
        <w:rPr>
          <w:rFonts w:hint="eastAsia" w:ascii="仿宋" w:hAnsi="仿宋" w:eastAsia="仿宋" w:cs="仿宋"/>
          <w:color w:val="auto"/>
        </w:rPr>
        <w:t>程序及方法</w:t>
      </w:r>
      <w:r>
        <w:rPr>
          <w:color w:val="auto"/>
        </w:rPr>
        <w:tab/>
      </w:r>
      <w:r>
        <w:rPr>
          <w:color w:val="auto"/>
        </w:rPr>
        <w:fldChar w:fldCharType="begin"/>
      </w:r>
      <w:r>
        <w:rPr>
          <w:color w:val="auto"/>
        </w:rPr>
        <w:instrText xml:space="preserve"> PAGEREF _Toc12044 \h </w:instrText>
      </w:r>
      <w:r>
        <w:rPr>
          <w:color w:val="auto"/>
        </w:rPr>
        <w:fldChar w:fldCharType="separate"/>
      </w:r>
      <w:r>
        <w:rPr>
          <w:color w:val="auto"/>
        </w:rPr>
        <w:t>- 15 -</w:t>
      </w:r>
      <w:r>
        <w:rPr>
          <w:color w:val="auto"/>
        </w:rPr>
        <w:fldChar w:fldCharType="end"/>
      </w:r>
      <w:r>
        <w:rPr>
          <w:rFonts w:hint="eastAsia" w:ascii="仿宋" w:hAnsi="仿宋" w:eastAsia="仿宋" w:cs="仿宋"/>
          <w:color w:val="auto"/>
          <w:szCs w:val="21"/>
        </w:rPr>
        <w:fldChar w:fldCharType="end"/>
      </w:r>
    </w:p>
    <w:p w14:paraId="4A5BC0BD">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_Toc14829 </w:instrText>
      </w:r>
      <w:r>
        <w:rPr>
          <w:rFonts w:hint="eastAsia" w:ascii="仿宋" w:hAnsi="仿宋" w:eastAsia="仿宋" w:cs="仿宋"/>
          <w:color w:val="auto"/>
          <w:szCs w:val="21"/>
        </w:rPr>
        <w:fldChar w:fldCharType="separate"/>
      </w:r>
      <w:r>
        <w:rPr>
          <w:rFonts w:hint="eastAsia" w:ascii="仿宋" w:hAnsi="仿宋" w:eastAsia="仿宋" w:cs="仿宋"/>
          <w:color w:val="auto"/>
        </w:rPr>
        <w:t>二、评审标准</w:t>
      </w:r>
      <w:r>
        <w:rPr>
          <w:color w:val="auto"/>
        </w:rPr>
        <w:tab/>
      </w:r>
      <w:r>
        <w:rPr>
          <w:color w:val="auto"/>
        </w:rPr>
        <w:fldChar w:fldCharType="begin"/>
      </w:r>
      <w:r>
        <w:rPr>
          <w:color w:val="auto"/>
        </w:rPr>
        <w:instrText xml:space="preserve"> PAGEREF _Toc14829 \h </w:instrText>
      </w:r>
      <w:r>
        <w:rPr>
          <w:color w:val="auto"/>
        </w:rPr>
        <w:fldChar w:fldCharType="separate"/>
      </w:r>
      <w:r>
        <w:rPr>
          <w:color w:val="auto"/>
        </w:rPr>
        <w:t>- 17 -</w:t>
      </w:r>
      <w:r>
        <w:rPr>
          <w:color w:val="auto"/>
        </w:rPr>
        <w:fldChar w:fldCharType="end"/>
      </w:r>
      <w:r>
        <w:rPr>
          <w:rFonts w:hint="eastAsia" w:ascii="仿宋" w:hAnsi="仿宋" w:eastAsia="仿宋" w:cs="仿宋"/>
          <w:color w:val="auto"/>
          <w:szCs w:val="21"/>
        </w:rPr>
        <w:fldChar w:fldCharType="end"/>
      </w:r>
    </w:p>
    <w:p w14:paraId="2E0F6982">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_Toc9453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三、无效响应</w:t>
      </w:r>
      <w:r>
        <w:rPr>
          <w:color w:val="auto"/>
        </w:rPr>
        <w:tab/>
      </w:r>
      <w:r>
        <w:rPr>
          <w:color w:val="auto"/>
        </w:rPr>
        <w:fldChar w:fldCharType="begin"/>
      </w:r>
      <w:r>
        <w:rPr>
          <w:color w:val="auto"/>
        </w:rPr>
        <w:instrText xml:space="preserve"> PAGEREF _Toc9453 \h </w:instrText>
      </w:r>
      <w:r>
        <w:rPr>
          <w:color w:val="auto"/>
        </w:rPr>
        <w:fldChar w:fldCharType="separate"/>
      </w:r>
      <w:r>
        <w:rPr>
          <w:color w:val="auto"/>
        </w:rPr>
        <w:t>- 18 -</w:t>
      </w:r>
      <w:r>
        <w:rPr>
          <w:color w:val="auto"/>
        </w:rPr>
        <w:fldChar w:fldCharType="end"/>
      </w:r>
      <w:r>
        <w:rPr>
          <w:rFonts w:hint="eastAsia" w:ascii="仿宋" w:hAnsi="仿宋" w:eastAsia="仿宋" w:cs="仿宋"/>
          <w:color w:val="auto"/>
          <w:szCs w:val="21"/>
        </w:rPr>
        <w:fldChar w:fldCharType="end"/>
      </w:r>
    </w:p>
    <w:p w14:paraId="3FFCA2EB">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_Toc1976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四、采购终止</w:t>
      </w:r>
      <w:r>
        <w:rPr>
          <w:color w:val="auto"/>
        </w:rPr>
        <w:tab/>
      </w:r>
      <w:r>
        <w:rPr>
          <w:color w:val="auto"/>
        </w:rPr>
        <w:fldChar w:fldCharType="begin"/>
      </w:r>
      <w:r>
        <w:rPr>
          <w:color w:val="auto"/>
        </w:rPr>
        <w:instrText xml:space="preserve"> PAGEREF _Toc1976 \h </w:instrText>
      </w:r>
      <w:r>
        <w:rPr>
          <w:color w:val="auto"/>
        </w:rPr>
        <w:fldChar w:fldCharType="separate"/>
      </w:r>
      <w:r>
        <w:rPr>
          <w:color w:val="auto"/>
        </w:rPr>
        <w:t>- 18 -</w:t>
      </w:r>
      <w:r>
        <w:rPr>
          <w:color w:val="auto"/>
        </w:rPr>
        <w:fldChar w:fldCharType="end"/>
      </w:r>
      <w:r>
        <w:rPr>
          <w:rFonts w:hint="eastAsia" w:ascii="仿宋" w:hAnsi="仿宋" w:eastAsia="仿宋" w:cs="仿宋"/>
          <w:color w:val="auto"/>
          <w:szCs w:val="21"/>
        </w:rPr>
        <w:fldChar w:fldCharType="end"/>
      </w:r>
    </w:p>
    <w:p w14:paraId="1EF31D4B">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_Toc24551 </w:instrText>
      </w:r>
      <w:r>
        <w:rPr>
          <w:rFonts w:hint="eastAsia" w:ascii="仿宋" w:hAnsi="仿宋" w:eastAsia="仿宋" w:cs="仿宋"/>
          <w:color w:val="auto"/>
          <w:szCs w:val="21"/>
        </w:rPr>
        <w:fldChar w:fldCharType="separate"/>
      </w:r>
      <w:r>
        <w:rPr>
          <w:rFonts w:hint="eastAsia" w:ascii="仿宋" w:hAnsi="仿宋" w:eastAsia="仿宋" w:cs="仿宋"/>
          <w:color w:val="auto"/>
          <w:szCs w:val="30"/>
        </w:rPr>
        <w:t>第五篇  供应商须知</w:t>
      </w:r>
      <w:r>
        <w:rPr>
          <w:color w:val="auto"/>
        </w:rPr>
        <w:tab/>
      </w:r>
      <w:r>
        <w:rPr>
          <w:color w:val="auto"/>
        </w:rPr>
        <w:fldChar w:fldCharType="begin"/>
      </w:r>
      <w:r>
        <w:rPr>
          <w:color w:val="auto"/>
        </w:rPr>
        <w:instrText xml:space="preserve"> PAGEREF _Toc24551 \h </w:instrText>
      </w:r>
      <w:r>
        <w:rPr>
          <w:color w:val="auto"/>
        </w:rPr>
        <w:fldChar w:fldCharType="separate"/>
      </w:r>
      <w:r>
        <w:rPr>
          <w:color w:val="auto"/>
        </w:rPr>
        <w:t>- 19 -</w:t>
      </w:r>
      <w:r>
        <w:rPr>
          <w:color w:val="auto"/>
        </w:rPr>
        <w:fldChar w:fldCharType="end"/>
      </w:r>
      <w:r>
        <w:rPr>
          <w:rFonts w:hint="eastAsia" w:ascii="仿宋" w:hAnsi="仿宋" w:eastAsia="仿宋" w:cs="仿宋"/>
          <w:color w:val="auto"/>
          <w:szCs w:val="21"/>
        </w:rPr>
        <w:fldChar w:fldCharType="end"/>
      </w:r>
    </w:p>
    <w:p w14:paraId="0DC83EC8">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_Toc20950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一、</w:t>
      </w:r>
      <w:r>
        <w:rPr>
          <w:rFonts w:hint="eastAsia" w:ascii="仿宋" w:hAnsi="仿宋" w:eastAsia="仿宋" w:cs="仿宋"/>
          <w:color w:val="auto"/>
          <w:szCs w:val="24"/>
          <w:lang w:eastAsia="zh-CN"/>
        </w:rPr>
        <w:t>询比</w:t>
      </w:r>
      <w:r>
        <w:rPr>
          <w:rFonts w:hint="eastAsia" w:ascii="仿宋" w:hAnsi="仿宋" w:eastAsia="仿宋" w:cs="仿宋"/>
          <w:color w:val="auto"/>
          <w:szCs w:val="24"/>
        </w:rPr>
        <w:t>费用</w:t>
      </w:r>
      <w:r>
        <w:rPr>
          <w:color w:val="auto"/>
        </w:rPr>
        <w:tab/>
      </w:r>
      <w:r>
        <w:rPr>
          <w:color w:val="auto"/>
        </w:rPr>
        <w:fldChar w:fldCharType="begin"/>
      </w:r>
      <w:r>
        <w:rPr>
          <w:color w:val="auto"/>
        </w:rPr>
        <w:instrText xml:space="preserve"> PAGEREF _Toc20950 \h </w:instrText>
      </w:r>
      <w:r>
        <w:rPr>
          <w:color w:val="auto"/>
        </w:rPr>
        <w:fldChar w:fldCharType="separate"/>
      </w:r>
      <w:r>
        <w:rPr>
          <w:color w:val="auto"/>
        </w:rPr>
        <w:t>- 19 -</w:t>
      </w:r>
      <w:r>
        <w:rPr>
          <w:color w:val="auto"/>
        </w:rPr>
        <w:fldChar w:fldCharType="end"/>
      </w:r>
      <w:r>
        <w:rPr>
          <w:rFonts w:hint="eastAsia" w:ascii="仿宋" w:hAnsi="仿宋" w:eastAsia="仿宋" w:cs="仿宋"/>
          <w:color w:val="auto"/>
          <w:szCs w:val="21"/>
        </w:rPr>
        <w:fldChar w:fldCharType="end"/>
      </w:r>
    </w:p>
    <w:p w14:paraId="753D98F6">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_Toc22531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二、</w:t>
      </w:r>
      <w:r>
        <w:rPr>
          <w:rFonts w:hint="eastAsia" w:ascii="仿宋" w:hAnsi="仿宋" w:eastAsia="仿宋" w:cs="仿宋"/>
          <w:color w:val="auto"/>
          <w:szCs w:val="24"/>
          <w:lang w:eastAsia="zh-CN"/>
        </w:rPr>
        <w:t>询比文件</w:t>
      </w:r>
      <w:r>
        <w:rPr>
          <w:color w:val="auto"/>
        </w:rPr>
        <w:tab/>
      </w:r>
      <w:r>
        <w:rPr>
          <w:color w:val="auto"/>
        </w:rPr>
        <w:fldChar w:fldCharType="begin"/>
      </w:r>
      <w:r>
        <w:rPr>
          <w:color w:val="auto"/>
        </w:rPr>
        <w:instrText xml:space="preserve"> PAGEREF _Toc22531 \h </w:instrText>
      </w:r>
      <w:r>
        <w:rPr>
          <w:color w:val="auto"/>
        </w:rPr>
        <w:fldChar w:fldCharType="separate"/>
      </w:r>
      <w:r>
        <w:rPr>
          <w:color w:val="auto"/>
        </w:rPr>
        <w:t>- 19 -</w:t>
      </w:r>
      <w:r>
        <w:rPr>
          <w:color w:val="auto"/>
        </w:rPr>
        <w:fldChar w:fldCharType="end"/>
      </w:r>
      <w:r>
        <w:rPr>
          <w:rFonts w:hint="eastAsia" w:ascii="仿宋" w:hAnsi="仿宋" w:eastAsia="仿宋" w:cs="仿宋"/>
          <w:color w:val="auto"/>
          <w:szCs w:val="21"/>
        </w:rPr>
        <w:fldChar w:fldCharType="end"/>
      </w:r>
    </w:p>
    <w:p w14:paraId="65C903AE">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_Toc3897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三、</w:t>
      </w:r>
      <w:r>
        <w:rPr>
          <w:rFonts w:hint="eastAsia" w:ascii="仿宋" w:hAnsi="仿宋" w:eastAsia="仿宋" w:cs="仿宋"/>
          <w:color w:val="auto"/>
          <w:szCs w:val="24"/>
          <w:lang w:eastAsia="zh-CN"/>
        </w:rPr>
        <w:t>询比</w:t>
      </w:r>
      <w:r>
        <w:rPr>
          <w:rFonts w:hint="eastAsia" w:ascii="仿宋" w:hAnsi="仿宋" w:eastAsia="仿宋" w:cs="仿宋"/>
          <w:color w:val="auto"/>
          <w:szCs w:val="24"/>
        </w:rPr>
        <w:t>要求</w:t>
      </w:r>
      <w:r>
        <w:rPr>
          <w:color w:val="auto"/>
        </w:rPr>
        <w:tab/>
      </w:r>
      <w:r>
        <w:rPr>
          <w:color w:val="auto"/>
        </w:rPr>
        <w:fldChar w:fldCharType="begin"/>
      </w:r>
      <w:r>
        <w:rPr>
          <w:color w:val="auto"/>
        </w:rPr>
        <w:instrText xml:space="preserve"> PAGEREF _Toc3897 \h </w:instrText>
      </w:r>
      <w:r>
        <w:rPr>
          <w:color w:val="auto"/>
        </w:rPr>
        <w:fldChar w:fldCharType="separate"/>
      </w:r>
      <w:r>
        <w:rPr>
          <w:color w:val="auto"/>
        </w:rPr>
        <w:t>- 19 -</w:t>
      </w:r>
      <w:r>
        <w:rPr>
          <w:color w:val="auto"/>
        </w:rPr>
        <w:fldChar w:fldCharType="end"/>
      </w:r>
      <w:r>
        <w:rPr>
          <w:rFonts w:hint="eastAsia" w:ascii="仿宋" w:hAnsi="仿宋" w:eastAsia="仿宋" w:cs="仿宋"/>
          <w:color w:val="auto"/>
          <w:szCs w:val="21"/>
        </w:rPr>
        <w:fldChar w:fldCharType="end"/>
      </w:r>
    </w:p>
    <w:p w14:paraId="2EA11A0E">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_Toc13136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四、成交供应商的确认和变更</w:t>
      </w:r>
      <w:r>
        <w:rPr>
          <w:color w:val="auto"/>
        </w:rPr>
        <w:tab/>
      </w:r>
      <w:r>
        <w:rPr>
          <w:color w:val="auto"/>
        </w:rPr>
        <w:fldChar w:fldCharType="begin"/>
      </w:r>
      <w:r>
        <w:rPr>
          <w:color w:val="auto"/>
        </w:rPr>
        <w:instrText xml:space="preserve"> PAGEREF _Toc13136 \h </w:instrText>
      </w:r>
      <w:r>
        <w:rPr>
          <w:color w:val="auto"/>
        </w:rPr>
        <w:fldChar w:fldCharType="separate"/>
      </w:r>
      <w:r>
        <w:rPr>
          <w:color w:val="auto"/>
        </w:rPr>
        <w:t>- 21 -</w:t>
      </w:r>
      <w:r>
        <w:rPr>
          <w:color w:val="auto"/>
        </w:rPr>
        <w:fldChar w:fldCharType="end"/>
      </w:r>
      <w:r>
        <w:rPr>
          <w:rFonts w:hint="eastAsia" w:ascii="仿宋" w:hAnsi="仿宋" w:eastAsia="仿宋" w:cs="仿宋"/>
          <w:color w:val="auto"/>
          <w:szCs w:val="21"/>
        </w:rPr>
        <w:fldChar w:fldCharType="end"/>
      </w:r>
    </w:p>
    <w:p w14:paraId="14CD0560">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_Toc13585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五、成交通知</w:t>
      </w:r>
      <w:r>
        <w:rPr>
          <w:color w:val="auto"/>
        </w:rPr>
        <w:tab/>
      </w:r>
      <w:r>
        <w:rPr>
          <w:color w:val="auto"/>
        </w:rPr>
        <w:fldChar w:fldCharType="begin"/>
      </w:r>
      <w:r>
        <w:rPr>
          <w:color w:val="auto"/>
        </w:rPr>
        <w:instrText xml:space="preserve"> PAGEREF _Toc13585 \h </w:instrText>
      </w:r>
      <w:r>
        <w:rPr>
          <w:color w:val="auto"/>
        </w:rPr>
        <w:fldChar w:fldCharType="separate"/>
      </w:r>
      <w:r>
        <w:rPr>
          <w:color w:val="auto"/>
        </w:rPr>
        <w:t>- 21 -</w:t>
      </w:r>
      <w:r>
        <w:rPr>
          <w:color w:val="auto"/>
        </w:rPr>
        <w:fldChar w:fldCharType="end"/>
      </w:r>
      <w:r>
        <w:rPr>
          <w:rFonts w:hint="eastAsia" w:ascii="仿宋" w:hAnsi="仿宋" w:eastAsia="仿宋" w:cs="仿宋"/>
          <w:color w:val="auto"/>
          <w:szCs w:val="21"/>
        </w:rPr>
        <w:fldChar w:fldCharType="end"/>
      </w:r>
    </w:p>
    <w:p w14:paraId="5D51FADF">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_Toc17456 </w:instrText>
      </w:r>
      <w:r>
        <w:rPr>
          <w:rFonts w:hint="eastAsia" w:ascii="仿宋" w:hAnsi="仿宋" w:eastAsia="仿宋" w:cs="仿宋"/>
          <w:color w:val="auto"/>
          <w:szCs w:val="21"/>
        </w:rPr>
        <w:fldChar w:fldCharType="separate"/>
      </w:r>
      <w:r>
        <w:rPr>
          <w:rFonts w:hint="eastAsia" w:ascii="仿宋" w:hAnsi="仿宋" w:eastAsia="仿宋" w:cs="仿宋"/>
          <w:color w:val="auto"/>
          <w:szCs w:val="24"/>
          <w:lang w:val="en-US" w:eastAsia="zh-CN"/>
        </w:rPr>
        <w:t>六</w:t>
      </w:r>
      <w:r>
        <w:rPr>
          <w:rFonts w:hint="eastAsia" w:ascii="仿宋" w:hAnsi="仿宋" w:eastAsia="仿宋" w:cs="仿宋"/>
          <w:color w:val="auto"/>
          <w:szCs w:val="24"/>
        </w:rPr>
        <w:t>、采购代理服务费</w:t>
      </w:r>
      <w:r>
        <w:rPr>
          <w:color w:val="auto"/>
        </w:rPr>
        <w:tab/>
      </w:r>
      <w:r>
        <w:rPr>
          <w:color w:val="auto"/>
        </w:rPr>
        <w:fldChar w:fldCharType="begin"/>
      </w:r>
      <w:r>
        <w:rPr>
          <w:color w:val="auto"/>
        </w:rPr>
        <w:instrText xml:space="preserve"> PAGEREF _Toc17456 \h </w:instrText>
      </w:r>
      <w:r>
        <w:rPr>
          <w:color w:val="auto"/>
        </w:rPr>
        <w:fldChar w:fldCharType="separate"/>
      </w:r>
      <w:r>
        <w:rPr>
          <w:color w:val="auto"/>
        </w:rPr>
        <w:t>- 21 -</w:t>
      </w:r>
      <w:r>
        <w:rPr>
          <w:color w:val="auto"/>
        </w:rPr>
        <w:fldChar w:fldCharType="end"/>
      </w:r>
      <w:r>
        <w:rPr>
          <w:rFonts w:hint="eastAsia" w:ascii="仿宋" w:hAnsi="仿宋" w:eastAsia="仿宋" w:cs="仿宋"/>
          <w:color w:val="auto"/>
          <w:szCs w:val="21"/>
        </w:rPr>
        <w:fldChar w:fldCharType="end"/>
      </w:r>
    </w:p>
    <w:p w14:paraId="7978791B">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_Toc27421 </w:instrText>
      </w:r>
      <w:r>
        <w:rPr>
          <w:rFonts w:hint="eastAsia" w:ascii="仿宋" w:hAnsi="仿宋" w:eastAsia="仿宋" w:cs="仿宋"/>
          <w:color w:val="auto"/>
          <w:szCs w:val="21"/>
        </w:rPr>
        <w:fldChar w:fldCharType="separate"/>
      </w:r>
      <w:r>
        <w:rPr>
          <w:rFonts w:hint="eastAsia" w:ascii="仿宋" w:hAnsi="仿宋" w:eastAsia="仿宋" w:cs="仿宋"/>
          <w:color w:val="auto"/>
          <w:szCs w:val="24"/>
          <w:lang w:val="en-US" w:eastAsia="zh-CN"/>
        </w:rPr>
        <w:t>七</w:t>
      </w:r>
      <w:r>
        <w:rPr>
          <w:rFonts w:hint="eastAsia" w:ascii="仿宋" w:hAnsi="仿宋" w:eastAsia="仿宋" w:cs="仿宋"/>
          <w:color w:val="auto"/>
          <w:szCs w:val="24"/>
        </w:rPr>
        <w:t>、签订合同</w:t>
      </w:r>
      <w:r>
        <w:rPr>
          <w:color w:val="auto"/>
        </w:rPr>
        <w:tab/>
      </w:r>
      <w:r>
        <w:rPr>
          <w:color w:val="auto"/>
        </w:rPr>
        <w:fldChar w:fldCharType="begin"/>
      </w:r>
      <w:r>
        <w:rPr>
          <w:color w:val="auto"/>
        </w:rPr>
        <w:instrText xml:space="preserve"> PAGEREF _Toc27421 \h </w:instrText>
      </w:r>
      <w:r>
        <w:rPr>
          <w:color w:val="auto"/>
        </w:rPr>
        <w:fldChar w:fldCharType="separate"/>
      </w:r>
      <w:r>
        <w:rPr>
          <w:color w:val="auto"/>
        </w:rPr>
        <w:t>- 21 -</w:t>
      </w:r>
      <w:r>
        <w:rPr>
          <w:color w:val="auto"/>
        </w:rPr>
        <w:fldChar w:fldCharType="end"/>
      </w:r>
      <w:r>
        <w:rPr>
          <w:rFonts w:hint="eastAsia" w:ascii="仿宋" w:hAnsi="仿宋" w:eastAsia="仿宋" w:cs="仿宋"/>
          <w:color w:val="auto"/>
          <w:szCs w:val="21"/>
        </w:rPr>
        <w:fldChar w:fldCharType="end"/>
      </w:r>
    </w:p>
    <w:p w14:paraId="7FE1F6CD">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_Toc7471 </w:instrText>
      </w:r>
      <w:r>
        <w:rPr>
          <w:rFonts w:hint="eastAsia" w:ascii="仿宋" w:hAnsi="仿宋" w:eastAsia="仿宋" w:cs="仿宋"/>
          <w:color w:val="auto"/>
          <w:szCs w:val="21"/>
        </w:rPr>
        <w:fldChar w:fldCharType="separate"/>
      </w:r>
      <w:r>
        <w:rPr>
          <w:rFonts w:hint="eastAsia" w:ascii="仿宋" w:hAnsi="仿宋" w:eastAsia="仿宋" w:cs="仿宋"/>
          <w:color w:val="auto"/>
          <w:szCs w:val="30"/>
        </w:rPr>
        <w:t xml:space="preserve">第六篇  </w:t>
      </w:r>
      <w:r>
        <w:rPr>
          <w:rFonts w:hint="eastAsia" w:ascii="仿宋" w:hAnsi="仿宋" w:eastAsia="仿宋" w:cs="仿宋"/>
          <w:color w:val="auto"/>
          <w:szCs w:val="30"/>
          <w:lang w:eastAsia="zh-CN"/>
        </w:rPr>
        <w:t>采购合同</w:t>
      </w:r>
      <w:r>
        <w:rPr>
          <w:color w:val="auto"/>
        </w:rPr>
        <w:tab/>
      </w:r>
      <w:r>
        <w:rPr>
          <w:color w:val="auto"/>
        </w:rPr>
        <w:fldChar w:fldCharType="begin"/>
      </w:r>
      <w:r>
        <w:rPr>
          <w:color w:val="auto"/>
        </w:rPr>
        <w:instrText xml:space="preserve"> PAGEREF _Toc7471 \h </w:instrText>
      </w:r>
      <w:r>
        <w:rPr>
          <w:color w:val="auto"/>
        </w:rPr>
        <w:fldChar w:fldCharType="separate"/>
      </w:r>
      <w:r>
        <w:rPr>
          <w:color w:val="auto"/>
        </w:rPr>
        <w:t>- 22 -</w:t>
      </w:r>
      <w:r>
        <w:rPr>
          <w:color w:val="auto"/>
        </w:rPr>
        <w:fldChar w:fldCharType="end"/>
      </w:r>
      <w:r>
        <w:rPr>
          <w:rFonts w:hint="eastAsia" w:ascii="仿宋" w:hAnsi="仿宋" w:eastAsia="仿宋" w:cs="仿宋"/>
          <w:color w:val="auto"/>
          <w:szCs w:val="21"/>
        </w:rPr>
        <w:fldChar w:fldCharType="end"/>
      </w:r>
    </w:p>
    <w:p w14:paraId="0D06D8A8">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_Toc2672 </w:instrText>
      </w:r>
      <w:r>
        <w:rPr>
          <w:rFonts w:hint="eastAsia" w:ascii="仿宋" w:hAnsi="仿宋" w:eastAsia="仿宋" w:cs="仿宋"/>
          <w:color w:val="auto"/>
          <w:szCs w:val="21"/>
        </w:rPr>
        <w:fldChar w:fldCharType="separate"/>
      </w:r>
      <w:r>
        <w:rPr>
          <w:rFonts w:hint="eastAsia" w:ascii="仿宋" w:hAnsi="仿宋" w:eastAsia="仿宋" w:cs="仿宋"/>
          <w:color w:val="auto"/>
          <w:szCs w:val="30"/>
        </w:rPr>
        <w:t>第七篇  响应文件编制要求</w:t>
      </w:r>
      <w:r>
        <w:rPr>
          <w:color w:val="auto"/>
        </w:rPr>
        <w:tab/>
      </w:r>
      <w:r>
        <w:rPr>
          <w:color w:val="auto"/>
        </w:rPr>
        <w:fldChar w:fldCharType="begin"/>
      </w:r>
      <w:r>
        <w:rPr>
          <w:color w:val="auto"/>
        </w:rPr>
        <w:instrText xml:space="preserve"> PAGEREF _Toc2672 \h </w:instrText>
      </w:r>
      <w:r>
        <w:rPr>
          <w:color w:val="auto"/>
        </w:rPr>
        <w:fldChar w:fldCharType="separate"/>
      </w:r>
      <w:r>
        <w:rPr>
          <w:color w:val="auto"/>
        </w:rPr>
        <w:t>- 23 -</w:t>
      </w:r>
      <w:r>
        <w:rPr>
          <w:color w:val="auto"/>
        </w:rPr>
        <w:fldChar w:fldCharType="end"/>
      </w:r>
      <w:r>
        <w:rPr>
          <w:rFonts w:hint="eastAsia" w:ascii="仿宋" w:hAnsi="仿宋" w:eastAsia="仿宋" w:cs="仿宋"/>
          <w:color w:val="auto"/>
          <w:szCs w:val="21"/>
        </w:rPr>
        <w:fldChar w:fldCharType="end"/>
      </w:r>
    </w:p>
    <w:p w14:paraId="12028B49">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_Toc16586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一、经济部分</w:t>
      </w:r>
      <w:r>
        <w:rPr>
          <w:color w:val="auto"/>
        </w:rPr>
        <w:tab/>
      </w:r>
      <w:r>
        <w:rPr>
          <w:color w:val="auto"/>
        </w:rPr>
        <w:fldChar w:fldCharType="begin"/>
      </w:r>
      <w:r>
        <w:rPr>
          <w:color w:val="auto"/>
        </w:rPr>
        <w:instrText xml:space="preserve"> PAGEREF _Toc16586 \h </w:instrText>
      </w:r>
      <w:r>
        <w:rPr>
          <w:color w:val="auto"/>
        </w:rPr>
        <w:fldChar w:fldCharType="separate"/>
      </w:r>
      <w:r>
        <w:rPr>
          <w:color w:val="auto"/>
        </w:rPr>
        <w:t>- 24 -</w:t>
      </w:r>
      <w:r>
        <w:rPr>
          <w:color w:val="auto"/>
        </w:rPr>
        <w:fldChar w:fldCharType="end"/>
      </w:r>
      <w:r>
        <w:rPr>
          <w:rFonts w:hint="eastAsia" w:ascii="仿宋" w:hAnsi="仿宋" w:eastAsia="仿宋" w:cs="仿宋"/>
          <w:color w:val="auto"/>
          <w:szCs w:val="21"/>
        </w:rPr>
        <w:fldChar w:fldCharType="end"/>
      </w:r>
    </w:p>
    <w:p w14:paraId="6C29AC33">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_Toc4552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二、服务部分</w:t>
      </w:r>
      <w:r>
        <w:rPr>
          <w:color w:val="auto"/>
        </w:rPr>
        <w:tab/>
      </w:r>
      <w:r>
        <w:rPr>
          <w:color w:val="auto"/>
        </w:rPr>
        <w:fldChar w:fldCharType="begin"/>
      </w:r>
      <w:r>
        <w:rPr>
          <w:color w:val="auto"/>
        </w:rPr>
        <w:instrText xml:space="preserve"> PAGEREF _Toc4552 \h </w:instrText>
      </w:r>
      <w:r>
        <w:rPr>
          <w:color w:val="auto"/>
        </w:rPr>
        <w:fldChar w:fldCharType="separate"/>
      </w:r>
      <w:r>
        <w:rPr>
          <w:color w:val="auto"/>
        </w:rPr>
        <w:t>- 25 -</w:t>
      </w:r>
      <w:r>
        <w:rPr>
          <w:color w:val="auto"/>
        </w:rPr>
        <w:fldChar w:fldCharType="end"/>
      </w:r>
      <w:r>
        <w:rPr>
          <w:rFonts w:hint="eastAsia" w:ascii="仿宋" w:hAnsi="仿宋" w:eastAsia="仿宋" w:cs="仿宋"/>
          <w:color w:val="auto"/>
          <w:szCs w:val="21"/>
        </w:rPr>
        <w:fldChar w:fldCharType="end"/>
      </w:r>
    </w:p>
    <w:p w14:paraId="470A9003">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_Toc5918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三、商务部分</w:t>
      </w:r>
      <w:r>
        <w:rPr>
          <w:color w:val="auto"/>
        </w:rPr>
        <w:tab/>
      </w:r>
      <w:r>
        <w:rPr>
          <w:color w:val="auto"/>
        </w:rPr>
        <w:fldChar w:fldCharType="begin"/>
      </w:r>
      <w:r>
        <w:rPr>
          <w:color w:val="auto"/>
        </w:rPr>
        <w:instrText xml:space="preserve"> PAGEREF _Toc5918 \h </w:instrText>
      </w:r>
      <w:r>
        <w:rPr>
          <w:color w:val="auto"/>
        </w:rPr>
        <w:fldChar w:fldCharType="separate"/>
      </w:r>
      <w:r>
        <w:rPr>
          <w:color w:val="auto"/>
        </w:rPr>
        <w:t>- 27 -</w:t>
      </w:r>
      <w:r>
        <w:rPr>
          <w:color w:val="auto"/>
        </w:rPr>
        <w:fldChar w:fldCharType="end"/>
      </w:r>
      <w:r>
        <w:rPr>
          <w:rFonts w:hint="eastAsia" w:ascii="仿宋" w:hAnsi="仿宋" w:eastAsia="仿宋" w:cs="仿宋"/>
          <w:color w:val="auto"/>
          <w:szCs w:val="21"/>
        </w:rPr>
        <w:fldChar w:fldCharType="end"/>
      </w:r>
    </w:p>
    <w:p w14:paraId="646073DA">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_Toc24792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四、资格条件及其他</w:t>
      </w:r>
      <w:r>
        <w:rPr>
          <w:color w:val="auto"/>
        </w:rPr>
        <w:tab/>
      </w:r>
      <w:r>
        <w:rPr>
          <w:color w:val="auto"/>
        </w:rPr>
        <w:fldChar w:fldCharType="begin"/>
      </w:r>
      <w:r>
        <w:rPr>
          <w:color w:val="auto"/>
        </w:rPr>
        <w:instrText xml:space="preserve"> PAGEREF _Toc24792 \h </w:instrText>
      </w:r>
      <w:r>
        <w:rPr>
          <w:color w:val="auto"/>
        </w:rPr>
        <w:fldChar w:fldCharType="separate"/>
      </w:r>
      <w:r>
        <w:rPr>
          <w:color w:val="auto"/>
        </w:rPr>
        <w:t>- 29 -</w:t>
      </w:r>
      <w:r>
        <w:rPr>
          <w:color w:val="auto"/>
        </w:rPr>
        <w:fldChar w:fldCharType="end"/>
      </w:r>
      <w:r>
        <w:rPr>
          <w:rFonts w:hint="eastAsia" w:ascii="仿宋" w:hAnsi="仿宋" w:eastAsia="仿宋" w:cs="仿宋"/>
          <w:color w:val="auto"/>
          <w:szCs w:val="21"/>
        </w:rPr>
        <w:fldChar w:fldCharType="end"/>
      </w:r>
    </w:p>
    <w:p w14:paraId="765A51EB">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_Toc28259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五、其他资料</w:t>
      </w:r>
      <w:r>
        <w:rPr>
          <w:color w:val="auto"/>
        </w:rPr>
        <w:tab/>
      </w:r>
      <w:r>
        <w:rPr>
          <w:color w:val="auto"/>
        </w:rPr>
        <w:fldChar w:fldCharType="begin"/>
      </w:r>
      <w:r>
        <w:rPr>
          <w:color w:val="auto"/>
        </w:rPr>
        <w:instrText xml:space="preserve"> PAGEREF _Toc28259 \h </w:instrText>
      </w:r>
      <w:r>
        <w:rPr>
          <w:color w:val="auto"/>
        </w:rPr>
        <w:fldChar w:fldCharType="separate"/>
      </w:r>
      <w:r>
        <w:rPr>
          <w:color w:val="auto"/>
        </w:rPr>
        <w:t>- 34 -</w:t>
      </w:r>
      <w:r>
        <w:rPr>
          <w:color w:val="auto"/>
        </w:rPr>
        <w:fldChar w:fldCharType="end"/>
      </w:r>
      <w:r>
        <w:rPr>
          <w:rFonts w:hint="eastAsia" w:ascii="仿宋" w:hAnsi="仿宋" w:eastAsia="仿宋" w:cs="仿宋"/>
          <w:color w:val="auto"/>
          <w:szCs w:val="21"/>
        </w:rPr>
        <w:fldChar w:fldCharType="end"/>
      </w:r>
    </w:p>
    <w:p w14:paraId="7FBB3365">
      <w:pPr>
        <w:pStyle w:val="13"/>
        <w:tabs>
          <w:tab w:val="right" w:leader="dot" w:pos="9402"/>
        </w:tabs>
        <w:spacing w:line="360" w:lineRule="auto"/>
        <w:ind w:left="560"/>
        <w:jc w:val="center"/>
        <w:rPr>
          <w:rFonts w:hint="eastAsia" w:ascii="仿宋" w:hAnsi="仿宋" w:eastAsia="仿宋" w:cs="仿宋"/>
          <w:color w:val="auto"/>
          <w:sz w:val="18"/>
          <w:szCs w:val="22"/>
        </w:rPr>
        <w:sectPr>
          <w:footerReference r:id="rId7" w:type="default"/>
          <w:pgSz w:w="11907" w:h="16840"/>
          <w:pgMar w:top="1134" w:right="1191" w:bottom="1134" w:left="1304" w:header="851" w:footer="992" w:gutter="0"/>
          <w:pgNumType w:fmt="numberInDash" w:start="1"/>
          <w:cols w:space="720" w:num="1"/>
          <w:docGrid w:linePitch="380" w:charSpace="-5735"/>
        </w:sectPr>
      </w:pPr>
      <w:r>
        <w:rPr>
          <w:rFonts w:hint="eastAsia" w:ascii="仿宋" w:hAnsi="仿宋" w:eastAsia="仿宋" w:cs="仿宋"/>
          <w:color w:val="auto"/>
          <w:szCs w:val="21"/>
        </w:rPr>
        <w:fldChar w:fldCharType="end"/>
      </w:r>
    </w:p>
    <w:p w14:paraId="184F08A8">
      <w:pPr>
        <w:pStyle w:val="3"/>
        <w:spacing w:line="360" w:lineRule="auto"/>
        <w:jc w:val="center"/>
        <w:rPr>
          <w:rFonts w:hint="eastAsia" w:ascii="仿宋" w:hAnsi="仿宋" w:eastAsia="仿宋" w:cs="仿宋"/>
          <w:b w:val="0"/>
          <w:color w:val="auto"/>
          <w:szCs w:val="30"/>
        </w:rPr>
      </w:pPr>
      <w:bookmarkStart w:id="1" w:name="_Toc4991"/>
      <w:bookmarkStart w:id="2" w:name="_Toc11641050"/>
      <w:bookmarkStart w:id="3" w:name="_Toc12789052"/>
      <w:r>
        <w:rPr>
          <w:rFonts w:hint="eastAsia" w:ascii="仿宋" w:hAnsi="仿宋" w:eastAsia="仿宋" w:cs="仿宋"/>
          <w:b w:val="0"/>
          <w:color w:val="auto"/>
          <w:sz w:val="36"/>
          <w:szCs w:val="30"/>
        </w:rPr>
        <w:t>第一篇  采购邀请书</w:t>
      </w:r>
      <w:bookmarkEnd w:id="1"/>
      <w:bookmarkEnd w:id="2"/>
      <w:bookmarkEnd w:id="3"/>
    </w:p>
    <w:p w14:paraId="495AF015">
      <w:pPr>
        <w:spacing w:line="360" w:lineRule="auto"/>
        <w:ind w:firstLine="480"/>
        <w:rPr>
          <w:rFonts w:hint="eastAsia" w:ascii="仿宋" w:hAnsi="仿宋" w:eastAsia="仿宋" w:cs="仿宋"/>
          <w:color w:val="auto"/>
          <w:sz w:val="24"/>
          <w:szCs w:val="24"/>
        </w:rPr>
      </w:pPr>
      <w:r>
        <w:rPr>
          <w:rFonts w:hint="eastAsia" w:ascii="仿宋" w:hAnsi="仿宋" w:eastAsia="仿宋" w:cs="仿宋"/>
          <w:color w:val="auto"/>
          <w:sz w:val="24"/>
          <w:szCs w:val="24"/>
          <w:lang w:eastAsia="zh-CN"/>
        </w:rPr>
        <w:t>重庆修为工程咨询有限公司</w:t>
      </w:r>
      <w:r>
        <w:rPr>
          <w:rFonts w:hint="eastAsia" w:ascii="仿宋" w:hAnsi="仿宋" w:eastAsia="仿宋" w:cs="仿宋"/>
          <w:color w:val="auto"/>
          <w:sz w:val="24"/>
          <w:szCs w:val="24"/>
        </w:rPr>
        <w:t>（以下简称：采购代理机构）接受</w:t>
      </w:r>
      <w:r>
        <w:rPr>
          <w:rFonts w:hint="eastAsia" w:ascii="仿宋" w:hAnsi="仿宋" w:eastAsia="仿宋" w:cs="仿宋"/>
          <w:color w:val="auto"/>
          <w:sz w:val="24"/>
          <w:szCs w:val="24"/>
          <w:lang w:eastAsia="zh-CN"/>
        </w:rPr>
        <w:t>重庆大足石刻国际文化旅游集团有限公司</w:t>
      </w:r>
      <w:r>
        <w:rPr>
          <w:rFonts w:hint="eastAsia" w:ascii="仿宋" w:hAnsi="仿宋" w:eastAsia="仿宋" w:cs="仿宋"/>
          <w:color w:val="auto"/>
          <w:sz w:val="24"/>
          <w:szCs w:val="24"/>
        </w:rPr>
        <w:t>的委托，对</w:t>
      </w:r>
      <w:r>
        <w:rPr>
          <w:rFonts w:hint="eastAsia" w:ascii="仿宋" w:hAnsi="仿宋" w:eastAsia="仿宋" w:cs="仿宋"/>
          <w:color w:val="auto"/>
          <w:sz w:val="24"/>
          <w:szCs w:val="24"/>
          <w:lang w:eastAsia="zh-CN"/>
        </w:rPr>
        <w:t>文旅集团职工食堂肉类食材配送服务</w:t>
      </w:r>
      <w:r>
        <w:rPr>
          <w:rFonts w:hint="eastAsia" w:ascii="仿宋" w:hAnsi="仿宋" w:eastAsia="仿宋" w:cs="仿宋"/>
          <w:color w:val="auto"/>
          <w:sz w:val="24"/>
          <w:szCs w:val="24"/>
        </w:rPr>
        <w:t>进行采购。欢迎有资格的供应商前来参与</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w:t>
      </w:r>
    </w:p>
    <w:p w14:paraId="732999F9">
      <w:pPr>
        <w:pStyle w:val="4"/>
        <w:spacing w:before="120" w:beforeLines="50" w:after="120" w:afterLines="50" w:line="360" w:lineRule="auto"/>
        <w:ind w:firstLine="241" w:firstLineChars="100"/>
        <w:rPr>
          <w:rFonts w:hint="eastAsia" w:ascii="仿宋" w:hAnsi="仿宋" w:eastAsia="仿宋" w:cs="仿宋"/>
          <w:color w:val="auto"/>
          <w:sz w:val="24"/>
          <w:szCs w:val="24"/>
        </w:rPr>
      </w:pPr>
      <w:bookmarkStart w:id="4" w:name="_Toc317775175"/>
      <w:bookmarkStart w:id="5" w:name="_Toc313893526"/>
      <w:bookmarkStart w:id="6" w:name="_Toc18171"/>
      <w:r>
        <w:rPr>
          <w:rFonts w:hint="eastAsia" w:ascii="仿宋" w:hAnsi="仿宋" w:eastAsia="仿宋" w:cs="仿宋"/>
          <w:color w:val="auto"/>
          <w:sz w:val="24"/>
          <w:szCs w:val="24"/>
        </w:rPr>
        <w:t>一、</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内容</w:t>
      </w:r>
      <w:bookmarkEnd w:id="4"/>
      <w:bookmarkEnd w:id="5"/>
      <w:bookmarkEnd w:id="6"/>
    </w:p>
    <w:tbl>
      <w:tblPr>
        <w:tblStyle w:val="15"/>
        <w:tblW w:w="89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01"/>
        <w:gridCol w:w="1663"/>
        <w:gridCol w:w="1596"/>
        <w:gridCol w:w="1596"/>
      </w:tblGrid>
      <w:tr w14:paraId="04191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7" w:hRule="atLeast"/>
          <w:jc w:val="center"/>
        </w:trPr>
        <w:tc>
          <w:tcPr>
            <w:tcW w:w="4101" w:type="dxa"/>
            <w:tcBorders>
              <w:top w:val="single" w:color="auto" w:sz="4" w:space="0"/>
              <w:left w:val="single" w:color="auto" w:sz="4" w:space="0"/>
              <w:right w:val="single" w:color="auto" w:sz="4" w:space="0"/>
            </w:tcBorders>
            <w:noWrap w:val="0"/>
            <w:vAlign w:val="center"/>
          </w:tcPr>
          <w:p w14:paraId="4541B759">
            <w:pPr>
              <w:widowControl/>
              <w:jc w:val="center"/>
              <w:rPr>
                <w:rFonts w:hint="eastAsia" w:ascii="仿宋" w:hAnsi="仿宋" w:eastAsia="仿宋" w:cs="仿宋"/>
                <w:b/>
                <w:bCs/>
                <w:color w:val="auto"/>
                <w:kern w:val="0"/>
                <w:sz w:val="21"/>
                <w:szCs w:val="24"/>
                <w:lang w:val="en-US" w:eastAsia="zh-CN"/>
              </w:rPr>
            </w:pPr>
            <w:bookmarkStart w:id="7" w:name="_Toc317775178"/>
            <w:bookmarkStart w:id="8" w:name="_Toc373860293"/>
            <w:r>
              <w:rPr>
                <w:rFonts w:hint="eastAsia" w:ascii="仿宋" w:hAnsi="仿宋" w:eastAsia="仿宋" w:cs="仿宋"/>
                <w:b/>
                <w:bCs/>
                <w:color w:val="auto"/>
                <w:kern w:val="0"/>
                <w:sz w:val="21"/>
                <w:szCs w:val="24"/>
                <w:lang w:eastAsia="zh-CN"/>
              </w:rPr>
              <w:t>项目</w:t>
            </w:r>
            <w:r>
              <w:rPr>
                <w:rFonts w:hint="eastAsia" w:ascii="仿宋" w:hAnsi="仿宋" w:eastAsia="仿宋" w:cs="仿宋"/>
                <w:b/>
                <w:bCs/>
                <w:color w:val="auto"/>
                <w:kern w:val="0"/>
                <w:sz w:val="21"/>
                <w:szCs w:val="24"/>
              </w:rPr>
              <w:t>名称</w:t>
            </w:r>
          </w:p>
        </w:tc>
        <w:tc>
          <w:tcPr>
            <w:tcW w:w="1663" w:type="dxa"/>
            <w:tcBorders>
              <w:top w:val="single" w:color="auto" w:sz="4" w:space="0"/>
              <w:left w:val="single" w:color="auto" w:sz="4" w:space="0"/>
              <w:right w:val="single" w:color="auto" w:sz="4" w:space="0"/>
            </w:tcBorders>
            <w:noWrap w:val="0"/>
            <w:vAlign w:val="center"/>
          </w:tcPr>
          <w:p w14:paraId="68605DAE">
            <w:pPr>
              <w:jc w:val="center"/>
              <w:rPr>
                <w:rFonts w:hint="eastAsia" w:ascii="仿宋" w:hAnsi="仿宋" w:eastAsia="仿宋" w:cs="仿宋"/>
                <w:b/>
                <w:bCs/>
                <w:color w:val="auto"/>
                <w:kern w:val="0"/>
                <w:sz w:val="21"/>
                <w:szCs w:val="24"/>
              </w:rPr>
            </w:pPr>
            <w:r>
              <w:rPr>
                <w:rFonts w:hint="eastAsia" w:ascii="仿宋" w:hAnsi="仿宋" w:eastAsia="仿宋" w:cs="仿宋"/>
                <w:b/>
                <w:bCs/>
                <w:color w:val="auto"/>
                <w:kern w:val="0"/>
                <w:sz w:val="21"/>
                <w:szCs w:val="24"/>
                <w:lang w:val="en-US" w:eastAsia="zh-CN"/>
              </w:rPr>
              <w:t>最高折扣限价</w:t>
            </w:r>
          </w:p>
        </w:tc>
        <w:tc>
          <w:tcPr>
            <w:tcW w:w="1596" w:type="dxa"/>
            <w:tcBorders>
              <w:top w:val="single" w:color="auto" w:sz="4" w:space="0"/>
              <w:left w:val="single" w:color="auto" w:sz="4" w:space="0"/>
              <w:right w:val="single" w:color="auto" w:sz="4" w:space="0"/>
            </w:tcBorders>
            <w:noWrap w:val="0"/>
            <w:vAlign w:val="center"/>
          </w:tcPr>
          <w:p w14:paraId="1E33A757">
            <w:pPr>
              <w:jc w:val="center"/>
              <w:rPr>
                <w:rFonts w:hint="eastAsia" w:ascii="仿宋" w:hAnsi="仿宋" w:eastAsia="仿宋" w:cs="仿宋"/>
                <w:b/>
                <w:bCs/>
                <w:color w:val="auto"/>
                <w:kern w:val="0"/>
                <w:sz w:val="21"/>
                <w:szCs w:val="24"/>
              </w:rPr>
            </w:pPr>
            <w:r>
              <w:rPr>
                <w:rFonts w:hint="eastAsia" w:ascii="仿宋" w:hAnsi="仿宋" w:eastAsia="仿宋" w:cs="仿宋"/>
                <w:b/>
                <w:bCs/>
                <w:color w:val="auto"/>
                <w:kern w:val="0"/>
                <w:sz w:val="21"/>
                <w:szCs w:val="24"/>
              </w:rPr>
              <w:t>成交供应商数量（名）</w:t>
            </w:r>
          </w:p>
        </w:tc>
        <w:tc>
          <w:tcPr>
            <w:tcW w:w="1596" w:type="dxa"/>
            <w:tcBorders>
              <w:top w:val="single" w:color="auto" w:sz="4" w:space="0"/>
              <w:left w:val="single" w:color="auto" w:sz="4" w:space="0"/>
              <w:right w:val="single" w:color="auto" w:sz="4" w:space="0"/>
            </w:tcBorders>
            <w:noWrap w:val="0"/>
            <w:vAlign w:val="center"/>
          </w:tcPr>
          <w:p w14:paraId="7200C5E5">
            <w:pPr>
              <w:widowControl/>
              <w:jc w:val="center"/>
              <w:rPr>
                <w:rFonts w:hint="eastAsia" w:ascii="仿宋" w:hAnsi="仿宋" w:eastAsia="仿宋" w:cs="仿宋"/>
                <w:b/>
                <w:bCs/>
                <w:color w:val="auto"/>
                <w:kern w:val="0"/>
                <w:sz w:val="21"/>
                <w:szCs w:val="24"/>
              </w:rPr>
            </w:pPr>
            <w:r>
              <w:rPr>
                <w:rFonts w:hint="eastAsia" w:ascii="仿宋" w:hAnsi="仿宋" w:eastAsia="仿宋" w:cs="仿宋"/>
                <w:b/>
                <w:bCs/>
                <w:color w:val="auto"/>
                <w:kern w:val="0"/>
                <w:sz w:val="21"/>
                <w:szCs w:val="24"/>
                <w:lang w:eastAsia="zh-CN"/>
              </w:rPr>
              <w:t>备注</w:t>
            </w:r>
          </w:p>
        </w:tc>
      </w:tr>
      <w:tr w14:paraId="36426F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7" w:hRule="atLeast"/>
          <w:jc w:val="center"/>
        </w:trPr>
        <w:tc>
          <w:tcPr>
            <w:tcW w:w="4101" w:type="dxa"/>
            <w:tcBorders>
              <w:top w:val="single" w:color="auto" w:sz="4" w:space="0"/>
              <w:left w:val="single" w:color="auto" w:sz="4" w:space="0"/>
              <w:bottom w:val="single" w:color="auto" w:sz="4" w:space="0"/>
              <w:right w:val="single" w:color="auto" w:sz="4" w:space="0"/>
            </w:tcBorders>
            <w:noWrap w:val="0"/>
            <w:vAlign w:val="center"/>
          </w:tcPr>
          <w:p w14:paraId="3F0821E8">
            <w:pPr>
              <w:widowControl/>
              <w:jc w:val="left"/>
              <w:rPr>
                <w:rFonts w:hint="default" w:ascii="仿宋" w:hAnsi="仿宋" w:eastAsia="仿宋" w:cs="仿宋"/>
                <w:color w:val="auto"/>
                <w:kern w:val="0"/>
                <w:sz w:val="24"/>
                <w:szCs w:val="32"/>
                <w:lang w:val="en-US" w:eastAsia="zh-CN"/>
              </w:rPr>
            </w:pPr>
            <w:bookmarkStart w:id="9" w:name="_Hlk344477914"/>
            <w:r>
              <w:rPr>
                <w:rFonts w:hint="eastAsia" w:ascii="仿宋" w:hAnsi="仿宋" w:eastAsia="仿宋" w:cs="仿宋"/>
                <w:color w:val="auto"/>
                <w:kern w:val="0"/>
                <w:sz w:val="24"/>
                <w:szCs w:val="32"/>
                <w:lang w:val="en-US" w:eastAsia="zh-CN"/>
              </w:rPr>
              <w:t>文旅集团职工食堂肉类食材配送服务</w:t>
            </w:r>
          </w:p>
        </w:tc>
        <w:tc>
          <w:tcPr>
            <w:tcW w:w="1663" w:type="dxa"/>
            <w:tcBorders>
              <w:top w:val="single" w:color="auto" w:sz="4" w:space="0"/>
              <w:left w:val="single" w:color="auto" w:sz="4" w:space="0"/>
              <w:bottom w:val="single" w:color="auto" w:sz="4" w:space="0"/>
              <w:right w:val="single" w:color="auto" w:sz="4" w:space="0"/>
            </w:tcBorders>
            <w:noWrap w:val="0"/>
            <w:vAlign w:val="center"/>
          </w:tcPr>
          <w:p w14:paraId="5BE84C70">
            <w:pPr>
              <w:widowControl/>
              <w:jc w:val="center"/>
              <w:rPr>
                <w:rFonts w:hint="default" w:ascii="仿宋" w:hAnsi="仿宋" w:eastAsia="仿宋" w:cs="仿宋"/>
                <w:color w:val="auto"/>
                <w:kern w:val="0"/>
                <w:sz w:val="24"/>
                <w:szCs w:val="32"/>
                <w:lang w:val="en-US" w:eastAsia="zh-CN"/>
              </w:rPr>
            </w:pPr>
            <w:r>
              <w:rPr>
                <w:rFonts w:hint="eastAsia" w:ascii="仿宋" w:hAnsi="仿宋" w:eastAsia="仿宋" w:cs="仿宋"/>
                <w:color w:val="auto"/>
                <w:kern w:val="0"/>
                <w:sz w:val="24"/>
                <w:szCs w:val="32"/>
                <w:lang w:val="en-US" w:eastAsia="zh-CN"/>
              </w:rPr>
              <w:t>100%</w:t>
            </w:r>
          </w:p>
        </w:tc>
        <w:tc>
          <w:tcPr>
            <w:tcW w:w="1596" w:type="dxa"/>
            <w:tcBorders>
              <w:top w:val="single" w:color="auto" w:sz="4" w:space="0"/>
              <w:left w:val="single" w:color="auto" w:sz="4" w:space="0"/>
              <w:bottom w:val="single" w:color="auto" w:sz="4" w:space="0"/>
              <w:right w:val="single" w:color="auto" w:sz="4" w:space="0"/>
            </w:tcBorders>
            <w:noWrap w:val="0"/>
            <w:vAlign w:val="center"/>
          </w:tcPr>
          <w:p w14:paraId="1F09D9D1">
            <w:pPr>
              <w:widowControl/>
              <w:jc w:val="center"/>
              <w:rPr>
                <w:rFonts w:hint="eastAsia" w:ascii="仿宋" w:hAnsi="仿宋" w:eastAsia="仿宋" w:cs="仿宋"/>
                <w:color w:val="auto"/>
                <w:kern w:val="0"/>
                <w:sz w:val="24"/>
                <w:szCs w:val="32"/>
                <w:lang w:val="en-US" w:eastAsia="zh-CN"/>
              </w:rPr>
            </w:pPr>
            <w:r>
              <w:rPr>
                <w:rFonts w:hint="eastAsia" w:ascii="仿宋" w:hAnsi="仿宋" w:eastAsia="仿宋" w:cs="仿宋"/>
                <w:color w:val="auto"/>
                <w:kern w:val="0"/>
                <w:sz w:val="24"/>
                <w:szCs w:val="32"/>
                <w:lang w:val="en-US" w:eastAsia="zh-CN"/>
              </w:rPr>
              <w:t>1</w:t>
            </w:r>
          </w:p>
        </w:tc>
        <w:tc>
          <w:tcPr>
            <w:tcW w:w="1596" w:type="dxa"/>
            <w:tcBorders>
              <w:top w:val="single" w:color="auto" w:sz="4" w:space="0"/>
              <w:left w:val="single" w:color="auto" w:sz="4" w:space="0"/>
              <w:bottom w:val="single" w:color="auto" w:sz="4" w:space="0"/>
              <w:right w:val="single" w:color="auto" w:sz="4" w:space="0"/>
            </w:tcBorders>
            <w:noWrap w:val="0"/>
            <w:vAlign w:val="center"/>
          </w:tcPr>
          <w:p w14:paraId="2D871844">
            <w:pPr>
              <w:widowControl/>
              <w:jc w:val="center"/>
              <w:rPr>
                <w:rFonts w:hint="eastAsia" w:ascii="仿宋" w:hAnsi="仿宋" w:eastAsia="仿宋" w:cs="仿宋"/>
                <w:color w:val="auto"/>
                <w:kern w:val="0"/>
                <w:sz w:val="24"/>
                <w:szCs w:val="32"/>
                <w:lang w:val="en-US" w:eastAsia="zh-CN"/>
              </w:rPr>
            </w:pPr>
            <w:r>
              <w:rPr>
                <w:rFonts w:hint="eastAsia" w:ascii="仿宋" w:hAnsi="仿宋" w:eastAsia="仿宋" w:cs="仿宋"/>
                <w:color w:val="auto"/>
                <w:kern w:val="0"/>
                <w:sz w:val="24"/>
                <w:szCs w:val="32"/>
                <w:lang w:val="en-US" w:eastAsia="zh-CN"/>
              </w:rPr>
              <w:t>不接受联合体投标</w:t>
            </w:r>
          </w:p>
        </w:tc>
      </w:tr>
      <w:bookmarkEnd w:id="9"/>
    </w:tbl>
    <w:p w14:paraId="010DA3EF">
      <w:pPr>
        <w:pStyle w:val="4"/>
        <w:spacing w:before="120" w:beforeLines="50" w:after="120" w:afterLines="50" w:line="360" w:lineRule="auto"/>
        <w:ind w:firstLine="241" w:firstLineChars="100"/>
        <w:rPr>
          <w:rFonts w:hint="eastAsia" w:ascii="仿宋" w:hAnsi="仿宋" w:eastAsia="仿宋" w:cs="仿宋"/>
          <w:color w:val="auto"/>
          <w:sz w:val="24"/>
          <w:szCs w:val="24"/>
        </w:rPr>
      </w:pPr>
      <w:bookmarkStart w:id="10" w:name="_Toc13580"/>
      <w:r>
        <w:rPr>
          <w:rFonts w:hint="eastAsia" w:ascii="仿宋" w:hAnsi="仿宋" w:eastAsia="仿宋" w:cs="仿宋"/>
          <w:color w:val="auto"/>
          <w:sz w:val="24"/>
          <w:szCs w:val="24"/>
        </w:rPr>
        <w:t>二、资金来源</w:t>
      </w:r>
      <w:bookmarkEnd w:id="10"/>
    </w:p>
    <w:p w14:paraId="7390E309">
      <w:pPr>
        <w:pStyle w:val="4"/>
        <w:spacing w:before="120" w:beforeLines="50" w:after="120" w:afterLines="50" w:line="360" w:lineRule="auto"/>
        <w:ind w:firstLine="240" w:firstLineChars="100"/>
        <w:rPr>
          <w:rFonts w:hint="eastAsia" w:ascii="仿宋" w:hAnsi="仿宋" w:eastAsia="仿宋" w:cs="仿宋"/>
          <w:b w:val="0"/>
          <w:bCs/>
          <w:color w:val="auto"/>
          <w:sz w:val="24"/>
          <w:szCs w:val="24"/>
        </w:rPr>
      </w:pPr>
      <w:bookmarkStart w:id="11" w:name="_Toc32255"/>
      <w:bookmarkStart w:id="12" w:name="_Toc25762"/>
      <w:bookmarkStart w:id="13" w:name="_Toc19638"/>
      <w:r>
        <w:rPr>
          <w:rFonts w:hint="eastAsia" w:ascii="仿宋" w:hAnsi="仿宋" w:eastAsia="仿宋" w:cs="仿宋"/>
          <w:b w:val="0"/>
          <w:bCs/>
          <w:color w:val="auto"/>
          <w:sz w:val="24"/>
          <w:szCs w:val="24"/>
          <w:lang w:eastAsia="zh-CN"/>
        </w:rPr>
        <w:t>自筹</w:t>
      </w:r>
      <w:r>
        <w:rPr>
          <w:rFonts w:hint="eastAsia" w:ascii="仿宋" w:hAnsi="仿宋" w:eastAsia="仿宋" w:cs="仿宋"/>
          <w:b w:val="0"/>
          <w:bCs/>
          <w:color w:val="auto"/>
          <w:sz w:val="24"/>
          <w:szCs w:val="24"/>
        </w:rPr>
        <w:t>资金，预算金额</w:t>
      </w:r>
      <w:r>
        <w:rPr>
          <w:rFonts w:hint="eastAsia" w:ascii="仿宋" w:hAnsi="仿宋" w:eastAsia="仿宋" w:cs="仿宋"/>
          <w:b w:val="0"/>
          <w:bCs/>
          <w:color w:val="auto"/>
          <w:sz w:val="24"/>
          <w:szCs w:val="24"/>
          <w:lang w:eastAsia="zh-CN"/>
        </w:rPr>
        <w:t>约</w:t>
      </w:r>
      <w:r>
        <w:rPr>
          <w:rFonts w:hint="eastAsia" w:ascii="仿宋" w:hAnsi="仿宋" w:eastAsia="仿宋" w:cs="仿宋"/>
          <w:b w:val="0"/>
          <w:bCs/>
          <w:color w:val="auto"/>
          <w:sz w:val="24"/>
          <w:szCs w:val="24"/>
          <w:lang w:val="en-US" w:eastAsia="zh-CN"/>
        </w:rPr>
        <w:t>48.46</w:t>
      </w:r>
      <w:r>
        <w:rPr>
          <w:rFonts w:hint="eastAsia" w:ascii="仿宋" w:hAnsi="仿宋" w:eastAsia="仿宋" w:cs="仿宋"/>
          <w:b w:val="0"/>
          <w:bCs/>
          <w:color w:val="auto"/>
          <w:sz w:val="24"/>
          <w:szCs w:val="24"/>
        </w:rPr>
        <w:t>万元。</w:t>
      </w:r>
      <w:bookmarkEnd w:id="11"/>
      <w:bookmarkEnd w:id="12"/>
      <w:bookmarkEnd w:id="13"/>
    </w:p>
    <w:p w14:paraId="47675A33">
      <w:pPr>
        <w:pStyle w:val="4"/>
        <w:spacing w:before="120" w:beforeLines="50" w:after="120" w:afterLines="50" w:line="360" w:lineRule="auto"/>
        <w:ind w:firstLine="241" w:firstLineChars="100"/>
        <w:rPr>
          <w:rFonts w:hint="eastAsia" w:ascii="仿宋" w:hAnsi="仿宋" w:eastAsia="仿宋" w:cs="仿宋"/>
          <w:color w:val="auto"/>
          <w:sz w:val="24"/>
          <w:szCs w:val="24"/>
        </w:rPr>
      </w:pPr>
      <w:bookmarkStart w:id="14" w:name="_Toc9123"/>
      <w:r>
        <w:rPr>
          <w:rFonts w:hint="eastAsia" w:ascii="仿宋" w:hAnsi="仿宋" w:eastAsia="仿宋" w:cs="仿宋"/>
          <w:color w:val="auto"/>
          <w:sz w:val="24"/>
          <w:szCs w:val="24"/>
        </w:rPr>
        <w:t>三、供应商资格条件</w:t>
      </w:r>
      <w:bookmarkEnd w:id="14"/>
    </w:p>
    <w:p w14:paraId="63668E3F">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（一）满足《中华人民共和国政府采购法》第二十二条规定；</w:t>
      </w:r>
    </w:p>
    <w:p w14:paraId="7185AAA0">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（二）落实政府采购政策需满足的资格要求：</w:t>
      </w:r>
      <w:r>
        <w:rPr>
          <w:rFonts w:hint="eastAsia" w:ascii="仿宋" w:hAnsi="仿宋" w:eastAsia="仿宋" w:cs="仿宋"/>
          <w:color w:val="auto"/>
          <w:sz w:val="24"/>
          <w:szCs w:val="24"/>
          <w:lang w:val="en-US" w:eastAsia="zh-CN"/>
        </w:rPr>
        <w:t>无。</w:t>
      </w:r>
    </w:p>
    <w:p w14:paraId="57A7E61F">
      <w:pPr>
        <w:spacing w:line="360" w:lineRule="auto"/>
        <w:ind w:firstLine="480" w:firstLineChars="200"/>
        <w:rPr>
          <w:rFonts w:hint="eastAsia" w:ascii="仿宋" w:hAnsi="仿宋" w:eastAsia="仿宋" w:cs="仿宋"/>
          <w:color w:val="auto"/>
          <w:sz w:val="24"/>
          <w:szCs w:val="24"/>
          <w:lang w:eastAsia="zh-CN"/>
        </w:rPr>
      </w:pPr>
      <w:r>
        <w:rPr>
          <w:rFonts w:hint="eastAsia" w:ascii="仿宋" w:hAnsi="仿宋" w:eastAsia="仿宋" w:cs="仿宋"/>
          <w:color w:val="auto"/>
          <w:sz w:val="24"/>
          <w:szCs w:val="24"/>
        </w:rPr>
        <w:t>（三）本项目的特定资格要求：</w:t>
      </w:r>
      <w:r>
        <w:rPr>
          <w:rFonts w:hint="eastAsia" w:ascii="仿宋" w:hAnsi="仿宋" w:eastAsia="仿宋" w:cs="仿宋"/>
          <w:color w:val="auto"/>
          <w:sz w:val="24"/>
          <w:szCs w:val="24"/>
          <w:lang w:val="en-US" w:eastAsia="zh-CN"/>
        </w:rPr>
        <w:t>供应商须具备市场监督管理部门颁发的有效的食品经营许可证或食品生产许可证。（提供有效的证书复印件并加盖供应商公章）</w:t>
      </w:r>
    </w:p>
    <w:bookmarkEnd w:id="7"/>
    <w:bookmarkEnd w:id="8"/>
    <w:p w14:paraId="5C3437C3">
      <w:pPr>
        <w:pStyle w:val="4"/>
        <w:spacing w:before="120" w:beforeLines="50" w:after="120" w:afterLines="50" w:line="360" w:lineRule="auto"/>
        <w:ind w:firstLine="241" w:firstLineChars="100"/>
        <w:rPr>
          <w:rFonts w:hint="eastAsia" w:ascii="仿宋" w:hAnsi="仿宋" w:eastAsia="仿宋" w:cs="仿宋"/>
          <w:b/>
          <w:color w:val="auto"/>
          <w:sz w:val="24"/>
          <w:szCs w:val="24"/>
          <w:lang w:val="en-US" w:eastAsia="zh-CN"/>
        </w:rPr>
      </w:pPr>
      <w:bookmarkStart w:id="15" w:name="_Toc1961"/>
      <w:bookmarkStart w:id="16" w:name="_Toc17259"/>
      <w:bookmarkStart w:id="17" w:name="_Toc531184286"/>
      <w:r>
        <w:rPr>
          <w:rFonts w:hint="eastAsia" w:ascii="仿宋" w:hAnsi="仿宋" w:eastAsia="仿宋" w:cs="仿宋"/>
          <w:b/>
          <w:color w:val="auto"/>
          <w:sz w:val="24"/>
          <w:szCs w:val="24"/>
          <w:lang w:val="en-US" w:eastAsia="zh-CN"/>
        </w:rPr>
        <w:t>四、询比有关说明</w:t>
      </w:r>
      <w:bookmarkEnd w:id="15"/>
      <w:bookmarkEnd w:id="16"/>
    </w:p>
    <w:p w14:paraId="4D8C4FA3">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（一）本项目</w:t>
      </w:r>
      <w:r>
        <w:rPr>
          <w:rFonts w:hint="eastAsia" w:ascii="仿宋" w:hAnsi="仿宋" w:eastAsia="仿宋" w:cs="仿宋"/>
          <w:color w:val="auto"/>
          <w:sz w:val="24"/>
          <w:szCs w:val="24"/>
          <w:lang w:eastAsia="zh-CN"/>
        </w:rPr>
        <w:t>采购公告</w:t>
      </w:r>
      <w:r>
        <w:rPr>
          <w:rFonts w:hint="eastAsia" w:ascii="仿宋" w:hAnsi="仿宋" w:eastAsia="仿宋" w:cs="仿宋"/>
          <w:color w:val="auto"/>
          <w:sz w:val="24"/>
          <w:szCs w:val="24"/>
        </w:rPr>
        <w:t>于</w:t>
      </w:r>
      <w:r>
        <w:rPr>
          <w:rFonts w:hint="eastAsia" w:ascii="仿宋" w:hAnsi="仿宋" w:eastAsia="仿宋" w:cs="仿宋"/>
          <w:color w:val="auto"/>
          <w:sz w:val="24"/>
          <w:szCs w:val="24"/>
          <w:lang w:eastAsia="zh-CN"/>
        </w:rPr>
        <w:t>2026</w:t>
      </w:r>
      <w:r>
        <w:rPr>
          <w:rFonts w:hint="eastAsia" w:ascii="仿宋" w:hAnsi="仿宋" w:eastAsia="仿宋" w:cs="仿宋"/>
          <w:color w:val="auto"/>
          <w:sz w:val="24"/>
          <w:szCs w:val="24"/>
        </w:rPr>
        <w:t>年</w:t>
      </w:r>
      <w:r>
        <w:rPr>
          <w:rFonts w:hint="eastAsia" w:ascii="仿宋" w:hAnsi="仿宋" w:eastAsia="仿宋" w:cs="仿宋"/>
          <w:color w:val="auto"/>
          <w:sz w:val="24"/>
          <w:szCs w:val="24"/>
          <w:lang w:val="en-US" w:eastAsia="zh-CN"/>
        </w:rPr>
        <w:t xml:space="preserve">   </w:t>
      </w:r>
      <w:r>
        <w:rPr>
          <w:rFonts w:hint="eastAsia" w:ascii="仿宋" w:hAnsi="仿宋" w:eastAsia="仿宋" w:cs="仿宋"/>
          <w:color w:val="auto"/>
          <w:sz w:val="24"/>
          <w:szCs w:val="24"/>
        </w:rPr>
        <w:t>月</w:t>
      </w:r>
      <w:r>
        <w:rPr>
          <w:rFonts w:hint="eastAsia" w:ascii="仿宋" w:hAnsi="仿宋" w:eastAsia="仿宋" w:cs="仿宋"/>
          <w:color w:val="auto"/>
          <w:sz w:val="24"/>
          <w:szCs w:val="24"/>
          <w:lang w:val="en-US" w:eastAsia="zh-CN"/>
        </w:rPr>
        <w:t xml:space="preserve">  </w:t>
      </w:r>
      <w:r>
        <w:rPr>
          <w:rFonts w:hint="eastAsia" w:ascii="仿宋" w:hAnsi="仿宋" w:eastAsia="仿宋" w:cs="仿宋"/>
          <w:color w:val="auto"/>
          <w:sz w:val="24"/>
          <w:szCs w:val="24"/>
        </w:rPr>
        <w:t>日在行采家网（https://www.gec12</w:t>
      </w: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.com/）发布。</w:t>
      </w:r>
    </w:p>
    <w:p w14:paraId="42A74F89">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供应商需通过行采家网（https://www.gec12</w:t>
      </w: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.com/）在“供应商库”进行注册，成为正式供应商方能参与采购活动。</w:t>
      </w:r>
    </w:p>
    <w:p w14:paraId="13C729F2">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w:t>
      </w:r>
      <w:r>
        <w:rPr>
          <w:rFonts w:hint="eastAsia" w:ascii="仿宋" w:hAnsi="仿宋" w:eastAsia="仿宋" w:cs="仿宋"/>
          <w:color w:val="auto"/>
          <w:sz w:val="24"/>
          <w:szCs w:val="24"/>
          <w:lang w:eastAsia="zh-CN"/>
        </w:rPr>
        <w:t>采购公告</w:t>
      </w:r>
      <w:r>
        <w:rPr>
          <w:rFonts w:hint="eastAsia" w:ascii="仿宋" w:hAnsi="仿宋" w:eastAsia="仿宋" w:cs="仿宋"/>
          <w:color w:val="auto"/>
          <w:sz w:val="24"/>
          <w:szCs w:val="24"/>
        </w:rPr>
        <w:t>期限：自采购公告发布之日起</w:t>
      </w:r>
      <w:r>
        <w:rPr>
          <w:rFonts w:hint="eastAsia" w:ascii="仿宋" w:hAnsi="仿宋" w:eastAsia="仿宋" w:cs="仿宋"/>
          <w:color w:val="auto"/>
          <w:sz w:val="24"/>
          <w:szCs w:val="24"/>
          <w:lang w:eastAsia="zh-CN"/>
        </w:rPr>
        <w:t>三</w:t>
      </w:r>
      <w:r>
        <w:rPr>
          <w:rFonts w:hint="eastAsia" w:ascii="仿宋" w:hAnsi="仿宋" w:eastAsia="仿宋" w:cs="仿宋"/>
          <w:color w:val="auto"/>
          <w:sz w:val="24"/>
          <w:szCs w:val="24"/>
        </w:rPr>
        <w:t>个工作日。</w:t>
      </w:r>
    </w:p>
    <w:p w14:paraId="6F86898D">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（三） 报名和递交投标文件时间、地点</w:t>
      </w:r>
    </w:p>
    <w:p w14:paraId="3BEF3844">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1.</w:t>
      </w:r>
      <w:r>
        <w:rPr>
          <w:rFonts w:hint="eastAsia" w:ascii="仿宋" w:hAnsi="仿宋" w:eastAsia="仿宋" w:cs="仿宋"/>
          <w:color w:val="auto"/>
          <w:sz w:val="24"/>
          <w:szCs w:val="24"/>
          <w:lang w:val="en-US" w:eastAsia="zh-CN"/>
        </w:rPr>
        <w:t>请于2026年    月   日至2026年   月  日 17时前，将报名资料（发售登记表）加盖单位公章扫描后，发送至260050530@qq.com。</w:t>
      </w:r>
    </w:p>
    <w:p w14:paraId="169798A7">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售价：人民币500元/</w:t>
      </w:r>
      <w:r>
        <w:rPr>
          <w:rFonts w:hint="eastAsia" w:ascii="仿宋" w:hAnsi="仿宋" w:eastAsia="仿宋" w:cs="仿宋"/>
          <w:color w:val="auto"/>
          <w:sz w:val="24"/>
          <w:szCs w:val="24"/>
          <w:lang w:val="en-US" w:eastAsia="zh-CN"/>
        </w:rPr>
        <w:t>每分包</w:t>
      </w:r>
      <w:r>
        <w:rPr>
          <w:rFonts w:hint="eastAsia" w:ascii="仿宋" w:hAnsi="仿宋" w:eastAsia="仿宋" w:cs="仿宋"/>
          <w:color w:val="auto"/>
          <w:sz w:val="24"/>
          <w:szCs w:val="24"/>
        </w:rPr>
        <w:t>（售后不退）</w:t>
      </w:r>
    </w:p>
    <w:p w14:paraId="210B2A40">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注：在规定的报名时间内，将报名表发送至指定邮箱的供应商，其报名和响应文件才能被接收。</w:t>
      </w:r>
    </w:p>
    <w:p w14:paraId="1BC6E626">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3.线上报名</w:t>
      </w:r>
    </w:p>
    <w:p w14:paraId="162E89DA">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3.1线上报名起止时间：公告发布后即可报名至2026年  月   日17时00分（北京时间）。</w:t>
      </w:r>
    </w:p>
    <w:p w14:paraId="1AD58918">
      <w:pPr>
        <w:spacing w:line="360" w:lineRule="auto"/>
        <w:ind w:firstLine="480" w:firstLineChars="200"/>
        <w:rPr>
          <w:rFonts w:hint="eastAsia" w:ascii="仿宋" w:hAnsi="仿宋" w:eastAsia="仿宋" w:cs="仿宋"/>
          <w:color w:val="auto"/>
          <w:sz w:val="24"/>
          <w:szCs w:val="24"/>
          <w:lang w:val="en-US" w:eastAsia="zh-CN"/>
        </w:rPr>
      </w:pPr>
      <w:bookmarkStart w:id="18" w:name="_Toc4625"/>
      <w:bookmarkStart w:id="19" w:name="_Toc15591"/>
      <w:bookmarkStart w:id="20" w:name="_Toc11459"/>
      <w:bookmarkStart w:id="21" w:name="_Toc16654"/>
      <w:r>
        <w:rPr>
          <w:rFonts w:hint="eastAsia" w:ascii="仿宋" w:hAnsi="仿宋" w:eastAsia="仿宋" w:cs="仿宋"/>
          <w:color w:val="auto"/>
          <w:sz w:val="24"/>
          <w:szCs w:val="24"/>
          <w:lang w:val="en-US" w:eastAsia="zh-CN"/>
        </w:rPr>
        <w:t>3.2线上报价要求：</w:t>
      </w:r>
      <w:bookmarkEnd w:id="18"/>
      <w:bookmarkEnd w:id="19"/>
      <w:bookmarkEnd w:id="20"/>
      <w:r>
        <w:rPr>
          <w:rFonts w:hint="eastAsia" w:ascii="仿宋" w:hAnsi="仿宋" w:eastAsia="仿宋" w:cs="仿宋"/>
          <w:color w:val="auto"/>
          <w:sz w:val="24"/>
          <w:szCs w:val="24"/>
          <w:lang w:val="en-US" w:eastAsia="zh-CN"/>
        </w:rPr>
        <w:t>按本项目规定的时间在“行采家（https://www.gec123.com/）”进行网上报价，未在规定时间内报价的投标人不具备竞标资格；报价时须上传盖章后的响应文件正本扫描件一份。</w:t>
      </w:r>
    </w:p>
    <w:p w14:paraId="18ED75A4">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注：线上报价时，按平台要求进行报价和上传投标文件，平台会收取相应的平台保证金，平台保证金收取及退还相关问题请各潜在投标人报价前自行咨询平台客服，此费用与投标保证金无关。</w:t>
      </w:r>
    </w:p>
    <w:p w14:paraId="2359AD06">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4.线下投标</w:t>
      </w:r>
    </w:p>
    <w:p w14:paraId="51A489FF">
      <w:pPr>
        <w:spacing w:line="360" w:lineRule="auto"/>
        <w:ind w:firstLine="480" w:firstLineChars="200"/>
        <w:rPr>
          <w:rFonts w:hint="eastAsia" w:ascii="仿宋" w:hAnsi="仿宋" w:eastAsia="仿宋" w:cs="仿宋"/>
          <w:color w:val="auto"/>
          <w:sz w:val="24"/>
          <w:szCs w:val="24"/>
          <w:lang w:val="en-US" w:eastAsia="zh-CN"/>
        </w:rPr>
      </w:pPr>
      <w:bookmarkStart w:id="22" w:name="_Toc24480"/>
      <w:bookmarkStart w:id="23" w:name="_Toc25543"/>
      <w:bookmarkStart w:id="24" w:name="_Toc17982"/>
      <w:r>
        <w:rPr>
          <w:rFonts w:hint="eastAsia" w:ascii="仿宋" w:hAnsi="仿宋" w:eastAsia="仿宋" w:cs="仿宋"/>
          <w:color w:val="auto"/>
          <w:sz w:val="24"/>
          <w:szCs w:val="24"/>
          <w:lang w:val="en-US" w:eastAsia="zh-CN"/>
        </w:rPr>
        <w:t>4.1线下递交投标文件开始时间：2026年  月   日9 时00分（北京时间）</w:t>
      </w:r>
      <w:bookmarkEnd w:id="21"/>
      <w:r>
        <w:rPr>
          <w:rFonts w:hint="eastAsia" w:ascii="仿宋" w:hAnsi="仿宋" w:eastAsia="仿宋" w:cs="仿宋"/>
          <w:color w:val="auto"/>
          <w:sz w:val="24"/>
          <w:szCs w:val="24"/>
          <w:lang w:val="en-US" w:eastAsia="zh-CN"/>
        </w:rPr>
        <w:t>。</w:t>
      </w:r>
      <w:bookmarkEnd w:id="22"/>
      <w:bookmarkEnd w:id="23"/>
      <w:bookmarkEnd w:id="24"/>
    </w:p>
    <w:p w14:paraId="48C3C05A">
      <w:pPr>
        <w:spacing w:line="360" w:lineRule="auto"/>
        <w:ind w:firstLine="480" w:firstLineChars="200"/>
        <w:rPr>
          <w:rFonts w:hint="eastAsia" w:ascii="仿宋" w:hAnsi="仿宋" w:eastAsia="仿宋" w:cs="仿宋"/>
          <w:color w:val="auto"/>
          <w:sz w:val="24"/>
          <w:szCs w:val="24"/>
          <w:lang w:val="en-US" w:eastAsia="zh-CN"/>
        </w:rPr>
      </w:pPr>
      <w:bookmarkStart w:id="25" w:name="_Toc535"/>
      <w:bookmarkStart w:id="26" w:name="_Toc15349"/>
      <w:bookmarkStart w:id="27" w:name="_Toc29361"/>
      <w:bookmarkStart w:id="28" w:name="_Toc14504"/>
      <w:r>
        <w:rPr>
          <w:rFonts w:hint="eastAsia" w:ascii="仿宋" w:hAnsi="仿宋" w:eastAsia="仿宋" w:cs="仿宋"/>
          <w:color w:val="auto"/>
          <w:sz w:val="24"/>
          <w:szCs w:val="24"/>
          <w:lang w:val="en-US" w:eastAsia="zh-CN"/>
        </w:rPr>
        <w:t>4.2线下递交投标文件截止时间：2026年    月   日9时30分（北京时间）。</w:t>
      </w:r>
      <w:bookmarkEnd w:id="25"/>
      <w:bookmarkEnd w:id="26"/>
      <w:bookmarkEnd w:id="27"/>
      <w:bookmarkEnd w:id="28"/>
    </w:p>
    <w:p w14:paraId="3DB725E1">
      <w:pPr>
        <w:spacing w:line="360" w:lineRule="auto"/>
        <w:ind w:firstLine="480" w:firstLineChars="200"/>
        <w:rPr>
          <w:rFonts w:hint="eastAsia" w:ascii="仿宋" w:hAnsi="仿宋" w:eastAsia="仿宋" w:cs="仿宋"/>
          <w:color w:val="auto"/>
          <w:sz w:val="24"/>
          <w:szCs w:val="24"/>
          <w:lang w:val="en-US" w:eastAsia="zh-CN"/>
        </w:rPr>
      </w:pPr>
      <w:bookmarkStart w:id="29" w:name="_Toc21759"/>
      <w:bookmarkStart w:id="30" w:name="_Toc2154"/>
      <w:bookmarkStart w:id="31" w:name="_Toc10721"/>
      <w:bookmarkStart w:id="32" w:name="_Toc22533"/>
      <w:r>
        <w:rPr>
          <w:rFonts w:hint="eastAsia" w:ascii="仿宋" w:hAnsi="仿宋" w:eastAsia="仿宋" w:cs="仿宋"/>
          <w:color w:val="auto"/>
          <w:sz w:val="24"/>
          <w:szCs w:val="24"/>
          <w:lang w:val="en-US" w:eastAsia="zh-CN"/>
        </w:rPr>
        <w:t>4.3线下开标时间：2026年   月    日9时30分（北京时间）。</w:t>
      </w:r>
      <w:bookmarkEnd w:id="29"/>
      <w:bookmarkEnd w:id="30"/>
      <w:bookmarkEnd w:id="31"/>
      <w:bookmarkEnd w:id="32"/>
    </w:p>
    <w:p w14:paraId="689E5C63">
      <w:pPr>
        <w:spacing w:line="360" w:lineRule="auto"/>
        <w:ind w:firstLine="480" w:firstLineChars="200"/>
        <w:rPr>
          <w:rFonts w:hint="eastAsia" w:ascii="仿宋" w:hAnsi="仿宋" w:eastAsia="仿宋" w:cs="仿宋"/>
          <w:color w:val="auto"/>
          <w:sz w:val="24"/>
          <w:szCs w:val="24"/>
          <w:lang w:val="en-US" w:eastAsia="zh-CN"/>
        </w:rPr>
      </w:pPr>
      <w:bookmarkStart w:id="33" w:name="_Toc12770"/>
      <w:bookmarkStart w:id="34" w:name="_Toc10990"/>
      <w:bookmarkStart w:id="35" w:name="_Toc27602"/>
      <w:bookmarkStart w:id="36" w:name="_Toc30776"/>
      <w:r>
        <w:rPr>
          <w:rFonts w:hint="eastAsia" w:ascii="仿宋" w:hAnsi="仿宋" w:eastAsia="仿宋" w:cs="仿宋"/>
          <w:color w:val="auto"/>
          <w:sz w:val="24"/>
          <w:szCs w:val="24"/>
          <w:lang w:val="en-US" w:eastAsia="zh-CN"/>
        </w:rPr>
        <w:t>4.4线下投标和开标地点：</w:t>
      </w:r>
      <w:bookmarkEnd w:id="33"/>
      <w:bookmarkEnd w:id="34"/>
      <w:bookmarkEnd w:id="35"/>
      <w:bookmarkEnd w:id="36"/>
      <w:r>
        <w:rPr>
          <w:rFonts w:hint="eastAsia" w:ascii="仿宋" w:hAnsi="仿宋" w:eastAsia="仿宋" w:cs="仿宋"/>
          <w:color w:val="auto"/>
          <w:sz w:val="24"/>
          <w:szCs w:val="24"/>
          <w:lang w:val="en-US" w:eastAsia="zh-CN"/>
        </w:rPr>
        <w:t>重庆市大足区豪洋名居1号门旁</w:t>
      </w:r>
    </w:p>
    <w:p w14:paraId="4375084B">
      <w:pPr>
        <w:spacing w:line="360" w:lineRule="auto"/>
        <w:ind w:firstLine="480" w:firstLineChars="200"/>
        <w:rPr>
          <w:rFonts w:hint="eastAsia" w:ascii="仿宋" w:hAnsi="仿宋" w:eastAsia="仿宋" w:cs="仿宋"/>
          <w:color w:val="auto"/>
          <w:sz w:val="24"/>
          <w:szCs w:val="24"/>
          <w:lang w:val="en-US" w:eastAsia="zh-CN"/>
        </w:rPr>
      </w:pPr>
      <w:bookmarkStart w:id="37" w:name="_Toc26863"/>
      <w:bookmarkStart w:id="38" w:name="_Toc29851"/>
      <w:bookmarkStart w:id="39" w:name="_Toc6579"/>
      <w:bookmarkStart w:id="40" w:name="_Toc12131"/>
      <w:r>
        <w:rPr>
          <w:rFonts w:hint="eastAsia" w:ascii="仿宋" w:hAnsi="仿宋" w:eastAsia="仿宋" w:cs="仿宋"/>
          <w:color w:val="auto"/>
          <w:sz w:val="24"/>
          <w:szCs w:val="24"/>
          <w:lang w:val="en-US" w:eastAsia="zh-CN"/>
        </w:rPr>
        <w:t>逾期送达的、未送达指定地点的或者不按照采购文件要求密封的投标文件，招标人将予以拒收。</w:t>
      </w:r>
      <w:bookmarkEnd w:id="37"/>
      <w:bookmarkEnd w:id="38"/>
      <w:bookmarkEnd w:id="39"/>
      <w:bookmarkEnd w:id="40"/>
    </w:p>
    <w:p w14:paraId="09B58EF1">
      <w:pPr>
        <w:pStyle w:val="4"/>
        <w:spacing w:before="120" w:beforeLines="50" w:after="120" w:afterLines="50" w:line="360" w:lineRule="auto"/>
        <w:ind w:firstLine="241" w:firstLineChars="100"/>
        <w:rPr>
          <w:rFonts w:hint="eastAsia" w:ascii="仿宋" w:hAnsi="仿宋" w:eastAsia="仿宋" w:cs="仿宋"/>
          <w:b/>
          <w:color w:val="auto"/>
          <w:sz w:val="24"/>
          <w:szCs w:val="24"/>
          <w:lang w:val="en-US" w:eastAsia="zh-CN"/>
        </w:rPr>
      </w:pPr>
      <w:r>
        <w:rPr>
          <w:rFonts w:hint="eastAsia" w:ascii="仿宋" w:hAnsi="仿宋" w:eastAsia="仿宋" w:cs="仿宋"/>
          <w:b/>
          <w:color w:val="auto"/>
          <w:sz w:val="24"/>
          <w:szCs w:val="24"/>
          <w:lang w:val="en-US" w:eastAsia="zh-CN"/>
        </w:rPr>
        <w:t xml:space="preserve"> </w:t>
      </w:r>
      <w:bookmarkStart w:id="41" w:name="_Toc25529"/>
      <w:bookmarkStart w:id="42" w:name="_Toc15209"/>
      <w:bookmarkStart w:id="43" w:name="_Toc19355"/>
      <w:r>
        <w:rPr>
          <w:rFonts w:hint="eastAsia" w:ascii="仿宋" w:hAnsi="仿宋" w:eastAsia="仿宋" w:cs="仿宋"/>
          <w:b/>
          <w:color w:val="auto"/>
          <w:sz w:val="24"/>
          <w:szCs w:val="24"/>
          <w:lang w:val="en-US" w:eastAsia="zh-CN"/>
        </w:rPr>
        <w:t>五、询比保证金</w:t>
      </w:r>
      <w:bookmarkEnd w:id="41"/>
      <w:bookmarkEnd w:id="42"/>
      <w:bookmarkEnd w:id="43"/>
    </w:p>
    <w:bookmarkEnd w:id="17"/>
    <w:p w14:paraId="32A9C18A">
      <w:pPr>
        <w:pStyle w:val="14"/>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360" w:lineRule="auto"/>
        <w:ind w:left="0" w:right="0" w:firstLine="640"/>
        <w:jc w:val="left"/>
        <w:rPr>
          <w:rFonts w:hint="default" w:ascii="仿宋" w:hAnsi="仿宋" w:eastAsia="仿宋" w:cs="仿宋"/>
          <w:color w:val="auto"/>
          <w:kern w:val="2"/>
          <w:sz w:val="24"/>
          <w:szCs w:val="24"/>
          <w:lang w:val="en-US" w:eastAsia="zh-CN" w:bidi="ar-SA"/>
        </w:rPr>
      </w:pPr>
      <w:bookmarkStart w:id="44" w:name="_Toc531184287"/>
      <w:r>
        <w:rPr>
          <w:rFonts w:hint="eastAsia" w:ascii="仿宋" w:hAnsi="仿宋" w:eastAsia="仿宋" w:cs="仿宋"/>
          <w:color w:val="auto"/>
          <w:kern w:val="2"/>
          <w:sz w:val="24"/>
          <w:szCs w:val="24"/>
          <w:lang w:val="en-US" w:eastAsia="zh-CN" w:bidi="ar-SA"/>
        </w:rPr>
        <w:t>本项目不设置投标保证金。</w:t>
      </w:r>
    </w:p>
    <w:p w14:paraId="24916187">
      <w:pPr>
        <w:pStyle w:val="3"/>
        <w:spacing w:before="48" w:after="48" w:line="360" w:lineRule="auto"/>
        <w:ind w:firstLine="422"/>
        <w:rPr>
          <w:rFonts w:hint="eastAsia" w:ascii="仿宋" w:hAnsi="仿宋" w:eastAsia="仿宋" w:cs="仿宋"/>
          <w:b/>
          <w:color w:val="auto"/>
          <w:kern w:val="2"/>
          <w:sz w:val="24"/>
          <w:szCs w:val="24"/>
          <w:lang w:val="en-US" w:eastAsia="zh-CN" w:bidi="ar-SA"/>
        </w:rPr>
      </w:pPr>
      <w:bookmarkStart w:id="45" w:name="_Toc28959"/>
      <w:r>
        <w:rPr>
          <w:rFonts w:hint="eastAsia" w:ascii="仿宋" w:hAnsi="仿宋" w:eastAsia="仿宋" w:cs="仿宋"/>
          <w:b/>
          <w:color w:val="auto"/>
          <w:kern w:val="2"/>
          <w:sz w:val="24"/>
          <w:szCs w:val="24"/>
          <w:lang w:val="en-US" w:eastAsia="zh-CN" w:bidi="ar-SA"/>
        </w:rPr>
        <w:t>六、投标有关规定</w:t>
      </w:r>
      <w:bookmarkEnd w:id="44"/>
      <w:bookmarkEnd w:id="45"/>
    </w:p>
    <w:p w14:paraId="7D801D6D">
      <w:pPr>
        <w:spacing w:line="360" w:lineRule="auto"/>
        <w:ind w:firstLine="480" w:firstLineChars="200"/>
        <w:rPr>
          <w:rFonts w:hint="eastAsia" w:ascii="仿宋" w:hAnsi="仿宋" w:eastAsia="仿宋" w:cs="仿宋"/>
          <w:color w:val="auto"/>
          <w:sz w:val="24"/>
          <w:szCs w:val="24"/>
          <w:lang w:val="en-US" w:eastAsia="zh-CN"/>
        </w:rPr>
      </w:pPr>
      <w:bookmarkStart w:id="46" w:name="_Toc531184289"/>
      <w:bookmarkStart w:id="47" w:name="_Toc17427"/>
      <w:bookmarkStart w:id="48" w:name="_Toc474603910"/>
      <w:r>
        <w:rPr>
          <w:rFonts w:hint="eastAsia" w:ascii="仿宋" w:hAnsi="仿宋" w:eastAsia="仿宋" w:cs="仿宋"/>
          <w:color w:val="auto"/>
          <w:sz w:val="24"/>
          <w:szCs w:val="24"/>
          <w:lang w:val="en-US" w:eastAsia="zh-CN"/>
        </w:rPr>
        <w:t>（一）单位负责人为同一人或者存在直接控股、管理关系的不同供应商，不得参加同一合同项（分包）下的政府采购活动，否则均为无效响应。</w:t>
      </w:r>
    </w:p>
    <w:p w14:paraId="037382D7">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（二）为采购项目提供整体设计、规范编制或者项目管理、监理、检测等服务的供应商，不得再参加该采购项目的其他采购活动。</w:t>
      </w:r>
    </w:p>
    <w:p w14:paraId="7D3AE0D1">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（三）本项目的补遗文件（如果有）一律在行采家网上发布，请各投标人注意下载或到采购代理机构领取；无论投标人下载或领取与否，均视同投标人已知晓本项目补遗文件的内容。</w:t>
      </w:r>
    </w:p>
    <w:p w14:paraId="357D4013">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（四）超过响应文件截止时间递交的响应文件，恕不接收。</w:t>
      </w:r>
    </w:p>
    <w:p w14:paraId="6B2E0B11">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（五）询比费用：无论询比结果如何，供应商参与本项目询比的所有费用均应由供应商自行承担。</w:t>
      </w:r>
    </w:p>
    <w:p w14:paraId="4DDD309C">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（六）列入失信被执行人、重大税收违法案件当事人名单、政府采购严重违法失信行为记录名单等及其他不符合《中华人民共和国政府采购法》第二十二条规定条件的供应商，将拒绝其参与政府采购活动。</w:t>
      </w:r>
    </w:p>
    <w:p w14:paraId="06AF98AA">
      <w:pPr>
        <w:pStyle w:val="3"/>
        <w:spacing w:before="48" w:after="48" w:line="360" w:lineRule="auto"/>
        <w:ind w:firstLine="422"/>
        <w:rPr>
          <w:rFonts w:hint="eastAsia" w:ascii="仿宋" w:hAnsi="仿宋" w:eastAsia="仿宋" w:cs="仿宋"/>
          <w:b/>
          <w:color w:val="auto"/>
          <w:sz w:val="24"/>
          <w:szCs w:val="24"/>
        </w:rPr>
      </w:pPr>
      <w:bookmarkStart w:id="49" w:name="_Toc19421"/>
      <w:r>
        <w:rPr>
          <w:rFonts w:hint="eastAsia" w:ascii="仿宋" w:hAnsi="仿宋" w:eastAsia="仿宋" w:cs="仿宋"/>
          <w:b/>
          <w:color w:val="auto"/>
          <w:sz w:val="24"/>
          <w:szCs w:val="24"/>
          <w:lang w:eastAsia="zh-CN"/>
        </w:rPr>
        <w:t>七</w:t>
      </w:r>
      <w:r>
        <w:rPr>
          <w:rFonts w:hint="eastAsia" w:ascii="仿宋" w:hAnsi="仿宋" w:eastAsia="仿宋" w:cs="仿宋"/>
          <w:b/>
          <w:color w:val="auto"/>
          <w:sz w:val="24"/>
          <w:szCs w:val="24"/>
        </w:rPr>
        <w:t>、联系方式</w:t>
      </w:r>
      <w:bookmarkEnd w:id="46"/>
      <w:bookmarkEnd w:id="47"/>
      <w:bookmarkEnd w:id="48"/>
      <w:bookmarkEnd w:id="49"/>
    </w:p>
    <w:p w14:paraId="2BBE27E5">
      <w:pPr>
        <w:spacing w:line="360" w:lineRule="auto"/>
        <w:ind w:firstLine="482"/>
        <w:rPr>
          <w:rFonts w:hint="eastAsia" w:ascii="仿宋" w:hAnsi="仿宋" w:eastAsia="仿宋" w:cs="仿宋"/>
          <w:color w:val="auto"/>
          <w:sz w:val="24"/>
          <w:szCs w:val="24"/>
          <w:lang w:eastAsia="zh-CN"/>
        </w:rPr>
      </w:pPr>
      <w:r>
        <w:rPr>
          <w:rFonts w:hint="eastAsia" w:ascii="仿宋" w:hAnsi="仿宋" w:eastAsia="仿宋" w:cs="仿宋"/>
          <w:color w:val="auto"/>
          <w:sz w:val="24"/>
          <w:szCs w:val="24"/>
        </w:rPr>
        <w:t>（一）采购人：</w:t>
      </w:r>
      <w:r>
        <w:rPr>
          <w:rFonts w:hint="eastAsia" w:ascii="仿宋" w:hAnsi="仿宋" w:eastAsia="仿宋" w:cs="仿宋"/>
          <w:color w:val="auto"/>
          <w:sz w:val="24"/>
          <w:szCs w:val="24"/>
          <w:lang w:eastAsia="zh-CN"/>
        </w:rPr>
        <w:t>重庆大足石刻国际文化旅游集团有限公司</w:t>
      </w:r>
    </w:p>
    <w:p w14:paraId="54FDFBE0">
      <w:pPr>
        <w:spacing w:line="360" w:lineRule="auto"/>
        <w:ind w:firstLine="482"/>
        <w:rPr>
          <w:rFonts w:hint="eastAsia" w:ascii="仿宋" w:hAnsi="仿宋" w:eastAsia="仿宋" w:cs="仿宋"/>
          <w:color w:val="auto"/>
          <w:sz w:val="24"/>
          <w:szCs w:val="24"/>
        </w:rPr>
      </w:pPr>
      <w:r>
        <w:rPr>
          <w:rFonts w:hint="eastAsia" w:ascii="仿宋" w:hAnsi="仿宋" w:eastAsia="仿宋" w:cs="仿宋"/>
          <w:color w:val="auto"/>
          <w:sz w:val="24"/>
          <w:szCs w:val="24"/>
        </w:rPr>
        <w:t>联系人：</w:t>
      </w:r>
      <w:r>
        <w:rPr>
          <w:rFonts w:hint="eastAsia" w:ascii="仿宋" w:hAnsi="仿宋" w:eastAsia="仿宋" w:cs="仿宋"/>
          <w:color w:val="auto"/>
          <w:sz w:val="24"/>
          <w:szCs w:val="24"/>
          <w:lang w:eastAsia="zh-CN"/>
        </w:rPr>
        <w:t>杜</w:t>
      </w:r>
      <w:r>
        <w:rPr>
          <w:rFonts w:hint="eastAsia" w:ascii="仿宋" w:hAnsi="仿宋" w:eastAsia="仿宋" w:cs="仿宋"/>
          <w:color w:val="auto"/>
          <w:sz w:val="24"/>
          <w:szCs w:val="24"/>
          <w:lang w:val="en-US" w:eastAsia="zh-CN"/>
        </w:rPr>
        <w:t>老师</w:t>
      </w:r>
      <w:r>
        <w:rPr>
          <w:rFonts w:hint="eastAsia" w:ascii="仿宋" w:hAnsi="仿宋" w:eastAsia="仿宋" w:cs="仿宋"/>
          <w:color w:val="auto"/>
          <w:sz w:val="24"/>
          <w:szCs w:val="24"/>
        </w:rPr>
        <w:t xml:space="preserve">  </w:t>
      </w:r>
    </w:p>
    <w:p w14:paraId="11023055">
      <w:pPr>
        <w:spacing w:line="360" w:lineRule="auto"/>
        <w:ind w:firstLine="482"/>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rPr>
        <w:t>电  话：</w:t>
      </w:r>
      <w:r>
        <w:rPr>
          <w:rFonts w:hint="eastAsia" w:ascii="仿宋" w:hAnsi="仿宋" w:eastAsia="仿宋" w:cs="仿宋"/>
          <w:color w:val="auto"/>
          <w:sz w:val="24"/>
          <w:szCs w:val="24"/>
          <w:lang w:val="en-US" w:eastAsia="zh-CN"/>
        </w:rPr>
        <w:t>13650560343</w:t>
      </w:r>
    </w:p>
    <w:p w14:paraId="0E0590ED">
      <w:pPr>
        <w:spacing w:line="360" w:lineRule="auto"/>
        <w:ind w:firstLine="482"/>
        <w:rPr>
          <w:rFonts w:hint="eastAsia" w:ascii="仿宋" w:hAnsi="仿宋" w:eastAsia="仿宋" w:cs="仿宋"/>
          <w:color w:val="auto"/>
          <w:sz w:val="24"/>
          <w:szCs w:val="24"/>
        </w:rPr>
      </w:pPr>
      <w:r>
        <w:rPr>
          <w:rFonts w:hint="eastAsia" w:ascii="仿宋" w:hAnsi="仿宋" w:eastAsia="仿宋" w:cs="仿宋"/>
          <w:color w:val="auto"/>
          <w:sz w:val="24"/>
          <w:szCs w:val="24"/>
        </w:rPr>
        <w:t>联系地址：重庆市大足区棠香街道大铜路污水处理厂内</w:t>
      </w:r>
    </w:p>
    <w:p w14:paraId="1800EAAD">
      <w:pPr>
        <w:spacing w:line="360" w:lineRule="auto"/>
        <w:ind w:firstLine="480" w:firstLineChars="200"/>
        <w:rPr>
          <w:rFonts w:hint="eastAsia" w:ascii="仿宋" w:hAnsi="仿宋" w:eastAsia="仿宋" w:cs="仿宋"/>
          <w:color w:val="auto"/>
          <w:sz w:val="24"/>
          <w:szCs w:val="24"/>
          <w:lang w:eastAsia="zh-CN"/>
        </w:rPr>
      </w:pPr>
      <w:r>
        <w:rPr>
          <w:rFonts w:hint="eastAsia" w:ascii="仿宋" w:hAnsi="仿宋" w:eastAsia="仿宋" w:cs="仿宋"/>
          <w:color w:val="auto"/>
          <w:sz w:val="24"/>
          <w:szCs w:val="24"/>
        </w:rPr>
        <w:t>（二）采购代理机构：</w:t>
      </w:r>
      <w:r>
        <w:rPr>
          <w:rFonts w:hint="eastAsia" w:ascii="仿宋" w:hAnsi="仿宋" w:eastAsia="仿宋" w:cs="仿宋"/>
          <w:color w:val="auto"/>
          <w:sz w:val="24"/>
          <w:szCs w:val="24"/>
          <w:lang w:val="en-US" w:eastAsia="zh-CN"/>
        </w:rPr>
        <w:t>重庆修为工程咨询有限公司</w:t>
      </w:r>
    </w:p>
    <w:p w14:paraId="634B8DC1">
      <w:pPr>
        <w:spacing w:line="360" w:lineRule="auto"/>
        <w:ind w:firstLine="480" w:firstLineChars="200"/>
        <w:rPr>
          <w:rFonts w:hint="eastAsia" w:ascii="仿宋" w:hAnsi="仿宋" w:eastAsia="仿宋" w:cs="仿宋"/>
          <w:color w:val="auto"/>
          <w:sz w:val="24"/>
          <w:szCs w:val="24"/>
          <w:lang w:eastAsia="zh-CN"/>
        </w:rPr>
      </w:pPr>
      <w:r>
        <w:rPr>
          <w:rFonts w:hint="eastAsia" w:ascii="仿宋" w:hAnsi="仿宋" w:eastAsia="仿宋" w:cs="仿宋"/>
          <w:color w:val="auto"/>
          <w:sz w:val="24"/>
          <w:szCs w:val="24"/>
        </w:rPr>
        <w:t>联系人：</w:t>
      </w:r>
      <w:r>
        <w:rPr>
          <w:rFonts w:hint="eastAsia" w:ascii="仿宋" w:hAnsi="仿宋" w:eastAsia="仿宋" w:cs="仿宋"/>
          <w:color w:val="auto"/>
          <w:sz w:val="24"/>
          <w:szCs w:val="24"/>
          <w:lang w:eastAsia="zh-CN"/>
        </w:rPr>
        <w:t>李老师</w:t>
      </w:r>
    </w:p>
    <w:p w14:paraId="59F481A6">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电  话：18375669701</w:t>
      </w:r>
    </w:p>
    <w:p w14:paraId="51A96421">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地  址：重庆市两江新区天宫殿街道财富大道2号28-7</w:t>
      </w:r>
    </w:p>
    <w:p w14:paraId="6DDB4CAE">
      <w:pPr>
        <w:spacing w:line="360" w:lineRule="auto"/>
        <w:ind w:firstLine="480" w:firstLineChars="200"/>
        <w:rPr>
          <w:rFonts w:hint="eastAsia" w:ascii="仿宋" w:hAnsi="仿宋" w:eastAsia="仿宋" w:cs="仿宋"/>
          <w:color w:val="auto"/>
          <w:sz w:val="24"/>
          <w:szCs w:val="24"/>
        </w:rPr>
      </w:pPr>
    </w:p>
    <w:p w14:paraId="76BF7D00">
      <w:pPr>
        <w:pStyle w:val="3"/>
        <w:spacing w:line="360" w:lineRule="auto"/>
        <w:jc w:val="center"/>
        <w:rPr>
          <w:rFonts w:hint="eastAsia" w:ascii="仿宋" w:hAnsi="仿宋" w:eastAsia="仿宋" w:cs="仿宋"/>
          <w:b/>
          <w:color w:val="auto"/>
          <w:sz w:val="36"/>
          <w:szCs w:val="30"/>
        </w:rPr>
      </w:pPr>
      <w:r>
        <w:rPr>
          <w:rFonts w:hint="eastAsia" w:ascii="仿宋" w:hAnsi="仿宋" w:eastAsia="仿宋" w:cs="仿宋"/>
          <w:color w:val="auto"/>
          <w:sz w:val="24"/>
          <w:szCs w:val="24"/>
        </w:rPr>
        <w:br w:type="page"/>
      </w:r>
      <w:bookmarkStart w:id="50" w:name="_Toc2358"/>
      <w:r>
        <w:rPr>
          <w:rFonts w:hint="eastAsia" w:ascii="仿宋" w:hAnsi="仿宋" w:eastAsia="仿宋" w:cs="仿宋"/>
          <w:b/>
          <w:color w:val="auto"/>
          <w:sz w:val="36"/>
          <w:szCs w:val="30"/>
          <w:lang w:val="en-US" w:eastAsia="zh-CN"/>
        </w:rPr>
        <w:t>第二篇  项目服务需求</w:t>
      </w:r>
      <w:bookmarkEnd w:id="50"/>
    </w:p>
    <w:p w14:paraId="4ECDAF43">
      <w:pPr>
        <w:pStyle w:val="3"/>
        <w:keepNext/>
        <w:keepLines/>
        <w:pageBreakBefore w:val="0"/>
        <w:widowControl w:val="0"/>
        <w:kinsoku/>
        <w:wordWrap/>
        <w:overflowPunct/>
        <w:topLinePunct w:val="0"/>
        <w:autoSpaceDE/>
        <w:autoSpaceDN/>
        <w:bidi w:val="0"/>
        <w:adjustRightInd w:val="0"/>
        <w:snapToGrid w:val="0"/>
        <w:spacing w:before="0" w:after="0" w:line="480" w:lineRule="exact"/>
        <w:textAlignment w:val="auto"/>
        <w:rPr>
          <w:rFonts w:hint="eastAsia" w:ascii="仿宋" w:hAnsi="仿宋" w:eastAsia="仿宋" w:cs="仿宋"/>
          <w:color w:val="auto"/>
          <w:sz w:val="24"/>
        </w:rPr>
      </w:pPr>
      <w:bookmarkStart w:id="51" w:name="_Toc8761"/>
      <w:bookmarkStart w:id="52" w:name="_Toc25821"/>
      <w:bookmarkStart w:id="53" w:name="_Toc12789058"/>
      <w:r>
        <w:rPr>
          <w:rFonts w:hint="eastAsia" w:ascii="仿宋" w:hAnsi="仿宋" w:eastAsia="仿宋" w:cs="仿宋"/>
          <w:color w:val="auto"/>
          <w:sz w:val="24"/>
        </w:rPr>
        <w:t>一、采购内容</w:t>
      </w:r>
      <w:bookmarkEnd w:id="51"/>
      <w:bookmarkEnd w:id="52"/>
    </w:p>
    <w:p w14:paraId="0F0B78C2">
      <w:pPr>
        <w:pStyle w:val="3"/>
        <w:keepNext/>
        <w:keepLines/>
        <w:pageBreakBefore w:val="0"/>
        <w:widowControl w:val="0"/>
        <w:kinsoku/>
        <w:wordWrap/>
        <w:overflowPunct/>
        <w:topLinePunct w:val="0"/>
        <w:autoSpaceDE/>
        <w:autoSpaceDN/>
        <w:bidi w:val="0"/>
        <w:adjustRightInd w:val="0"/>
        <w:snapToGrid w:val="0"/>
        <w:spacing w:before="0" w:after="0" w:line="480" w:lineRule="exact"/>
        <w:ind w:firstLine="480" w:firstLineChars="200"/>
        <w:textAlignment w:val="auto"/>
        <w:rPr>
          <w:rFonts w:hint="eastAsia" w:ascii="仿宋" w:hAnsi="仿宋" w:eastAsia="仿宋" w:cs="仿宋"/>
          <w:b w:val="0"/>
          <w:color w:val="auto"/>
          <w:kern w:val="2"/>
          <w:sz w:val="24"/>
          <w:szCs w:val="24"/>
          <w:lang w:val="en-US" w:eastAsia="zh-CN" w:bidi="ar-SA"/>
        </w:rPr>
      </w:pPr>
      <w:bookmarkStart w:id="54" w:name="_Toc3395"/>
      <w:r>
        <w:rPr>
          <w:rFonts w:hint="eastAsia" w:ascii="仿宋" w:hAnsi="仿宋" w:eastAsia="仿宋" w:cs="仿宋"/>
          <w:b w:val="0"/>
          <w:color w:val="auto"/>
          <w:kern w:val="2"/>
          <w:sz w:val="24"/>
          <w:szCs w:val="24"/>
          <w:lang w:val="en-US" w:eastAsia="zh-CN" w:bidi="ar-SA"/>
        </w:rPr>
        <w:t>本次采购内容包括文旅集团职工食堂所需猪肉、鸡、鸭、鹅、兔、牛羊肉类采购。并按照采购人通知的时间(自然原因造成的人力不可抗拒因素除外)、数量、品种、品质要求准时送货到指定地点。</w:t>
      </w:r>
    </w:p>
    <w:p w14:paraId="14D1C677">
      <w:pPr>
        <w:pStyle w:val="3"/>
        <w:keepNext/>
        <w:keepLines/>
        <w:pageBreakBefore w:val="0"/>
        <w:widowControl w:val="0"/>
        <w:kinsoku/>
        <w:wordWrap/>
        <w:overflowPunct/>
        <w:topLinePunct w:val="0"/>
        <w:autoSpaceDE/>
        <w:autoSpaceDN/>
        <w:bidi w:val="0"/>
        <w:adjustRightInd w:val="0"/>
        <w:snapToGrid w:val="0"/>
        <w:spacing w:before="0" w:after="0" w:line="480" w:lineRule="exact"/>
        <w:textAlignment w:val="auto"/>
        <w:rPr>
          <w:rFonts w:hint="eastAsia" w:ascii="仿宋" w:hAnsi="仿宋" w:eastAsia="仿宋" w:cs="仿宋"/>
          <w:b/>
          <w:color w:val="auto"/>
          <w:sz w:val="24"/>
          <w:lang w:eastAsia="zh-CN"/>
        </w:rPr>
      </w:pPr>
      <w:bookmarkStart w:id="55" w:name="_Toc7357"/>
      <w:r>
        <w:rPr>
          <w:rFonts w:hint="eastAsia" w:ascii="仿宋" w:hAnsi="仿宋" w:eastAsia="仿宋" w:cs="仿宋"/>
          <w:b/>
          <w:color w:val="auto"/>
          <w:sz w:val="24"/>
          <w:lang w:eastAsia="zh-CN"/>
        </w:rPr>
        <w:t>二、</w:t>
      </w:r>
      <w:r>
        <w:rPr>
          <w:rFonts w:hint="eastAsia" w:ascii="仿宋" w:hAnsi="仿宋" w:eastAsia="仿宋" w:cs="仿宋"/>
          <w:b/>
          <w:color w:val="auto"/>
          <w:sz w:val="24"/>
        </w:rPr>
        <w:t>服务</w:t>
      </w:r>
      <w:bookmarkEnd w:id="54"/>
      <w:r>
        <w:rPr>
          <w:rFonts w:hint="eastAsia" w:ascii="仿宋" w:hAnsi="仿宋" w:eastAsia="仿宋" w:cs="仿宋"/>
          <w:b/>
          <w:color w:val="auto"/>
          <w:sz w:val="24"/>
          <w:lang w:eastAsia="zh-CN"/>
        </w:rPr>
        <w:t>要求</w:t>
      </w:r>
      <w:bookmarkEnd w:id="55"/>
    </w:p>
    <w:p w14:paraId="1B591A89">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bookmarkStart w:id="56" w:name="_Toc21912"/>
      <w:r>
        <w:rPr>
          <w:rFonts w:hint="eastAsia" w:ascii="仿宋" w:hAnsi="仿宋" w:eastAsia="仿宋" w:cs="仿宋"/>
          <w:b w:val="0"/>
          <w:color w:val="auto"/>
          <w:kern w:val="2"/>
          <w:sz w:val="24"/>
          <w:szCs w:val="24"/>
          <w:lang w:val="en-US" w:eastAsia="zh-CN" w:bidi="ar-SA"/>
        </w:rPr>
        <w:t>1、猪肉</w:t>
      </w:r>
      <w:bookmarkEnd w:id="56"/>
    </w:p>
    <w:p w14:paraId="05493FB9">
      <w:pPr>
        <w:keepNext w:val="0"/>
        <w:keepLines w:val="0"/>
        <w:pageBreakBefore w:val="0"/>
        <w:widowControl/>
        <w:numPr>
          <w:ilvl w:val="0"/>
          <w:numId w:val="0"/>
        </w:numPr>
        <w:kinsoku/>
        <w:wordWrap/>
        <w:overflowPunct/>
        <w:topLinePunct w:val="0"/>
        <w:autoSpaceDE/>
        <w:autoSpaceDN/>
        <w:bidi w:val="0"/>
        <w:adjustRightInd/>
        <w:spacing w:line="360" w:lineRule="auto"/>
        <w:ind w:left="0" w:firstLine="480" w:firstLineChars="200"/>
        <w:jc w:val="left"/>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①每批次产品必须在送货当天活猪定点屠宰场(或宰杀店)宰杀加工，提供动物检疫合格证和肉品品质检验合格证的新鲜肉。</w:t>
      </w:r>
    </w:p>
    <w:p w14:paraId="5FC438C4">
      <w:pPr>
        <w:keepNext w:val="0"/>
        <w:keepLines w:val="0"/>
        <w:pageBreakBefore w:val="0"/>
        <w:widowControl/>
        <w:numPr>
          <w:ilvl w:val="0"/>
          <w:numId w:val="0"/>
        </w:numPr>
        <w:kinsoku/>
        <w:wordWrap/>
        <w:overflowPunct/>
        <w:topLinePunct w:val="0"/>
        <w:autoSpaceDE/>
        <w:autoSpaceDN/>
        <w:bidi w:val="0"/>
        <w:adjustRightInd/>
        <w:spacing w:line="360" w:lineRule="auto"/>
        <w:ind w:left="0" w:firstLine="480" w:firstLineChars="200"/>
        <w:jc w:val="left"/>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②猪皮上检验检疫章（红色）和肉品品质检验章（蓝色）清晰可见，并附有《动物产品(B)检疫合格证明》及以上检疫合格证明、肉品品质检验合格证随货同行，货证一致。</w:t>
      </w:r>
    </w:p>
    <w:p w14:paraId="53ED897C">
      <w:pPr>
        <w:keepNext w:val="0"/>
        <w:keepLines w:val="0"/>
        <w:pageBreakBefore w:val="0"/>
        <w:widowControl/>
        <w:numPr>
          <w:ilvl w:val="0"/>
          <w:numId w:val="0"/>
        </w:numPr>
        <w:kinsoku/>
        <w:wordWrap/>
        <w:overflowPunct/>
        <w:topLinePunct w:val="0"/>
        <w:autoSpaceDE/>
        <w:autoSpaceDN/>
        <w:bidi w:val="0"/>
        <w:adjustRightInd/>
        <w:spacing w:line="360" w:lineRule="auto"/>
        <w:ind w:left="0" w:firstLine="480" w:firstLineChars="200"/>
        <w:jc w:val="left"/>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③肉质有弹性，手指轻按，凹陷地方马上恢复，脂肪为白色或乳白色，整体色泽光润，</w:t>
      </w:r>
    </w:p>
    <w:p w14:paraId="093E3070">
      <w:pPr>
        <w:keepNext w:val="0"/>
        <w:keepLines w:val="0"/>
        <w:pageBreakBefore w:val="0"/>
        <w:widowControl/>
        <w:numPr>
          <w:ilvl w:val="0"/>
          <w:numId w:val="0"/>
        </w:numPr>
        <w:kinsoku/>
        <w:wordWrap/>
        <w:overflowPunct/>
        <w:topLinePunct w:val="0"/>
        <w:autoSpaceDE/>
        <w:autoSpaceDN/>
        <w:bidi w:val="0"/>
        <w:adjustRightInd/>
        <w:spacing w:line="360" w:lineRule="auto"/>
        <w:ind w:left="0" w:firstLine="0" w:firstLineChars="0"/>
        <w:jc w:val="left"/>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切面红色、微微湿润但不粘手；</w:t>
      </w:r>
    </w:p>
    <w:p w14:paraId="551680DC">
      <w:pPr>
        <w:keepNext w:val="0"/>
        <w:keepLines w:val="0"/>
        <w:pageBreakBefore w:val="0"/>
        <w:widowControl/>
        <w:numPr>
          <w:ilvl w:val="0"/>
          <w:numId w:val="0"/>
        </w:numPr>
        <w:kinsoku/>
        <w:wordWrap/>
        <w:overflowPunct/>
        <w:topLinePunct w:val="0"/>
        <w:autoSpaceDE/>
        <w:autoSpaceDN/>
        <w:bidi w:val="0"/>
        <w:adjustRightInd/>
        <w:spacing w:line="360" w:lineRule="auto"/>
        <w:ind w:left="0" w:firstLine="480" w:firstLineChars="200"/>
        <w:jc w:val="left"/>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④具有猪肉固有气味，无异味；无淤血、无注水，无寄生虫。</w:t>
      </w:r>
    </w:p>
    <w:p w14:paraId="3439F235">
      <w:pPr>
        <w:keepNext w:val="0"/>
        <w:keepLines w:val="0"/>
        <w:pageBreakBefore w:val="0"/>
        <w:widowControl/>
        <w:numPr>
          <w:ilvl w:val="0"/>
          <w:numId w:val="0"/>
        </w:numPr>
        <w:kinsoku/>
        <w:wordWrap/>
        <w:overflowPunct/>
        <w:topLinePunct w:val="0"/>
        <w:autoSpaceDE/>
        <w:autoSpaceDN/>
        <w:bidi w:val="0"/>
        <w:adjustRightInd/>
        <w:spacing w:line="360" w:lineRule="auto"/>
        <w:ind w:left="0" w:firstLine="480" w:firstLineChars="200"/>
        <w:jc w:val="left"/>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⑤严禁提供死猪肉、瘟猪肉、白皮肉、冻猪肉，严禁使用来源不明、腐烂、变质、未按规定进行检疫或检验检疫不合格的肉类。</w:t>
      </w:r>
    </w:p>
    <w:p w14:paraId="2026DFE2">
      <w:pPr>
        <w:keepNext w:val="0"/>
        <w:keepLines w:val="0"/>
        <w:pageBreakBefore w:val="0"/>
        <w:widowControl/>
        <w:numPr>
          <w:ilvl w:val="0"/>
          <w:numId w:val="0"/>
        </w:numPr>
        <w:kinsoku/>
        <w:wordWrap/>
        <w:overflowPunct/>
        <w:topLinePunct w:val="0"/>
        <w:autoSpaceDE/>
        <w:autoSpaceDN/>
        <w:bidi w:val="0"/>
        <w:adjustRightInd/>
        <w:spacing w:line="360" w:lineRule="auto"/>
        <w:ind w:left="0" w:firstLine="480" w:firstLineChars="200"/>
        <w:jc w:val="left"/>
        <w:textAlignment w:val="auto"/>
        <w:outlineLvl w:val="9"/>
        <w:rPr>
          <w:rFonts w:hint="eastAsia" w:ascii="仿宋" w:hAnsi="仿宋" w:eastAsia="仿宋" w:cs="仿宋"/>
          <w:b w:val="0"/>
          <w:color w:val="auto"/>
          <w:kern w:val="2"/>
          <w:sz w:val="24"/>
          <w:szCs w:val="24"/>
          <w:lang w:val="zh-CN" w:eastAsia="zh-CN" w:bidi="ar-SA"/>
        </w:rPr>
      </w:pPr>
      <w:r>
        <w:rPr>
          <w:rFonts w:hint="eastAsia" w:ascii="仿宋" w:hAnsi="仿宋" w:eastAsia="仿宋" w:cs="仿宋"/>
          <w:b w:val="0"/>
          <w:color w:val="auto"/>
          <w:kern w:val="2"/>
          <w:sz w:val="24"/>
          <w:szCs w:val="24"/>
          <w:lang w:val="en-US" w:eastAsia="zh-CN" w:bidi="ar-SA"/>
        </w:rPr>
        <w:t>2、</w:t>
      </w:r>
      <w:r>
        <w:rPr>
          <w:rFonts w:hint="eastAsia" w:ascii="仿宋" w:hAnsi="仿宋" w:eastAsia="仿宋" w:cs="仿宋"/>
          <w:b w:val="0"/>
          <w:color w:val="auto"/>
          <w:kern w:val="2"/>
          <w:sz w:val="24"/>
          <w:szCs w:val="24"/>
          <w:lang w:val="zh-CN" w:eastAsia="zh-CN" w:bidi="ar-SA"/>
        </w:rPr>
        <w:t>牛羊肉类</w:t>
      </w:r>
    </w:p>
    <w:p w14:paraId="01E14DF5">
      <w:pPr>
        <w:keepNext w:val="0"/>
        <w:keepLines w:val="0"/>
        <w:pageBreakBefore w:val="0"/>
        <w:widowControl/>
        <w:numPr>
          <w:ilvl w:val="0"/>
          <w:numId w:val="0"/>
        </w:numPr>
        <w:kinsoku/>
        <w:wordWrap/>
        <w:overflowPunct/>
        <w:topLinePunct w:val="0"/>
        <w:autoSpaceDE/>
        <w:autoSpaceDN/>
        <w:bidi w:val="0"/>
        <w:adjustRightInd/>
        <w:spacing w:line="360" w:lineRule="auto"/>
        <w:ind w:left="0" w:firstLine="480" w:firstLineChars="200"/>
        <w:jc w:val="left"/>
        <w:textAlignment w:val="auto"/>
        <w:outlineLvl w:val="9"/>
        <w:rPr>
          <w:rFonts w:hint="eastAsia" w:ascii="仿宋" w:hAnsi="仿宋" w:eastAsia="仿宋" w:cs="仿宋"/>
          <w:b w:val="0"/>
          <w:color w:val="auto"/>
          <w:kern w:val="2"/>
          <w:sz w:val="24"/>
          <w:szCs w:val="24"/>
          <w:highlight w:val="none"/>
          <w:lang w:val="zh-CN" w:eastAsia="zh-CN" w:bidi="ar-SA"/>
        </w:rPr>
      </w:pPr>
      <w:r>
        <w:rPr>
          <w:rFonts w:hint="eastAsia" w:ascii="仿宋" w:hAnsi="仿宋" w:eastAsia="仿宋" w:cs="仿宋"/>
          <w:b w:val="0"/>
          <w:color w:val="auto"/>
          <w:kern w:val="2"/>
          <w:sz w:val="24"/>
          <w:szCs w:val="24"/>
          <w:lang w:val="zh-CN" w:eastAsia="zh-CN" w:bidi="ar-SA"/>
        </w:rPr>
        <w:t>感官色泽正常，无异味，骨骼尺寸正常。严禁使用来源不明、感官异常、腐烂、变质、未按规定进行检疫或检验检疫不合格的禽、畜肉。牛羊肉类应提供动物检疫合格证明，供</w:t>
      </w:r>
      <w:r>
        <w:rPr>
          <w:rFonts w:hint="eastAsia" w:ascii="仿宋" w:hAnsi="仿宋" w:eastAsia="仿宋" w:cs="仿宋"/>
          <w:b w:val="0"/>
          <w:color w:val="auto"/>
          <w:kern w:val="2"/>
          <w:sz w:val="24"/>
          <w:szCs w:val="24"/>
          <w:highlight w:val="none"/>
          <w:lang w:val="zh-CN" w:eastAsia="zh-CN" w:bidi="ar-SA"/>
        </w:rPr>
        <w:t>应货品必须保证新鲜、无异味、无变质、无注水、无冰冻、肉质有弹性，整体色泽光润。进货票据、产品质量合格证明文件随货同行，货证一致，必须为当天屠宰的新鲜肉类，不得提供送货当天日期之前的冻肉或解冻后重新冷藏的肉类。</w:t>
      </w:r>
    </w:p>
    <w:p w14:paraId="5CDA6718">
      <w:pPr>
        <w:numPr>
          <w:ilvl w:val="0"/>
          <w:numId w:val="1"/>
        </w:numPr>
        <w:spacing w:line="440" w:lineRule="exact"/>
        <w:ind w:firstLine="480" w:firstLineChars="200"/>
        <w:rPr>
          <w:rFonts w:hint="eastAsia" w:ascii="仿宋" w:hAnsi="仿宋" w:eastAsia="仿宋" w:cs="仿宋"/>
          <w:color w:val="auto"/>
          <w:sz w:val="24"/>
          <w:szCs w:val="24"/>
          <w:highlight w:val="none"/>
          <w:lang w:val="zh-CN"/>
        </w:rPr>
      </w:pPr>
      <w:r>
        <w:rPr>
          <w:rFonts w:hint="eastAsia" w:ascii="仿宋" w:hAnsi="仿宋" w:eastAsia="仿宋" w:cs="仿宋"/>
          <w:color w:val="auto"/>
          <w:sz w:val="24"/>
          <w:szCs w:val="24"/>
          <w:highlight w:val="none"/>
          <w:lang w:val="zh-CN"/>
        </w:rPr>
        <w:t>家禽（含</w:t>
      </w:r>
      <w:r>
        <w:rPr>
          <w:rFonts w:hint="eastAsia" w:ascii="仿宋" w:hAnsi="仿宋" w:eastAsia="仿宋" w:cs="仿宋"/>
          <w:b w:val="0"/>
          <w:color w:val="auto"/>
          <w:kern w:val="2"/>
          <w:sz w:val="24"/>
          <w:szCs w:val="24"/>
          <w:highlight w:val="none"/>
          <w:lang w:val="en-US" w:eastAsia="zh-CN" w:bidi="ar-SA"/>
        </w:rPr>
        <w:t>鸡、鸭、鹅、兔</w:t>
      </w:r>
      <w:r>
        <w:rPr>
          <w:rFonts w:hint="eastAsia" w:ascii="仿宋" w:hAnsi="仿宋" w:eastAsia="仿宋" w:cs="仿宋"/>
          <w:color w:val="auto"/>
          <w:sz w:val="24"/>
          <w:szCs w:val="24"/>
          <w:highlight w:val="none"/>
          <w:lang w:val="zh-CN"/>
        </w:rPr>
        <w:t>等）</w:t>
      </w:r>
    </w:p>
    <w:p w14:paraId="1DFA0A91">
      <w:pPr>
        <w:keepNext w:val="0"/>
        <w:keepLines w:val="0"/>
        <w:pageBreakBefore w:val="0"/>
        <w:widowControl/>
        <w:numPr>
          <w:ilvl w:val="0"/>
          <w:numId w:val="0"/>
        </w:numPr>
        <w:kinsoku/>
        <w:wordWrap/>
        <w:overflowPunct/>
        <w:topLinePunct w:val="0"/>
        <w:autoSpaceDE/>
        <w:autoSpaceDN/>
        <w:bidi w:val="0"/>
        <w:adjustRightInd/>
        <w:spacing w:line="360" w:lineRule="auto"/>
        <w:ind w:left="0" w:firstLine="480" w:firstLineChars="200"/>
        <w:jc w:val="left"/>
        <w:textAlignment w:val="auto"/>
        <w:outlineLvl w:val="9"/>
        <w:rPr>
          <w:rFonts w:hint="eastAsia" w:ascii="仿宋" w:hAnsi="仿宋" w:eastAsia="仿宋" w:cs="仿宋"/>
          <w:b w:val="0"/>
          <w:color w:val="auto"/>
          <w:kern w:val="2"/>
          <w:sz w:val="24"/>
          <w:szCs w:val="24"/>
          <w:highlight w:val="none"/>
          <w:lang w:val="zh-CN" w:eastAsia="zh-CN" w:bidi="ar-SA"/>
        </w:rPr>
      </w:pPr>
      <w:r>
        <w:rPr>
          <w:rFonts w:hint="eastAsia" w:ascii="仿宋" w:hAnsi="仿宋" w:eastAsia="仿宋" w:cs="仿宋"/>
          <w:color w:val="auto"/>
          <w:sz w:val="24"/>
          <w:szCs w:val="24"/>
          <w:highlight w:val="none"/>
          <w:lang w:val="zh-CN"/>
        </w:rPr>
        <w:t>鲜活原料应体壮，色泽正常，无病，达到食用标准。其禽肉应是当日生产的鲜肉，保证肉质新、无异味、无变质，及时配送，产品质量应符合国家食品安全标准和相关强制性规定。</w:t>
      </w:r>
      <w:r>
        <w:rPr>
          <w:rFonts w:hint="eastAsia" w:ascii="仿宋" w:hAnsi="仿宋" w:eastAsia="仿宋" w:cs="仿宋"/>
          <w:b w:val="0"/>
          <w:color w:val="auto"/>
          <w:kern w:val="2"/>
          <w:sz w:val="24"/>
          <w:szCs w:val="24"/>
          <w:highlight w:val="none"/>
          <w:lang w:val="zh-CN" w:eastAsia="zh-CN" w:bidi="ar-SA"/>
        </w:rPr>
        <w:t>进货票据、产品质量合格证明文件随货同行，货证一致，必须为当天屠宰的新鲜肉类，不得提供送货当天日期之前的冻肉或解冻后重新冷藏的肉类。</w:t>
      </w:r>
    </w:p>
    <w:p w14:paraId="30C4A3FD">
      <w:pPr>
        <w:pStyle w:val="3"/>
        <w:keepNext/>
        <w:keepLines/>
        <w:pageBreakBefore w:val="0"/>
        <w:widowControl w:val="0"/>
        <w:kinsoku/>
        <w:wordWrap/>
        <w:overflowPunct/>
        <w:topLinePunct w:val="0"/>
        <w:autoSpaceDE/>
        <w:autoSpaceDN/>
        <w:bidi w:val="0"/>
        <w:adjustRightInd w:val="0"/>
        <w:snapToGrid w:val="0"/>
        <w:spacing w:before="0" w:after="0" w:line="480" w:lineRule="exact"/>
        <w:textAlignment w:val="auto"/>
        <w:rPr>
          <w:rFonts w:hint="eastAsia" w:ascii="仿宋" w:hAnsi="仿宋" w:eastAsia="仿宋" w:cs="仿宋"/>
          <w:b/>
          <w:color w:val="auto"/>
          <w:sz w:val="24"/>
          <w:lang w:eastAsia="zh-CN"/>
        </w:rPr>
      </w:pPr>
      <w:bookmarkStart w:id="57" w:name="_Toc30651"/>
      <w:r>
        <w:rPr>
          <w:rFonts w:hint="eastAsia" w:ascii="仿宋" w:hAnsi="仿宋" w:eastAsia="仿宋" w:cs="仿宋"/>
          <w:b/>
          <w:color w:val="auto"/>
          <w:sz w:val="24"/>
          <w:lang w:eastAsia="zh-CN"/>
        </w:rPr>
        <w:t>三、配送要求</w:t>
      </w:r>
      <w:bookmarkEnd w:id="57"/>
    </w:p>
    <w:p w14:paraId="0EA79CDD">
      <w:pPr>
        <w:spacing w:line="440" w:lineRule="exact"/>
        <w:ind w:firstLine="480" w:firstLineChars="200"/>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1、供应商应保证及时提供数量准确、合格安全的产品。一旦发现伪劣假冒产品、以次充好产品或替代产品，采购人可立即封存，</w:t>
      </w:r>
      <w:r>
        <w:rPr>
          <w:rFonts w:hint="eastAsia" w:ascii="仿宋" w:hAnsi="仿宋" w:eastAsia="仿宋" w:cs="仿宋"/>
          <w:color w:val="auto"/>
          <w:sz w:val="24"/>
          <w:szCs w:val="24"/>
        </w:rPr>
        <w:t>经相关部门质量监测认证后，由配送公司承担一切法律责任。采购人有权单方解除合同并要求配送公司赔偿所造成的所有损失，罚没履约保证金。</w:t>
      </w:r>
    </w:p>
    <w:p w14:paraId="2FA47704">
      <w:pPr>
        <w:keepNext w:val="0"/>
        <w:keepLines w:val="0"/>
        <w:numPr>
          <w:ilvl w:val="0"/>
          <w:numId w:val="0"/>
        </w:numPr>
        <w:autoSpaceDE/>
        <w:autoSpaceDN/>
        <w:spacing w:line="360" w:lineRule="auto"/>
        <w:ind w:firstLine="480" w:firstLineChars="200"/>
        <w:jc w:val="left"/>
        <w:outlineLvl w:val="2"/>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2、从事直接接触食品的从业人员（管理人员、技术人员和运输人员）均应取得健康证或健康检查合格证明或相关从业资格证，并按规定由供应商进行培训。</w:t>
      </w:r>
    </w:p>
    <w:p w14:paraId="75C8B866">
      <w:pPr>
        <w:keepNext w:val="0"/>
        <w:keepLines w:val="0"/>
        <w:numPr>
          <w:ilvl w:val="0"/>
          <w:numId w:val="0"/>
        </w:numPr>
        <w:autoSpaceDE/>
        <w:autoSpaceDN/>
        <w:spacing w:line="360" w:lineRule="auto"/>
        <w:ind w:firstLine="480" w:firstLineChars="200"/>
        <w:jc w:val="left"/>
        <w:outlineLvl w:val="2"/>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3、供应商应配备专人专车为本项目提供服务，供应商应负责服务人员及车辆的安全和管理，保证服务人员和车辆遵守采购人相关规定。肉类需要冷链运输。</w:t>
      </w:r>
    </w:p>
    <w:p w14:paraId="224C34F4">
      <w:pPr>
        <w:spacing w:line="44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4、</w:t>
      </w:r>
      <w:r>
        <w:rPr>
          <w:rFonts w:hint="eastAsia" w:ascii="仿宋" w:hAnsi="仿宋" w:eastAsia="仿宋" w:cs="仿宋"/>
          <w:color w:val="auto"/>
          <w:sz w:val="24"/>
          <w:szCs w:val="24"/>
        </w:rPr>
        <w:t>配送时间：成交供应商应在每天早上</w:t>
      </w:r>
      <w:r>
        <w:rPr>
          <w:rFonts w:hint="eastAsia" w:ascii="仿宋" w:hAnsi="仿宋" w:eastAsia="仿宋" w:cs="仿宋"/>
          <w:color w:val="auto"/>
          <w:sz w:val="24"/>
          <w:szCs w:val="24"/>
          <w:lang w:val="en-US" w:eastAsia="zh-CN"/>
        </w:rPr>
        <w:t>7</w:t>
      </w:r>
      <w:r>
        <w:rPr>
          <w:rFonts w:hint="eastAsia" w:ascii="仿宋" w:hAnsi="仿宋" w:eastAsia="仿宋" w:cs="仿宋"/>
          <w:color w:val="auto"/>
          <w:sz w:val="24"/>
          <w:szCs w:val="24"/>
        </w:rPr>
        <w:t>：00 前将采购人所需食材按时送到采购人指定地点。如临时需要配送的食材，成交供应商应全力配合，保质保量按时送达。</w:t>
      </w:r>
    </w:p>
    <w:p w14:paraId="7D0C13FD">
      <w:pPr>
        <w:spacing w:line="44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5、</w:t>
      </w:r>
      <w:r>
        <w:rPr>
          <w:rFonts w:hint="eastAsia" w:ascii="仿宋" w:hAnsi="仿宋" w:eastAsia="仿宋" w:cs="仿宋"/>
          <w:color w:val="auto"/>
          <w:sz w:val="24"/>
          <w:szCs w:val="24"/>
        </w:rPr>
        <w:t>采购人将提前一天告知成交供应商下一批供货需求，如有临时紧急情况，采购人将提前一小时告知成交供应商供货需求。成交供应商须依据采购人拟定的清单进行配送，成交供应商接受配送任务后，应按要求向采购人食堂提供符合品相及规格要求的优质、新鲜货物。食材可视采购人食堂实际需求酌情配送，确保采购人食堂食品新鲜、优质、安全可靠。</w:t>
      </w:r>
    </w:p>
    <w:p w14:paraId="2A303404">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6、安全责任，供货人员要求：</w:t>
      </w:r>
    </w:p>
    <w:p w14:paraId="333AC3E4">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（1）供应商供货人员和车辆的安全责任，由供应商承担。</w:t>
      </w:r>
    </w:p>
    <w:p w14:paraId="7E99CA8C">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（2）供应商所供产品出现质量问题，供应商应承担全部法律、经济责任。</w:t>
      </w:r>
    </w:p>
    <w:p w14:paraId="1A1CF91B">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（3）供应商在供货期间，因自身原因造成事故事件等，所有后果由供应商自行承担。</w:t>
      </w:r>
    </w:p>
    <w:p w14:paraId="4D347BDF">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default" w:ascii="仿宋" w:hAnsi="仿宋" w:eastAsia="仿宋" w:cs="仿宋"/>
          <w:b/>
          <w:bCs/>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（4）投标人承诺为本项目购买安全责任险</w:t>
      </w:r>
      <w:r>
        <w:rPr>
          <w:rFonts w:hint="eastAsia" w:ascii="仿宋" w:hAnsi="仿宋" w:eastAsia="仿宋" w:cs="仿宋"/>
          <w:b/>
          <w:bCs/>
          <w:color w:val="auto"/>
          <w:kern w:val="2"/>
          <w:sz w:val="24"/>
          <w:szCs w:val="24"/>
          <w:lang w:val="en-US" w:eastAsia="zh-CN" w:bidi="ar-SA"/>
        </w:rPr>
        <w:t>（提供承诺书并加盖投标人公章，格式自拟）。</w:t>
      </w:r>
    </w:p>
    <w:p w14:paraId="6F3E15A2">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default"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7、配送要求</w:t>
      </w:r>
    </w:p>
    <w:p w14:paraId="53B5FDA3">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（1）供应商须为供货人员配备符合岗位要求的健康证明及岗前培训记录，并确保其熟悉食品安全操作规范；</w:t>
      </w:r>
    </w:p>
    <w:p w14:paraId="11107B89">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（2）运输车辆须保持清洁、密闭，不得与有毒有害物品混装，且应具备温控能力以保障易腐食品品质；</w:t>
      </w:r>
    </w:p>
    <w:p w14:paraId="5C59566A">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（3）供货人员进入采购方场所须服从统一管理，全程佩戴工装、口罩及手套，严禁携带个人食品或无关物品入场。</w:t>
      </w:r>
    </w:p>
    <w:p w14:paraId="4232F5B3">
      <w:pPr>
        <w:numPr>
          <w:ilvl w:val="0"/>
          <w:numId w:val="0"/>
        </w:numPr>
        <w:spacing w:line="440" w:lineRule="exact"/>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（4）货物分批次配送，每次所需干货、副食及调料的品种及数量以采购人的通知为准。</w:t>
      </w:r>
    </w:p>
    <w:p w14:paraId="2ED53AE0">
      <w:pPr>
        <w:numPr>
          <w:ilvl w:val="0"/>
          <w:numId w:val="0"/>
        </w:numPr>
        <w:spacing w:line="440" w:lineRule="exact"/>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5）按照预定货物的品种、数量、质量、时间每天按时配送至指定地点。如遇特殊情况，接到采购人通知后2小时配送到位。由采购人验收人员组织现场复称、验收后入库。所有配送食材由供应商自行留样以备抽检。</w:t>
      </w:r>
    </w:p>
    <w:p w14:paraId="1F7A7805">
      <w:pPr>
        <w:pStyle w:val="3"/>
        <w:spacing w:before="0" w:after="0" w:line="360" w:lineRule="auto"/>
        <w:jc w:val="center"/>
        <w:rPr>
          <w:rFonts w:hint="eastAsia" w:ascii="仿宋" w:hAnsi="仿宋" w:eastAsia="仿宋" w:cs="仿宋"/>
          <w:b w:val="0"/>
          <w:color w:val="auto"/>
          <w:sz w:val="36"/>
          <w:szCs w:val="30"/>
        </w:rPr>
      </w:pPr>
      <w:r>
        <w:rPr>
          <w:rFonts w:hint="eastAsia" w:ascii="仿宋" w:hAnsi="仿宋" w:eastAsia="仿宋" w:cs="仿宋"/>
          <w:b w:val="0"/>
          <w:color w:val="auto"/>
          <w:sz w:val="36"/>
          <w:szCs w:val="30"/>
        </w:rPr>
        <w:br w:type="page"/>
      </w:r>
      <w:bookmarkStart w:id="58" w:name="_Toc8223"/>
      <w:r>
        <w:rPr>
          <w:rFonts w:hint="eastAsia" w:ascii="仿宋" w:hAnsi="仿宋" w:eastAsia="仿宋" w:cs="仿宋"/>
          <w:b w:val="0"/>
          <w:color w:val="auto"/>
          <w:sz w:val="36"/>
          <w:szCs w:val="30"/>
        </w:rPr>
        <w:t xml:space="preserve">第三篇  </w:t>
      </w:r>
      <w:bookmarkEnd w:id="53"/>
      <w:r>
        <w:rPr>
          <w:rFonts w:hint="eastAsia" w:ascii="仿宋" w:hAnsi="仿宋" w:eastAsia="仿宋" w:cs="仿宋"/>
          <w:b w:val="0"/>
          <w:color w:val="auto"/>
          <w:sz w:val="36"/>
          <w:szCs w:val="30"/>
        </w:rPr>
        <w:t>项目商务需求</w:t>
      </w:r>
      <w:bookmarkEnd w:id="58"/>
    </w:p>
    <w:p w14:paraId="6C9B196C">
      <w:pPr>
        <w:pStyle w:val="4"/>
        <w:spacing w:before="0" w:after="0" w:line="360" w:lineRule="auto"/>
        <w:rPr>
          <w:rFonts w:hint="eastAsia" w:ascii="仿宋" w:hAnsi="仿宋" w:eastAsia="仿宋" w:cs="仿宋"/>
          <w:color w:val="auto"/>
          <w:sz w:val="24"/>
          <w:szCs w:val="24"/>
        </w:rPr>
      </w:pPr>
      <w:bookmarkStart w:id="59" w:name="_Toc7308"/>
      <w:bookmarkStart w:id="60" w:name="_Toc344475120"/>
      <w:r>
        <w:rPr>
          <w:rFonts w:hint="eastAsia" w:ascii="仿宋" w:hAnsi="仿宋" w:eastAsia="仿宋" w:cs="仿宋"/>
          <w:color w:val="auto"/>
          <w:sz w:val="24"/>
          <w:szCs w:val="24"/>
        </w:rPr>
        <w:t>一、服务期、地点及验收方式</w:t>
      </w:r>
      <w:bookmarkEnd w:id="59"/>
      <w:bookmarkEnd w:id="60"/>
    </w:p>
    <w:p w14:paraId="64813ABC">
      <w:pPr>
        <w:pStyle w:val="9"/>
        <w:spacing w:line="360" w:lineRule="auto"/>
        <w:ind w:firstLine="480" w:firstLineChars="200"/>
        <w:rPr>
          <w:rFonts w:hint="default" w:ascii="仿宋" w:hAnsi="仿宋" w:eastAsia="仿宋" w:cs="仿宋"/>
          <w:color w:val="auto"/>
          <w:sz w:val="24"/>
          <w:szCs w:val="24"/>
          <w:lang w:val="en-US"/>
        </w:rPr>
      </w:pPr>
      <w:r>
        <w:rPr>
          <w:rFonts w:hint="eastAsia" w:ascii="仿宋" w:hAnsi="仿宋" w:eastAsia="仿宋" w:cs="仿宋"/>
          <w:color w:val="auto"/>
          <w:sz w:val="24"/>
          <w:szCs w:val="24"/>
        </w:rPr>
        <w:t>（一）服务期：</w:t>
      </w:r>
      <w:r>
        <w:rPr>
          <w:rFonts w:hint="eastAsia" w:ascii="仿宋" w:hAnsi="仿宋" w:eastAsia="仿宋" w:cs="仿宋"/>
          <w:color w:val="auto"/>
          <w:sz w:val="24"/>
          <w:szCs w:val="24"/>
          <w:lang w:val="en-US" w:eastAsia="zh-CN"/>
        </w:rPr>
        <w:t>从采购合同签订之日起1年。</w:t>
      </w:r>
    </w:p>
    <w:p w14:paraId="65841F90">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（二）服务地点：大足区。</w:t>
      </w:r>
    </w:p>
    <w:p w14:paraId="12D45AAC">
      <w:pPr>
        <w:pStyle w:val="9"/>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（三）验收方式</w:t>
      </w:r>
    </w:p>
    <w:p w14:paraId="2345C86B">
      <w:pPr>
        <w:numPr>
          <w:ilvl w:val="0"/>
          <w:numId w:val="2"/>
        </w:numPr>
        <w:spacing w:beforeLines="0" w:afterLines="0" w:line="360" w:lineRule="auto"/>
        <w:ind w:firstLine="480" w:firstLineChars="200"/>
        <w:rPr>
          <w:rFonts w:hint="eastAsia" w:ascii="仿宋" w:hAnsi="仿宋" w:eastAsia="仿宋" w:cs="仿宋"/>
          <w:color w:val="auto"/>
          <w:kern w:val="2"/>
          <w:sz w:val="24"/>
          <w:szCs w:val="24"/>
          <w:lang w:val="en-US" w:eastAsia="zh-CN" w:bidi="ar-SA"/>
        </w:rPr>
      </w:pPr>
      <w:bookmarkStart w:id="61" w:name="_Toc344475121"/>
      <w:r>
        <w:rPr>
          <w:rFonts w:hint="eastAsia" w:ascii="仿宋" w:hAnsi="仿宋" w:eastAsia="仿宋" w:cs="仿宋"/>
          <w:color w:val="auto"/>
          <w:kern w:val="2"/>
          <w:sz w:val="24"/>
          <w:szCs w:val="24"/>
          <w:lang w:val="en-US" w:eastAsia="zh-CN" w:bidi="ar-SA"/>
        </w:rPr>
        <w:t>验收标准：供应商配送物品必须符合食品安全法相关规定，须是送货当天合法屠宰加工新鲜肉品，并附有相应的《动物产品(B)检疫合格证明》及以上检疫合格证明、肉品品质检验合格证随货同行，货证一致。</w:t>
      </w:r>
    </w:p>
    <w:p w14:paraId="1526893B">
      <w:pPr>
        <w:numPr>
          <w:ilvl w:val="0"/>
          <w:numId w:val="2"/>
        </w:numPr>
        <w:spacing w:beforeLines="0" w:afterLines="0" w:line="360" w:lineRule="auto"/>
        <w:ind w:firstLine="480" w:firstLineChars="200"/>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货物到达现场后，供应商应在采购人收货人员和质量监督员在场情况下当面进行感官检验、外观检验或试用检验，凡按重量计量物品，均以物品净重方式计量结算，对收货过程当场作出记录，双方签字确认。</w:t>
      </w:r>
    </w:p>
    <w:p w14:paraId="535804A4">
      <w:pPr>
        <w:numPr>
          <w:ilvl w:val="0"/>
          <w:numId w:val="2"/>
        </w:numPr>
        <w:spacing w:beforeLines="0" w:afterLines="0" w:line="360" w:lineRule="auto"/>
        <w:ind w:firstLine="480" w:firstLineChars="200"/>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供应商应保证及时提供合格安全的产品，若产品外观、包装、质量不能达到收货标准，采购人拒收配送物品，供应商应无条件迅速补充合格产品，因验收货物时不能直接判断质量的，在使用过程中发现不合格肉品，供应商应作退货处理，不得影响正常开餐。</w:t>
      </w:r>
    </w:p>
    <w:p w14:paraId="7C2C10FE">
      <w:pPr>
        <w:numPr>
          <w:ilvl w:val="0"/>
          <w:numId w:val="2"/>
        </w:numPr>
        <w:spacing w:beforeLines="0" w:afterLines="0" w:line="360" w:lineRule="auto"/>
        <w:ind w:firstLine="480" w:firstLineChars="200"/>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在验收时若发生种类遗漏、缺斤短两，与实际清单送货数量不符，发现1次警告处理，累计达3次，采购人有权单方面解除合同，且不支付任何补偿（赔偿）。</w:t>
      </w:r>
    </w:p>
    <w:p w14:paraId="577CF46E">
      <w:pPr>
        <w:numPr>
          <w:ilvl w:val="0"/>
          <w:numId w:val="2"/>
        </w:numPr>
        <w:spacing w:beforeLines="0" w:afterLines="0" w:line="360" w:lineRule="auto"/>
        <w:ind w:firstLine="480" w:firstLineChars="200"/>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采购人组织定期或不定期货品抽检和送检。对检验不合格产品无条件退、换货外，采购人保留单方解除合同的权利，赔偿由此造成的所有损失。</w:t>
      </w:r>
    </w:p>
    <w:p w14:paraId="3D8D5EBF">
      <w:pPr>
        <w:numPr>
          <w:ilvl w:val="0"/>
          <w:numId w:val="2"/>
        </w:numPr>
        <w:spacing w:beforeLines="0" w:afterLines="0" w:line="360" w:lineRule="auto"/>
        <w:ind w:firstLine="480" w:firstLineChars="200"/>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提供货物未达到采购人规定要求，且对采购人造成损失的，供应商赔偿由此造成的所有损失；</w:t>
      </w:r>
    </w:p>
    <w:p w14:paraId="61203508">
      <w:pPr>
        <w:numPr>
          <w:ilvl w:val="0"/>
          <w:numId w:val="2"/>
        </w:numPr>
        <w:spacing w:beforeLines="0" w:afterLines="0" w:line="360" w:lineRule="auto"/>
        <w:ind w:firstLine="480" w:firstLineChars="200"/>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上述项验收方式中表述的相关问题，供货商在一个月内不能出现超过3次（包括三次），若连续两月出现上述情况，采购人有权单方面解除供货合同。以上条款由供应商自行提供满足以上条款的承诺。</w:t>
      </w:r>
    </w:p>
    <w:p w14:paraId="7DE8C2B5">
      <w:pPr>
        <w:pStyle w:val="4"/>
        <w:spacing w:before="0" w:after="0" w:line="360" w:lineRule="auto"/>
        <w:rPr>
          <w:rFonts w:hint="eastAsia" w:ascii="仿宋" w:hAnsi="仿宋" w:eastAsia="仿宋" w:cs="仿宋"/>
          <w:color w:val="auto"/>
          <w:sz w:val="24"/>
          <w:szCs w:val="24"/>
        </w:rPr>
      </w:pPr>
      <w:bookmarkStart w:id="62" w:name="_Toc8551"/>
      <w:r>
        <w:rPr>
          <w:rFonts w:hint="eastAsia" w:ascii="仿宋" w:hAnsi="仿宋" w:eastAsia="仿宋" w:cs="仿宋"/>
          <w:color w:val="auto"/>
          <w:sz w:val="24"/>
          <w:szCs w:val="24"/>
        </w:rPr>
        <w:t>二、</w:t>
      </w:r>
      <w:bookmarkEnd w:id="61"/>
      <w:r>
        <w:rPr>
          <w:rFonts w:hint="eastAsia" w:ascii="仿宋" w:hAnsi="仿宋" w:eastAsia="仿宋" w:cs="仿宋"/>
          <w:color w:val="auto"/>
          <w:sz w:val="24"/>
          <w:szCs w:val="24"/>
        </w:rPr>
        <w:t>报价要求</w:t>
      </w:r>
      <w:bookmarkEnd w:id="62"/>
    </w:p>
    <w:p w14:paraId="23948A5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ascii="仿宋" w:hAnsi="仿宋" w:eastAsia="仿宋" w:cs="仿宋"/>
          <w:color w:val="auto"/>
          <w:sz w:val="24"/>
          <w:szCs w:val="24"/>
          <w:highlight w:val="none"/>
          <w:lang w:val="en-US" w:eastAsia="zh-CN"/>
        </w:rPr>
      </w:pPr>
      <w:bookmarkStart w:id="63" w:name="_Toc28829"/>
      <w:bookmarkStart w:id="64" w:name="_Toc10150"/>
      <w:bookmarkStart w:id="65" w:name="_Toc9114"/>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rPr>
        <w:t>本次报价</w:t>
      </w:r>
      <w:r>
        <w:rPr>
          <w:rFonts w:hint="eastAsia" w:ascii="仿宋" w:hAnsi="仿宋" w:eastAsia="仿宋" w:cs="仿宋"/>
          <w:color w:val="auto"/>
          <w:sz w:val="24"/>
          <w:szCs w:val="24"/>
          <w:lang w:eastAsia="zh-CN"/>
        </w:rPr>
        <w:t>为折扣报价</w:t>
      </w:r>
      <w:r>
        <w:rPr>
          <w:rFonts w:hint="eastAsia" w:ascii="仿宋" w:hAnsi="仿宋" w:eastAsia="仿宋" w:cs="仿宋"/>
          <w:color w:val="auto"/>
          <w:sz w:val="24"/>
          <w:szCs w:val="24"/>
        </w:rPr>
        <w:t>，包含：肉品成本费、食材二次加工费（加工肉末肉馅、剔骨</w:t>
      </w:r>
      <w:r>
        <w:rPr>
          <w:rFonts w:hint="eastAsia" w:ascii="仿宋" w:hAnsi="仿宋" w:eastAsia="仿宋" w:cs="仿宋"/>
          <w:color w:val="auto"/>
          <w:sz w:val="24"/>
          <w:szCs w:val="24"/>
          <w:lang w:val="en-US" w:eastAsia="zh-CN"/>
        </w:rPr>
        <w:t>分解、包装等）、运输费（含装卸费）、保险费、人工费、税费等货到采购人指定地点的所有费用。因成交供应商自身原因造成漏报、少报皆由其自行承担责任，采购人不再补偿。</w:t>
      </w:r>
      <w:bookmarkEnd w:id="63"/>
      <w:bookmarkEnd w:id="64"/>
      <w:bookmarkEnd w:id="65"/>
      <w:bookmarkStart w:id="66" w:name="_Toc1063"/>
      <w:bookmarkStart w:id="67" w:name="_Toc26496"/>
      <w:bookmarkStart w:id="68" w:name="_Toc32650"/>
      <w:bookmarkStart w:id="69" w:name="_Toc22670"/>
      <w:bookmarkStart w:id="70" w:name="_Toc26823"/>
      <w:bookmarkStart w:id="71" w:name="_Toc22019"/>
      <w:bookmarkStart w:id="72" w:name="_Toc7207"/>
      <w:bookmarkStart w:id="73" w:name="_Toc5934"/>
      <w:bookmarkStart w:id="74" w:name="_Toc12811"/>
      <w:bookmarkStart w:id="75" w:name="_Toc344475122"/>
      <w:bookmarkStart w:id="76" w:name="_Toc76462330"/>
      <w:bookmarkStart w:id="77" w:name="_Toc106030885"/>
      <w:r>
        <w:rPr>
          <w:rFonts w:hint="eastAsia" w:ascii="仿宋" w:hAnsi="仿宋" w:eastAsia="仿宋" w:cs="仿宋"/>
          <w:color w:val="auto"/>
          <w:sz w:val="24"/>
          <w:szCs w:val="24"/>
          <w:lang w:val="en-US" w:eastAsia="zh-CN"/>
        </w:rPr>
        <w:t xml:space="preserve">        2、投标货品中无论多少种类的肉品均只有一个折扣报价，若中标后，所有肉品种类按照此报价折扣计算供货价格，若出现了多个报价，则为无效投标。</w:t>
      </w:r>
    </w:p>
    <w:p w14:paraId="1C9E2D5F">
      <w:pPr>
        <w:pStyle w:val="4"/>
        <w:spacing w:before="0" w:after="0" w:line="360" w:lineRule="auto"/>
        <w:rPr>
          <w:rFonts w:hint="eastAsia" w:ascii="仿宋" w:hAnsi="仿宋" w:eastAsia="仿宋" w:cs="仿宋"/>
          <w:b/>
          <w:color w:val="auto"/>
          <w:sz w:val="24"/>
          <w:szCs w:val="24"/>
        </w:rPr>
      </w:pPr>
      <w:bookmarkStart w:id="78" w:name="_Toc21409"/>
      <w:r>
        <w:rPr>
          <w:rFonts w:hint="eastAsia" w:ascii="仿宋" w:hAnsi="仿宋" w:eastAsia="仿宋" w:cs="仿宋"/>
          <w:b/>
          <w:color w:val="auto"/>
          <w:sz w:val="24"/>
          <w:szCs w:val="24"/>
        </w:rPr>
        <w:t>三、质量保证及售后服务</w:t>
      </w:r>
      <w:bookmarkEnd w:id="66"/>
      <w:bookmarkEnd w:id="67"/>
      <w:bookmarkEnd w:id="68"/>
      <w:bookmarkEnd w:id="69"/>
      <w:bookmarkEnd w:id="70"/>
      <w:bookmarkEnd w:id="71"/>
      <w:bookmarkEnd w:id="72"/>
      <w:bookmarkEnd w:id="73"/>
      <w:bookmarkEnd w:id="74"/>
      <w:bookmarkEnd w:id="78"/>
    </w:p>
    <w:p w14:paraId="6C9B866A">
      <w:pPr>
        <w:snapToGrid w:val="0"/>
        <w:spacing w:beforeLines="0" w:afterLines="0"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（一）产品质量保证</w:t>
      </w:r>
    </w:p>
    <w:p w14:paraId="59757546">
      <w:pPr>
        <w:numPr>
          <w:ilvl w:val="0"/>
          <w:numId w:val="3"/>
        </w:numPr>
        <w:spacing w:beforeLines="0" w:afterLines="0" w:line="360" w:lineRule="auto"/>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必须是经过质量监督管理部门检验并取得合格证明的产品，每批次产品提供时应交存货物质量合格证明或检验检疫证明等。</w:t>
      </w:r>
    </w:p>
    <w:p w14:paraId="288C922B">
      <w:pPr>
        <w:numPr>
          <w:ilvl w:val="0"/>
          <w:numId w:val="3"/>
        </w:numPr>
        <w:spacing w:beforeLines="0" w:afterLines="0" w:line="360" w:lineRule="auto"/>
        <w:ind w:firstLine="456" w:firstLineChars="200"/>
        <w:rPr>
          <w:rFonts w:hint="eastAsia" w:ascii="仿宋" w:hAnsi="仿宋" w:eastAsia="仿宋" w:cs="仿宋"/>
          <w:color w:val="auto"/>
          <w:sz w:val="24"/>
          <w:szCs w:val="24"/>
          <w:highlight w:val="none"/>
        </w:rPr>
      </w:pPr>
      <w:r>
        <w:rPr>
          <w:rFonts w:hint="eastAsia" w:ascii="仿宋" w:hAnsi="仿宋" w:eastAsia="仿宋" w:cs="仿宋"/>
          <w:color w:val="auto"/>
          <w:spacing w:val="-6"/>
          <w:kern w:val="0"/>
          <w:sz w:val="24"/>
          <w:szCs w:val="24"/>
          <w:highlight w:val="none"/>
        </w:rPr>
        <w:t>严禁提供死猪肉、瘟猪肉、白皮肉，严禁使用来源不明、腐烂、变质、未按规定进行检疫或检验检疫不合格的肉类。</w:t>
      </w:r>
      <w:r>
        <w:rPr>
          <w:rFonts w:hint="eastAsia" w:ascii="仿宋" w:hAnsi="仿宋" w:eastAsia="仿宋" w:cs="仿宋"/>
          <w:color w:val="auto"/>
          <w:sz w:val="24"/>
          <w:szCs w:val="24"/>
          <w:highlight w:val="none"/>
        </w:rPr>
        <w:t xml:space="preserve"> </w:t>
      </w:r>
    </w:p>
    <w:p w14:paraId="65156C7A">
      <w:pPr>
        <w:numPr>
          <w:ilvl w:val="0"/>
          <w:numId w:val="3"/>
        </w:numPr>
        <w:spacing w:beforeLines="0" w:afterLines="0" w:line="360" w:lineRule="auto"/>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所有肉品因验收货物时不能直接判断质量的，在使用过程中发现不合格产品，供应商作退货处理。</w:t>
      </w:r>
    </w:p>
    <w:p w14:paraId="23826BC6">
      <w:pPr>
        <w:numPr>
          <w:ilvl w:val="0"/>
          <w:numId w:val="3"/>
        </w:numPr>
        <w:spacing w:beforeLines="0" w:afterLines="0" w:line="360" w:lineRule="auto"/>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因质量问题发生的食物中毒等事故，由供应商承担经济赔偿责任以及全部法律责任。</w:t>
      </w:r>
    </w:p>
    <w:p w14:paraId="68BB5E34">
      <w:pPr>
        <w:snapToGrid w:val="0"/>
        <w:spacing w:beforeLines="0" w:afterLines="0"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（二）售后服务内容</w:t>
      </w:r>
    </w:p>
    <w:p w14:paraId="46DE6432">
      <w:pPr>
        <w:numPr>
          <w:ilvl w:val="0"/>
          <w:numId w:val="4"/>
        </w:numPr>
        <w:snapToGrid w:val="0"/>
        <w:spacing w:beforeLines="0" w:afterLines="0"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因市场特殊原因，个别食材品种不能及时提供，供应商应主动与采购人沟通协调，更换品种，满足需要。</w:t>
      </w:r>
    </w:p>
    <w:p w14:paraId="48AA8B9F">
      <w:pPr>
        <w:numPr>
          <w:ilvl w:val="0"/>
          <w:numId w:val="4"/>
        </w:numPr>
        <w:snapToGrid w:val="0"/>
        <w:spacing w:beforeLines="0" w:afterLines="0"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lang w:eastAsia="zh-CN"/>
        </w:rPr>
        <w:t>物品</w:t>
      </w:r>
      <w:r>
        <w:rPr>
          <w:rFonts w:hint="eastAsia" w:ascii="仿宋" w:hAnsi="仿宋" w:eastAsia="仿宋" w:cs="仿宋"/>
          <w:color w:val="auto"/>
          <w:kern w:val="0"/>
          <w:sz w:val="24"/>
          <w:szCs w:val="24"/>
          <w:highlight w:val="none"/>
        </w:rPr>
        <w:t>验收中不合格产品，供应商按照采购人规定时间内调换，应不影响正常工作。</w:t>
      </w:r>
    </w:p>
    <w:p w14:paraId="726DECD2">
      <w:pPr>
        <w:numPr>
          <w:ilvl w:val="0"/>
          <w:numId w:val="4"/>
        </w:numPr>
        <w:snapToGrid w:val="0"/>
        <w:spacing w:beforeLines="0" w:afterLines="0"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因配送</w:t>
      </w:r>
      <w:r>
        <w:rPr>
          <w:rFonts w:hint="eastAsia" w:ascii="仿宋" w:hAnsi="仿宋" w:eastAsia="仿宋" w:cs="仿宋"/>
          <w:color w:val="auto"/>
          <w:kern w:val="0"/>
          <w:sz w:val="24"/>
          <w:szCs w:val="24"/>
          <w:highlight w:val="none"/>
          <w:lang w:eastAsia="zh-CN"/>
        </w:rPr>
        <w:t>物品</w:t>
      </w:r>
      <w:r>
        <w:rPr>
          <w:rFonts w:hint="eastAsia" w:ascii="仿宋" w:hAnsi="仿宋" w:eastAsia="仿宋" w:cs="仿宋"/>
          <w:color w:val="auto"/>
          <w:kern w:val="0"/>
          <w:sz w:val="24"/>
          <w:szCs w:val="24"/>
          <w:highlight w:val="none"/>
        </w:rPr>
        <w:t>质量导致出现食品安全事故，供应商有义务协助处理相关事宜。</w:t>
      </w:r>
    </w:p>
    <w:p w14:paraId="76C4CF11">
      <w:pPr>
        <w:pStyle w:val="3"/>
        <w:numPr>
          <w:ilvl w:val="0"/>
          <w:numId w:val="5"/>
        </w:numPr>
        <w:adjustRightInd w:val="0"/>
        <w:snapToGrid w:val="0"/>
        <w:spacing w:before="0" w:after="0" w:line="360" w:lineRule="auto"/>
        <w:ind w:firstLine="482" w:firstLineChars="200"/>
        <w:rPr>
          <w:rFonts w:hint="eastAsia" w:ascii="仿宋" w:hAnsi="仿宋" w:eastAsia="仿宋" w:cs="仿宋"/>
          <w:b/>
          <w:color w:val="auto"/>
          <w:sz w:val="24"/>
          <w:szCs w:val="24"/>
          <w:highlight w:val="none"/>
          <w:lang w:val="en-US" w:eastAsia="zh-CN"/>
        </w:rPr>
      </w:pPr>
      <w:bookmarkStart w:id="79" w:name="_Toc11525"/>
      <w:r>
        <w:rPr>
          <w:rFonts w:hint="eastAsia" w:ascii="仿宋" w:hAnsi="仿宋" w:eastAsia="仿宋" w:cs="仿宋"/>
          <w:b/>
          <w:color w:val="auto"/>
          <w:sz w:val="24"/>
          <w:szCs w:val="24"/>
          <w:highlight w:val="none"/>
          <w:lang w:val="en-US" w:eastAsia="zh-CN"/>
        </w:rPr>
        <w:t>考核要求</w:t>
      </w:r>
      <w:bookmarkEnd w:id="79"/>
    </w:p>
    <w:p w14:paraId="45763F0B">
      <w:pPr>
        <w:snapToGrid w:val="0"/>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1、成交供应商对扣款项目应立即着手整改，整改完毕由采购人验收合格后不予扣款；验收不合格的，当月按照该扣款金额进行扣减采购费用；3次整改不合格，采购人处以双倍罚款，并有权解除合同。</w:t>
      </w:r>
    </w:p>
    <w:p w14:paraId="6B3A9A89">
      <w:pPr>
        <w:snapToGrid w:val="0"/>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2、成交供应商工作不负责或达不到合同约定内容和要求，月扣款金额合计超过 5000元，当月采购费用暂不支付，次月扣款合计未超过 5000元，与次月采购费用一并支付;两月扣款金额均超过5000元，两月采购费用暂不支付，第三月扣款金额未超过5000元的，与第三月采购费用一并支付;连续三个月扣款金额均超过 5000 元，采购人有权单方面解除合同，不支付相应月份的采购费用，并要求中标供应商承担相应损失。</w:t>
      </w:r>
    </w:p>
    <w:p w14:paraId="62368C51">
      <w:pPr>
        <w:snapToGrid w:val="0"/>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3、采购人对供货商食材不定期进行送检，产品不合格的，发现1起扣1000元。</w:t>
      </w:r>
    </w:p>
    <w:p w14:paraId="61F57A46">
      <w:pPr>
        <w:snapToGrid w:val="0"/>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4、发生经第三方具备国家资质机构确认的因食材质量导致的人员中毒事件，除必须承担其相应的医疗费用外，同时解除双方合约关系，同时按相关法律法规承担相应的责任。</w:t>
      </w:r>
    </w:p>
    <w:p w14:paraId="74FB7A6F">
      <w:pPr>
        <w:snapToGrid w:val="0"/>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5、考评细则</w:t>
      </w:r>
    </w:p>
    <w:p w14:paraId="7C854691">
      <w:pPr>
        <w:snapToGrid w:val="0"/>
        <w:spacing w:line="360" w:lineRule="auto"/>
        <w:ind w:firstLine="720" w:firstLineChars="3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5.1以月为单位进行考核，考核基准分为100分，95分（含95分）以上为“合格”等级（小数点后数字四舍五入,下同）；</w:t>
      </w:r>
    </w:p>
    <w:p w14:paraId="1B1DB475">
      <w:pPr>
        <w:snapToGrid w:val="0"/>
        <w:spacing w:line="360" w:lineRule="auto"/>
        <w:ind w:firstLine="720" w:firstLineChars="3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5.2达到90分（含90分）以上且低于95分（不含95分）的为“基本合格”等级；</w:t>
      </w:r>
    </w:p>
    <w:p w14:paraId="3329817B">
      <w:pPr>
        <w:snapToGrid w:val="0"/>
        <w:spacing w:line="360" w:lineRule="auto"/>
        <w:ind w:firstLine="720" w:firstLineChars="3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5.3达到85分（含85分）以上且低于90分（不含90分）的为“较差”等级，以90分为基准分值，每差1分从当月结算款中直接扣除1000元；</w:t>
      </w:r>
    </w:p>
    <w:p w14:paraId="3CBBE821">
      <w:pPr>
        <w:snapToGrid w:val="0"/>
        <w:spacing w:line="360" w:lineRule="auto"/>
        <w:ind w:firstLine="720" w:firstLineChars="3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5.4低于85分（不含85分）为“差”等级，以90分为基准分值，每差1分从当月结算款项中直接扣除1000元；</w:t>
      </w:r>
    </w:p>
    <w:p w14:paraId="0610C53E">
      <w:pPr>
        <w:snapToGrid w:val="0"/>
        <w:spacing w:line="360" w:lineRule="auto"/>
        <w:ind w:firstLine="720" w:firstLineChars="3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5.5一年内累计三次单月考核得分低于85分（不含85分），采购人有权终止合同，并扣除履约保证金。</w:t>
      </w:r>
    </w:p>
    <w:p w14:paraId="1BA11381">
      <w:pPr>
        <w:snapToGrid w:val="0"/>
        <w:spacing w:line="360" w:lineRule="auto"/>
        <w:ind w:firstLine="482" w:firstLineChars="200"/>
        <w:rPr>
          <w:rFonts w:hint="eastAsia" w:ascii="仿宋" w:hAnsi="仿宋" w:eastAsia="仿宋" w:cs="仿宋"/>
          <w:color w:val="auto"/>
          <w:sz w:val="24"/>
          <w:szCs w:val="24"/>
          <w:lang w:val="en-US" w:eastAsia="zh-CN"/>
        </w:rPr>
      </w:pPr>
      <w:r>
        <w:rPr>
          <w:rFonts w:hint="eastAsia" w:ascii="仿宋" w:hAnsi="仿宋" w:eastAsia="仿宋" w:cs="仿宋"/>
          <w:b/>
          <w:bCs/>
          <w:color w:val="auto"/>
          <w:sz w:val="24"/>
          <w:szCs w:val="24"/>
          <w:lang w:val="en-US" w:eastAsia="zh-CN"/>
        </w:rPr>
        <w:t>具体考核细则如下：</w:t>
      </w:r>
    </w:p>
    <w:tbl>
      <w:tblPr>
        <w:tblStyle w:val="15"/>
        <w:tblW w:w="499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25"/>
        <w:gridCol w:w="1668"/>
        <w:gridCol w:w="6722"/>
      </w:tblGrid>
      <w:tr w14:paraId="4DE3FF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 w:hRule="atLeast"/>
        </w:trPr>
        <w:tc>
          <w:tcPr>
            <w:tcW w:w="637" w:type="pct"/>
            <w:tcBorders>
              <w:tl2br w:val="nil"/>
              <w:tr2bl w:val="nil"/>
            </w:tcBorders>
            <w:noWrap w:val="0"/>
            <w:vAlign w:val="center"/>
          </w:tcPr>
          <w:p w14:paraId="76B8DCA0">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项目</w:t>
            </w:r>
          </w:p>
        </w:tc>
        <w:tc>
          <w:tcPr>
            <w:tcW w:w="867" w:type="pct"/>
            <w:tcBorders>
              <w:tl2br w:val="nil"/>
              <w:tr2bl w:val="nil"/>
            </w:tcBorders>
            <w:noWrap w:val="0"/>
            <w:vAlign w:val="center"/>
          </w:tcPr>
          <w:p w14:paraId="20D27318">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考核指标</w:t>
            </w:r>
          </w:p>
        </w:tc>
        <w:tc>
          <w:tcPr>
            <w:tcW w:w="3494" w:type="pct"/>
            <w:tcBorders>
              <w:tl2br w:val="nil"/>
              <w:tr2bl w:val="nil"/>
            </w:tcBorders>
            <w:noWrap w:val="0"/>
            <w:vAlign w:val="center"/>
          </w:tcPr>
          <w:p w14:paraId="1D8A1554">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考核说明</w:t>
            </w:r>
          </w:p>
        </w:tc>
      </w:tr>
      <w:tr w14:paraId="6D15F6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7" w:hRule="atLeast"/>
        </w:trPr>
        <w:tc>
          <w:tcPr>
            <w:tcW w:w="637" w:type="pct"/>
            <w:vMerge w:val="restart"/>
            <w:tcBorders>
              <w:tl2br w:val="nil"/>
              <w:tr2bl w:val="nil"/>
            </w:tcBorders>
            <w:noWrap w:val="0"/>
            <w:vAlign w:val="center"/>
          </w:tcPr>
          <w:p w14:paraId="17E700E4">
            <w:pPr>
              <w:keepNext w:val="0"/>
              <w:keepLines w:val="0"/>
              <w:suppressLineNumbers w:val="0"/>
              <w:snapToGrid w:val="0"/>
              <w:spacing w:before="0" w:beforeAutospacing="0" w:after="0" w:afterAutospacing="0" w:line="360" w:lineRule="auto"/>
              <w:ind w:left="0" w:right="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货物质量</w:t>
            </w:r>
          </w:p>
        </w:tc>
        <w:tc>
          <w:tcPr>
            <w:tcW w:w="867" w:type="pct"/>
            <w:tcBorders>
              <w:tl2br w:val="nil"/>
              <w:tr2bl w:val="nil"/>
            </w:tcBorders>
            <w:noWrap w:val="0"/>
            <w:vAlign w:val="center"/>
          </w:tcPr>
          <w:p w14:paraId="223E9A92">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配送货物质量合格</w:t>
            </w:r>
          </w:p>
        </w:tc>
        <w:tc>
          <w:tcPr>
            <w:tcW w:w="3494" w:type="pct"/>
            <w:tcBorders>
              <w:tl2br w:val="nil"/>
              <w:tr2bl w:val="nil"/>
            </w:tcBorders>
            <w:noWrap w:val="0"/>
            <w:vAlign w:val="center"/>
          </w:tcPr>
          <w:p w14:paraId="3F3392FB">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出现货物腐烂变质，霉变等质量问题的，每个单品一次扣5分并做退货处理；出现其他质量问题的，每个单品一次扣1分，出现以次充好、夹带的，每个单品一次扣2分。</w:t>
            </w:r>
          </w:p>
        </w:tc>
      </w:tr>
      <w:tr w14:paraId="0A95DB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trPr>
        <w:tc>
          <w:tcPr>
            <w:tcW w:w="637" w:type="pct"/>
            <w:vMerge w:val="continue"/>
            <w:tcBorders>
              <w:tl2br w:val="nil"/>
              <w:tr2bl w:val="nil"/>
            </w:tcBorders>
            <w:noWrap w:val="0"/>
            <w:vAlign w:val="center"/>
          </w:tcPr>
          <w:p w14:paraId="50E252A8">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p>
        </w:tc>
        <w:tc>
          <w:tcPr>
            <w:tcW w:w="867" w:type="pct"/>
            <w:tcBorders>
              <w:tl2br w:val="nil"/>
              <w:tr2bl w:val="nil"/>
            </w:tcBorders>
            <w:noWrap w:val="0"/>
            <w:vAlign w:val="center"/>
          </w:tcPr>
          <w:p w14:paraId="46C61A59">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配送品种、品牌、规格、品质、含水（冰）量等符合约定标准的货物</w:t>
            </w:r>
          </w:p>
        </w:tc>
        <w:tc>
          <w:tcPr>
            <w:tcW w:w="3494" w:type="pct"/>
            <w:tcBorders>
              <w:tl2br w:val="nil"/>
              <w:tr2bl w:val="nil"/>
            </w:tcBorders>
            <w:noWrap w:val="0"/>
            <w:vAlign w:val="center"/>
          </w:tcPr>
          <w:p w14:paraId="43BF4B3E">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未经同意不得随意更换货物的品牌、品种、规格、型号等，随意更换的，每个单品一次扣2分并做退货处理；冻品按照约定要求无冰或少冰，如超过约定含冰量的，每个单品一次扣2分并做退货处理；成交供应商以无货品、无利润为由，拒绝配送货物的，每个单品一次扣3分。</w:t>
            </w:r>
          </w:p>
        </w:tc>
      </w:tr>
      <w:tr w14:paraId="37D38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8" w:hRule="atLeast"/>
        </w:trPr>
        <w:tc>
          <w:tcPr>
            <w:tcW w:w="637" w:type="pct"/>
            <w:vMerge w:val="continue"/>
            <w:tcBorders>
              <w:tl2br w:val="nil"/>
              <w:tr2bl w:val="nil"/>
            </w:tcBorders>
            <w:noWrap w:val="0"/>
            <w:vAlign w:val="center"/>
          </w:tcPr>
          <w:p w14:paraId="06A41AA9">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p>
        </w:tc>
        <w:tc>
          <w:tcPr>
            <w:tcW w:w="867" w:type="pct"/>
            <w:tcBorders>
              <w:tl2br w:val="nil"/>
              <w:tr2bl w:val="nil"/>
            </w:tcBorders>
            <w:noWrap w:val="0"/>
            <w:vAlign w:val="center"/>
          </w:tcPr>
          <w:p w14:paraId="4A729A67">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配送数量浮动标准</w:t>
            </w:r>
          </w:p>
        </w:tc>
        <w:tc>
          <w:tcPr>
            <w:tcW w:w="3494" w:type="pct"/>
            <w:tcBorders>
              <w:tl2br w:val="nil"/>
              <w:tr2bl w:val="nil"/>
            </w:tcBorders>
            <w:noWrap w:val="0"/>
            <w:vAlign w:val="center"/>
          </w:tcPr>
          <w:p w14:paraId="40B708B1">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一般货物实际供应量在计划数量基础上，上下浮动不得超过±5%，如超过相应比例视作违规配送，每个单品一次扣1分（特殊情况经采购人同意的除外）。</w:t>
            </w:r>
          </w:p>
        </w:tc>
      </w:tr>
      <w:tr w14:paraId="48C8B5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8" w:hRule="atLeast"/>
        </w:trPr>
        <w:tc>
          <w:tcPr>
            <w:tcW w:w="637" w:type="pct"/>
            <w:vMerge w:val="restart"/>
            <w:tcBorders>
              <w:tl2br w:val="nil"/>
              <w:tr2bl w:val="nil"/>
            </w:tcBorders>
            <w:noWrap w:val="0"/>
            <w:vAlign w:val="center"/>
          </w:tcPr>
          <w:p w14:paraId="41E87DFC">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服务质量</w:t>
            </w:r>
          </w:p>
        </w:tc>
        <w:tc>
          <w:tcPr>
            <w:tcW w:w="867" w:type="pct"/>
            <w:tcBorders>
              <w:tl2br w:val="nil"/>
              <w:tr2bl w:val="nil"/>
            </w:tcBorders>
            <w:noWrap w:val="0"/>
            <w:vAlign w:val="center"/>
          </w:tcPr>
          <w:p w14:paraId="02BD1DC7">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配送时间</w:t>
            </w:r>
          </w:p>
        </w:tc>
        <w:tc>
          <w:tcPr>
            <w:tcW w:w="3494" w:type="pct"/>
            <w:tcBorders>
              <w:tl2br w:val="nil"/>
              <w:tr2bl w:val="nil"/>
            </w:tcBorders>
            <w:noWrap w:val="0"/>
            <w:vAlign w:val="center"/>
          </w:tcPr>
          <w:p w14:paraId="4B8B769F">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每日所需物品须于当日早上6：00时前送达，应急采购任务（突发事件保障）必须按照约定时间送达，迟到30分钟内，每次扣1分；迟到30分钟以上每次扣2分；影响开餐的（含因时间关系更换菜品、改变制作方式、延误开餐等情况）一次扣3分。</w:t>
            </w:r>
          </w:p>
        </w:tc>
      </w:tr>
      <w:tr w14:paraId="5B6BE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9" w:hRule="atLeast"/>
        </w:trPr>
        <w:tc>
          <w:tcPr>
            <w:tcW w:w="637" w:type="pct"/>
            <w:vMerge w:val="continue"/>
            <w:tcBorders>
              <w:tl2br w:val="nil"/>
              <w:tr2bl w:val="nil"/>
            </w:tcBorders>
            <w:noWrap w:val="0"/>
            <w:vAlign w:val="center"/>
          </w:tcPr>
          <w:p w14:paraId="1EF0AA30">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p>
        </w:tc>
        <w:tc>
          <w:tcPr>
            <w:tcW w:w="867" w:type="pct"/>
            <w:tcBorders>
              <w:tl2br w:val="nil"/>
              <w:tr2bl w:val="nil"/>
            </w:tcBorders>
            <w:noWrap w:val="0"/>
            <w:vAlign w:val="center"/>
          </w:tcPr>
          <w:p w14:paraId="70519178">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漏送货情况，退换、补货情况</w:t>
            </w:r>
          </w:p>
        </w:tc>
        <w:tc>
          <w:tcPr>
            <w:tcW w:w="3494" w:type="pct"/>
            <w:tcBorders>
              <w:tl2br w:val="nil"/>
              <w:tr2bl w:val="nil"/>
            </w:tcBorders>
            <w:noWrap w:val="0"/>
            <w:vAlign w:val="center"/>
          </w:tcPr>
          <w:p w14:paraId="46FD5380">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漏送货在不影响开餐的情况下，每周第一次做警告提醒，第二次起每次扣1分，超过三个品种的每次扣2分；因漏送货、退货等原因导致货物不足的，必须按照规定时间补足货物，因未补足货物影响开餐的（含因时间关系更换菜品、改变制作方式、延误开餐等情况）一次扣4分。</w:t>
            </w:r>
          </w:p>
        </w:tc>
      </w:tr>
      <w:tr w14:paraId="23924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7" w:hRule="atLeast"/>
        </w:trPr>
        <w:tc>
          <w:tcPr>
            <w:tcW w:w="637" w:type="pct"/>
            <w:tcBorders>
              <w:tl2br w:val="nil"/>
              <w:tr2bl w:val="nil"/>
            </w:tcBorders>
            <w:noWrap w:val="0"/>
            <w:vAlign w:val="center"/>
          </w:tcPr>
          <w:p w14:paraId="4E089301">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人员管理</w:t>
            </w:r>
          </w:p>
        </w:tc>
        <w:tc>
          <w:tcPr>
            <w:tcW w:w="867" w:type="pct"/>
            <w:tcBorders>
              <w:tl2br w:val="nil"/>
              <w:tr2bl w:val="nil"/>
            </w:tcBorders>
            <w:noWrap w:val="0"/>
            <w:vAlign w:val="center"/>
          </w:tcPr>
          <w:p w14:paraId="69A8927F">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员工健康、个人卫生管理。</w:t>
            </w:r>
          </w:p>
        </w:tc>
        <w:tc>
          <w:tcPr>
            <w:tcW w:w="3494" w:type="pct"/>
            <w:tcBorders>
              <w:tl2br w:val="nil"/>
              <w:tr2bl w:val="nil"/>
            </w:tcBorders>
            <w:noWrap w:val="0"/>
            <w:vAlign w:val="center"/>
          </w:tcPr>
          <w:p w14:paraId="1A23A4A4">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员工需衣着整洁，个人清洁卫生干净，不符合要求一次扣1分；抽检配送员工的《健康证》，如没有的一人次扣2分，并劝离工作岗位。</w:t>
            </w:r>
          </w:p>
        </w:tc>
      </w:tr>
      <w:tr w14:paraId="719F5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trPr>
        <w:tc>
          <w:tcPr>
            <w:tcW w:w="637" w:type="pct"/>
            <w:vMerge w:val="restart"/>
            <w:tcBorders>
              <w:tl2br w:val="nil"/>
              <w:tr2bl w:val="nil"/>
            </w:tcBorders>
            <w:noWrap w:val="0"/>
            <w:vAlign w:val="center"/>
          </w:tcPr>
          <w:p w14:paraId="5459D08E">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其他</w:t>
            </w:r>
          </w:p>
        </w:tc>
        <w:tc>
          <w:tcPr>
            <w:tcW w:w="867" w:type="pct"/>
            <w:tcBorders>
              <w:tl2br w:val="nil"/>
              <w:tr2bl w:val="nil"/>
            </w:tcBorders>
            <w:noWrap w:val="0"/>
            <w:vAlign w:val="center"/>
          </w:tcPr>
          <w:p w14:paraId="69C0D10B">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应急任务</w:t>
            </w:r>
          </w:p>
        </w:tc>
        <w:tc>
          <w:tcPr>
            <w:tcW w:w="3494" w:type="pct"/>
            <w:tcBorders>
              <w:tl2br w:val="nil"/>
              <w:tr2bl w:val="nil"/>
            </w:tcBorders>
            <w:noWrap w:val="0"/>
            <w:vAlign w:val="center"/>
          </w:tcPr>
          <w:p w14:paraId="0E6D5B43">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未按合同约定完成应急保障任务，每次扣10分。</w:t>
            </w:r>
          </w:p>
        </w:tc>
      </w:tr>
      <w:tr w14:paraId="32DABD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8" w:hRule="atLeast"/>
        </w:trPr>
        <w:tc>
          <w:tcPr>
            <w:tcW w:w="637" w:type="pct"/>
            <w:vMerge w:val="continue"/>
            <w:tcBorders>
              <w:tl2br w:val="nil"/>
              <w:tr2bl w:val="nil"/>
            </w:tcBorders>
            <w:noWrap w:val="0"/>
            <w:vAlign w:val="center"/>
          </w:tcPr>
          <w:p w14:paraId="3732024D">
            <w:pPr>
              <w:keepNext w:val="0"/>
              <w:keepLines w:val="0"/>
              <w:suppressLineNumbers w:val="0"/>
              <w:snapToGrid w:val="0"/>
              <w:spacing w:before="0" w:beforeAutospacing="0" w:after="0" w:afterAutospacing="0" w:line="360" w:lineRule="auto"/>
              <w:ind w:left="0" w:right="0" w:firstLine="480" w:firstLineChars="200"/>
              <w:jc w:val="center"/>
              <w:rPr>
                <w:rFonts w:hint="eastAsia" w:ascii="仿宋" w:hAnsi="仿宋" w:eastAsia="仿宋" w:cs="仿宋"/>
                <w:color w:val="auto"/>
                <w:sz w:val="24"/>
                <w:szCs w:val="24"/>
                <w:lang w:val="en-US" w:eastAsia="zh-CN"/>
              </w:rPr>
            </w:pPr>
          </w:p>
        </w:tc>
        <w:tc>
          <w:tcPr>
            <w:tcW w:w="867" w:type="pct"/>
            <w:tcBorders>
              <w:tl2br w:val="nil"/>
              <w:tr2bl w:val="nil"/>
            </w:tcBorders>
            <w:noWrap w:val="0"/>
            <w:vAlign w:val="center"/>
          </w:tcPr>
          <w:p w14:paraId="58DBA4CC">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配送物品</w:t>
            </w:r>
          </w:p>
        </w:tc>
        <w:tc>
          <w:tcPr>
            <w:tcW w:w="3494" w:type="pct"/>
            <w:tcBorders>
              <w:tl2br w:val="nil"/>
              <w:tr2bl w:val="nil"/>
            </w:tcBorders>
            <w:noWrap w:val="0"/>
            <w:vAlign w:val="center"/>
          </w:tcPr>
          <w:p w14:paraId="74F77DB5">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一般性物品，急需物品按采购人要求在约定时间内采购到位，每个单品逾期一天扣2分，最多扣10分；特殊保障物品必须在规定时间内采购到位，如延误，每个单品一次扣2分。采购人提供配送物品样品的或指定采购地点的，配送商须按要求采购，未按要求采购的，一次扣2分。大型商超以外的货物，所报价格不得虚高（偏离市场价20%以上），虚假报价一经查实，每查实一个单品扣1分。</w:t>
            </w:r>
          </w:p>
        </w:tc>
      </w:tr>
      <w:tr w14:paraId="4519C9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9" w:hRule="atLeast"/>
        </w:trPr>
        <w:tc>
          <w:tcPr>
            <w:tcW w:w="637" w:type="pct"/>
            <w:vMerge w:val="continue"/>
            <w:tcBorders>
              <w:tl2br w:val="nil"/>
              <w:tr2bl w:val="nil"/>
            </w:tcBorders>
            <w:noWrap w:val="0"/>
            <w:vAlign w:val="center"/>
          </w:tcPr>
          <w:p w14:paraId="709CF54E">
            <w:pPr>
              <w:keepNext w:val="0"/>
              <w:keepLines w:val="0"/>
              <w:suppressLineNumbers w:val="0"/>
              <w:snapToGrid w:val="0"/>
              <w:spacing w:before="0" w:beforeAutospacing="0" w:after="0" w:afterAutospacing="0" w:line="360" w:lineRule="auto"/>
              <w:ind w:left="0" w:right="0" w:firstLine="480" w:firstLineChars="200"/>
              <w:jc w:val="center"/>
              <w:rPr>
                <w:rFonts w:hint="eastAsia" w:ascii="仿宋" w:hAnsi="仿宋" w:eastAsia="仿宋" w:cs="仿宋"/>
                <w:color w:val="auto"/>
                <w:sz w:val="24"/>
                <w:szCs w:val="24"/>
                <w:lang w:val="en-US" w:eastAsia="zh-CN"/>
              </w:rPr>
            </w:pPr>
          </w:p>
        </w:tc>
        <w:tc>
          <w:tcPr>
            <w:tcW w:w="867" w:type="pct"/>
            <w:tcBorders>
              <w:tl2br w:val="nil"/>
              <w:tr2bl w:val="nil"/>
            </w:tcBorders>
            <w:noWrap w:val="0"/>
            <w:vAlign w:val="center"/>
          </w:tcPr>
          <w:p w14:paraId="0A1742E0">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履行合同约定情况</w:t>
            </w:r>
          </w:p>
        </w:tc>
        <w:tc>
          <w:tcPr>
            <w:tcW w:w="3494" w:type="pct"/>
            <w:tcBorders>
              <w:tl2br w:val="nil"/>
              <w:tr2bl w:val="nil"/>
            </w:tcBorders>
            <w:noWrap w:val="0"/>
            <w:vAlign w:val="center"/>
          </w:tcPr>
          <w:p w14:paraId="27303279">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合同、采购文件、供应商承诺书等约定或承诺的相关事项，未完成一项每次扣2分。</w:t>
            </w:r>
          </w:p>
        </w:tc>
      </w:tr>
      <w:tr w14:paraId="272AA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trPr>
        <w:tc>
          <w:tcPr>
            <w:tcW w:w="637" w:type="pct"/>
            <w:vMerge w:val="continue"/>
            <w:tcBorders>
              <w:tl2br w:val="nil"/>
              <w:tr2bl w:val="nil"/>
            </w:tcBorders>
            <w:noWrap w:val="0"/>
            <w:vAlign w:val="center"/>
          </w:tcPr>
          <w:p w14:paraId="5A52F9AB">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p>
        </w:tc>
        <w:tc>
          <w:tcPr>
            <w:tcW w:w="867" w:type="pct"/>
            <w:tcBorders>
              <w:tl2br w:val="nil"/>
              <w:tr2bl w:val="nil"/>
            </w:tcBorders>
            <w:noWrap w:val="0"/>
            <w:vAlign w:val="center"/>
          </w:tcPr>
          <w:p w14:paraId="7644DD1A">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其他</w:t>
            </w:r>
          </w:p>
        </w:tc>
        <w:tc>
          <w:tcPr>
            <w:tcW w:w="3494" w:type="pct"/>
            <w:tcBorders>
              <w:tl2br w:val="nil"/>
              <w:tr2bl w:val="nil"/>
            </w:tcBorders>
            <w:noWrap w:val="0"/>
            <w:vAlign w:val="center"/>
          </w:tcPr>
          <w:p w14:paraId="42428DC9">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违反采购人管理规定被通报一次扣5分；造成恶劣影响一次扣20分。</w:t>
            </w:r>
          </w:p>
        </w:tc>
      </w:tr>
      <w:tr w14:paraId="5EC8E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 w:hRule="atLeast"/>
        </w:trPr>
        <w:tc>
          <w:tcPr>
            <w:tcW w:w="637" w:type="pct"/>
            <w:tcBorders>
              <w:tl2br w:val="nil"/>
              <w:tr2bl w:val="nil"/>
            </w:tcBorders>
            <w:noWrap w:val="0"/>
            <w:vAlign w:val="center"/>
          </w:tcPr>
          <w:p w14:paraId="5BE00F2D">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加分项目</w:t>
            </w:r>
          </w:p>
        </w:tc>
        <w:tc>
          <w:tcPr>
            <w:tcW w:w="867" w:type="pct"/>
            <w:tcBorders>
              <w:tl2br w:val="nil"/>
              <w:tr2bl w:val="nil"/>
            </w:tcBorders>
            <w:noWrap w:val="0"/>
            <w:vAlign w:val="center"/>
          </w:tcPr>
          <w:p w14:paraId="6DD7A358">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应急任务</w:t>
            </w:r>
          </w:p>
        </w:tc>
        <w:tc>
          <w:tcPr>
            <w:tcW w:w="3494" w:type="pct"/>
            <w:tcBorders>
              <w:tl2br w:val="nil"/>
              <w:tr2bl w:val="nil"/>
            </w:tcBorders>
            <w:noWrap w:val="0"/>
            <w:vAlign w:val="center"/>
          </w:tcPr>
          <w:p w14:paraId="6BD16659">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顺利完成1小时内的应急保障任务，每次加4分；顺利完成2小时以内应急保障任务，每次加2分；顺利完成综合（大型）保障任务每次加4分。</w:t>
            </w:r>
          </w:p>
        </w:tc>
      </w:tr>
    </w:tbl>
    <w:p w14:paraId="6C8BEBCF">
      <w:pPr>
        <w:widowControl w:val="0"/>
        <w:numPr>
          <w:ilvl w:val="0"/>
          <w:numId w:val="0"/>
        </w:numPr>
        <w:jc w:val="both"/>
        <w:rPr>
          <w:rFonts w:hint="eastAsia"/>
          <w:color w:val="auto"/>
          <w:lang w:val="en-US" w:eastAsia="zh-CN"/>
        </w:rPr>
      </w:pPr>
    </w:p>
    <w:p w14:paraId="4C730370">
      <w:pPr>
        <w:pStyle w:val="3"/>
        <w:adjustRightInd w:val="0"/>
        <w:snapToGrid w:val="0"/>
        <w:spacing w:before="0" w:after="0" w:line="360" w:lineRule="auto"/>
        <w:ind w:firstLine="482" w:firstLineChars="200"/>
        <w:rPr>
          <w:rFonts w:hint="eastAsia" w:ascii="仿宋" w:hAnsi="仿宋" w:eastAsia="仿宋" w:cs="仿宋"/>
          <w:color w:val="auto"/>
          <w:sz w:val="24"/>
          <w:szCs w:val="24"/>
          <w:highlight w:val="none"/>
        </w:rPr>
      </w:pPr>
      <w:bookmarkStart w:id="80" w:name="_Toc23499"/>
      <w:bookmarkStart w:id="81" w:name="_Toc31058"/>
      <w:bookmarkStart w:id="82" w:name="_Toc14741"/>
      <w:bookmarkStart w:id="83" w:name="_Toc12732"/>
      <w:bookmarkStart w:id="84" w:name="_Toc4423"/>
      <w:bookmarkStart w:id="85" w:name="_Toc6945"/>
      <w:r>
        <w:rPr>
          <w:rFonts w:hint="eastAsia" w:ascii="仿宋" w:hAnsi="仿宋" w:eastAsia="仿宋" w:cs="仿宋"/>
          <w:color w:val="auto"/>
          <w:sz w:val="24"/>
          <w:szCs w:val="24"/>
          <w:highlight w:val="none"/>
          <w:lang w:val="en-US" w:eastAsia="zh-CN"/>
        </w:rPr>
        <w:t>五</w:t>
      </w:r>
      <w:r>
        <w:rPr>
          <w:rFonts w:hint="eastAsia" w:ascii="仿宋" w:hAnsi="仿宋" w:eastAsia="仿宋" w:cs="仿宋"/>
          <w:color w:val="auto"/>
          <w:sz w:val="24"/>
          <w:szCs w:val="24"/>
          <w:highlight w:val="none"/>
        </w:rPr>
        <w:t>、</w:t>
      </w:r>
      <w:bookmarkEnd w:id="75"/>
      <w:bookmarkEnd w:id="76"/>
      <w:bookmarkEnd w:id="77"/>
      <w:r>
        <w:rPr>
          <w:rFonts w:hint="eastAsia" w:ascii="仿宋" w:hAnsi="仿宋" w:eastAsia="仿宋" w:cs="仿宋"/>
          <w:color w:val="auto"/>
          <w:sz w:val="24"/>
          <w:szCs w:val="24"/>
          <w:highlight w:val="none"/>
        </w:rPr>
        <w:t>履约保证金</w:t>
      </w:r>
      <w:bookmarkEnd w:id="80"/>
      <w:bookmarkEnd w:id="81"/>
      <w:bookmarkEnd w:id="82"/>
      <w:bookmarkEnd w:id="83"/>
      <w:bookmarkEnd w:id="84"/>
      <w:bookmarkEnd w:id="85"/>
    </w:p>
    <w:p w14:paraId="1A613F9D">
      <w:pPr>
        <w:pageBreakBefore w:val="0"/>
        <w:widowControl w:val="0"/>
        <w:kinsoku/>
        <w:wordWrap/>
        <w:overflowPunct/>
        <w:topLinePunct w:val="0"/>
        <w:autoSpaceDE/>
        <w:autoSpaceDN/>
        <w:bidi w:val="0"/>
        <w:snapToGrid w:val="0"/>
        <w:spacing w:line="400" w:lineRule="exact"/>
        <w:ind w:firstLine="480" w:firstLineChars="200"/>
        <w:rPr>
          <w:rFonts w:hint="eastAsia" w:ascii="仿宋" w:hAnsi="仿宋" w:eastAsia="仿宋" w:cs="仿宋"/>
          <w:b w:val="0"/>
          <w:color w:val="auto"/>
          <w:kern w:val="2"/>
          <w:sz w:val="24"/>
          <w:szCs w:val="24"/>
          <w:highlight w:val="none"/>
          <w:lang w:val="en-US" w:eastAsia="zh-CN" w:bidi="ar-SA"/>
        </w:rPr>
      </w:pPr>
      <w:bookmarkStart w:id="86" w:name="OLE_LINK4"/>
      <w:bookmarkStart w:id="87" w:name="OLE_LINK3"/>
      <w:r>
        <w:rPr>
          <w:rFonts w:hint="eastAsia" w:ascii="仿宋" w:hAnsi="仿宋" w:eastAsia="仿宋" w:cs="仿宋"/>
          <w:b w:val="0"/>
          <w:bCs w:val="0"/>
          <w:color w:val="auto"/>
          <w:kern w:val="0"/>
          <w:sz w:val="24"/>
          <w:szCs w:val="24"/>
          <w:highlight w:val="none"/>
          <w:lang w:eastAsia="zh-CN"/>
        </w:rPr>
        <w:t>（一）中标人</w:t>
      </w:r>
      <w:r>
        <w:rPr>
          <w:rFonts w:hint="eastAsia" w:ascii="仿宋" w:hAnsi="仿宋" w:eastAsia="仿宋" w:cs="仿宋"/>
          <w:b w:val="0"/>
          <w:bCs w:val="0"/>
          <w:color w:val="auto"/>
          <w:kern w:val="0"/>
          <w:sz w:val="24"/>
          <w:szCs w:val="24"/>
          <w:highlight w:val="none"/>
        </w:rPr>
        <w:t>在签订合同前向采购人按照规定</w:t>
      </w:r>
      <w:r>
        <w:rPr>
          <w:rFonts w:hint="eastAsia" w:ascii="仿宋" w:hAnsi="仿宋" w:eastAsia="仿宋" w:cs="仿宋"/>
          <w:b w:val="0"/>
          <w:bCs w:val="0"/>
          <w:color w:val="auto"/>
          <w:kern w:val="0"/>
          <w:sz w:val="24"/>
          <w:szCs w:val="24"/>
          <w:highlight w:val="none"/>
          <w:lang w:eastAsia="zh-CN"/>
        </w:rPr>
        <w:t>金额缴纳</w:t>
      </w:r>
      <w:r>
        <w:rPr>
          <w:rFonts w:hint="eastAsia" w:ascii="仿宋" w:hAnsi="仿宋" w:eastAsia="仿宋" w:cs="仿宋"/>
          <w:b w:val="0"/>
          <w:bCs w:val="0"/>
          <w:color w:val="auto"/>
          <w:kern w:val="0"/>
          <w:sz w:val="24"/>
          <w:szCs w:val="24"/>
          <w:highlight w:val="none"/>
        </w:rPr>
        <w:t>履约保证金，履约保证金：</w:t>
      </w:r>
      <w:r>
        <w:rPr>
          <w:rFonts w:hint="eastAsia" w:ascii="仿宋" w:hAnsi="仿宋" w:eastAsia="仿宋" w:cs="仿宋"/>
          <w:b w:val="0"/>
          <w:bCs w:val="0"/>
          <w:color w:val="auto"/>
          <w:kern w:val="0"/>
          <w:sz w:val="24"/>
          <w:szCs w:val="24"/>
          <w:highlight w:val="none"/>
          <w:u w:val="none"/>
          <w:lang w:val="en-US" w:eastAsia="zh-CN"/>
        </w:rPr>
        <w:t>4</w:t>
      </w:r>
      <w:r>
        <w:rPr>
          <w:rFonts w:hint="eastAsia" w:ascii="仿宋" w:hAnsi="仿宋" w:eastAsia="仿宋" w:cs="仿宋"/>
          <w:b w:val="0"/>
          <w:bCs w:val="0"/>
          <w:color w:val="auto"/>
          <w:kern w:val="0"/>
          <w:sz w:val="24"/>
          <w:szCs w:val="24"/>
          <w:highlight w:val="none"/>
          <w:u w:val="none"/>
        </w:rPr>
        <w:t>0000.00元（大写：</w:t>
      </w:r>
      <w:r>
        <w:rPr>
          <w:rFonts w:hint="eastAsia" w:ascii="仿宋" w:hAnsi="仿宋" w:eastAsia="仿宋" w:cs="仿宋"/>
          <w:b w:val="0"/>
          <w:bCs w:val="0"/>
          <w:color w:val="auto"/>
          <w:kern w:val="0"/>
          <w:sz w:val="24"/>
          <w:szCs w:val="24"/>
          <w:highlight w:val="none"/>
          <w:u w:val="none"/>
          <w:lang w:val="en-US" w:eastAsia="zh-CN"/>
        </w:rPr>
        <w:t>肆</w:t>
      </w:r>
      <w:r>
        <w:rPr>
          <w:rFonts w:hint="eastAsia" w:ascii="仿宋" w:hAnsi="仿宋" w:eastAsia="仿宋" w:cs="仿宋"/>
          <w:b w:val="0"/>
          <w:bCs w:val="0"/>
          <w:color w:val="auto"/>
          <w:kern w:val="0"/>
          <w:sz w:val="24"/>
          <w:szCs w:val="24"/>
          <w:highlight w:val="none"/>
          <w:u w:val="none"/>
        </w:rPr>
        <w:t>万元整）</w:t>
      </w:r>
      <w:bookmarkEnd w:id="86"/>
      <w:bookmarkEnd w:id="87"/>
      <w:r>
        <w:rPr>
          <w:rFonts w:hint="eastAsia" w:ascii="仿宋" w:hAnsi="仿宋" w:eastAsia="仿宋" w:cs="仿宋"/>
          <w:b w:val="0"/>
          <w:color w:val="auto"/>
          <w:kern w:val="2"/>
          <w:sz w:val="24"/>
          <w:szCs w:val="24"/>
          <w:highlight w:val="none"/>
          <w:lang w:val="en-US" w:eastAsia="zh-CN" w:bidi="ar-SA"/>
        </w:rPr>
        <w:t xml:space="preserve">（以现金或保函方式提交，履约保函包括银行保函、保证保险和担保保函；履约保函的开立人应当是具有相应资格的银行、保险机构、融资担保公司，其信用资质、履约能力、担保能力、赔付流程、安全保密等应符合履约保函业务条件。中标人对所提交的履约保函的真实性、合法性、有效性负责。）； </w:t>
      </w:r>
    </w:p>
    <w:p w14:paraId="69A1B0EF">
      <w:pPr>
        <w:pageBreakBefore w:val="0"/>
        <w:widowControl w:val="0"/>
        <w:kinsoku/>
        <w:wordWrap/>
        <w:overflowPunct/>
        <w:topLinePunct w:val="0"/>
        <w:autoSpaceDE/>
        <w:autoSpaceDN/>
        <w:bidi w:val="0"/>
        <w:snapToGrid w:val="0"/>
        <w:spacing w:line="400" w:lineRule="exact"/>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b w:val="0"/>
          <w:color w:val="auto"/>
          <w:kern w:val="2"/>
          <w:sz w:val="24"/>
          <w:szCs w:val="24"/>
          <w:highlight w:val="none"/>
          <w:lang w:val="en-US" w:eastAsia="zh-CN" w:bidi="ar-SA"/>
        </w:rPr>
        <w:t>注：根据《关于印发重庆市融资担保公司监管评级及分类监管办法的通知》（渝金发〔2021〕5号）文件，担保公司须在《重庆市地方金融监督管理局关于开展2022年度监管评级有关工作的通知》、《重庆市地方金融监督管理局关于开展2023年度监管评级有关工作的通知》中监管评级等级在B级及以上。</w:t>
      </w:r>
    </w:p>
    <w:p w14:paraId="01664638">
      <w:pPr>
        <w:numPr>
          <w:ilvl w:val="0"/>
          <w:numId w:val="0"/>
        </w:numPr>
        <w:snapToGrid w:val="0"/>
        <w:spacing w:beforeLines="0" w:afterLines="0" w:line="360" w:lineRule="auto"/>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kern w:val="0"/>
          <w:sz w:val="24"/>
          <w:szCs w:val="24"/>
          <w:highlight w:val="none"/>
          <w:lang w:eastAsia="zh-CN"/>
        </w:rPr>
        <w:t>（</w:t>
      </w:r>
      <w:r>
        <w:rPr>
          <w:rFonts w:hint="eastAsia" w:ascii="仿宋" w:hAnsi="仿宋" w:eastAsia="仿宋" w:cs="仿宋"/>
          <w:color w:val="auto"/>
          <w:kern w:val="0"/>
          <w:sz w:val="24"/>
          <w:szCs w:val="24"/>
          <w:highlight w:val="none"/>
          <w:lang w:val="en-US" w:eastAsia="zh-CN"/>
        </w:rPr>
        <w:t>二）</w:t>
      </w:r>
      <w:r>
        <w:rPr>
          <w:rFonts w:hint="eastAsia" w:ascii="仿宋" w:hAnsi="仿宋" w:eastAsia="仿宋" w:cs="仿宋"/>
          <w:color w:val="auto"/>
          <w:kern w:val="0"/>
          <w:sz w:val="24"/>
          <w:szCs w:val="24"/>
          <w:highlight w:val="none"/>
        </w:rPr>
        <w:t>在合同执行中，若中标人有违约情况或侵权行为对</w:t>
      </w:r>
      <w:r>
        <w:rPr>
          <w:rFonts w:hint="eastAsia" w:ascii="仿宋" w:hAnsi="仿宋" w:eastAsia="仿宋" w:cs="仿宋"/>
          <w:color w:val="auto"/>
          <w:kern w:val="0"/>
          <w:sz w:val="24"/>
          <w:szCs w:val="24"/>
          <w:highlight w:val="none"/>
          <w:lang w:eastAsia="zh-CN"/>
        </w:rPr>
        <w:t>采购人</w:t>
      </w:r>
      <w:r>
        <w:rPr>
          <w:rFonts w:hint="eastAsia" w:ascii="仿宋" w:hAnsi="仿宋" w:eastAsia="仿宋" w:cs="仿宋"/>
          <w:color w:val="auto"/>
          <w:kern w:val="0"/>
          <w:sz w:val="24"/>
          <w:szCs w:val="24"/>
          <w:highlight w:val="none"/>
        </w:rPr>
        <w:t>造成损失或不良影响，采购人有权直接从履约保证金中扣划，并随时要求中标人限期补足履约保证金。</w:t>
      </w:r>
    </w:p>
    <w:p w14:paraId="45B7C7AB">
      <w:pPr>
        <w:snapToGrid w:val="0"/>
        <w:spacing w:beforeLines="0" w:afterLines="0"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lang w:eastAsia="zh-CN"/>
        </w:rPr>
        <w:t>（</w:t>
      </w:r>
      <w:r>
        <w:rPr>
          <w:rFonts w:hint="eastAsia" w:ascii="仿宋" w:hAnsi="仿宋" w:eastAsia="仿宋" w:cs="仿宋"/>
          <w:color w:val="auto"/>
          <w:kern w:val="0"/>
          <w:sz w:val="24"/>
          <w:szCs w:val="24"/>
          <w:highlight w:val="none"/>
          <w:lang w:val="en-US" w:eastAsia="zh-CN"/>
        </w:rPr>
        <w:t>三）</w:t>
      </w:r>
      <w:r>
        <w:rPr>
          <w:rFonts w:hint="eastAsia" w:ascii="仿宋" w:hAnsi="仿宋" w:eastAsia="仿宋" w:cs="仿宋"/>
          <w:color w:val="auto"/>
          <w:kern w:val="0"/>
          <w:sz w:val="24"/>
          <w:szCs w:val="24"/>
          <w:highlight w:val="none"/>
        </w:rPr>
        <w:t>在合同期满后，中标人无违约情况或侵权行为，可提出书面申请，由采购人在7个工作日内将履约保证金退给中标人。</w:t>
      </w:r>
    </w:p>
    <w:p w14:paraId="3A0A86D2">
      <w:pPr>
        <w:pStyle w:val="3"/>
        <w:keepNext/>
        <w:keepLines/>
        <w:pageBreakBefore w:val="0"/>
        <w:widowControl w:val="0"/>
        <w:kinsoku/>
        <w:wordWrap/>
        <w:overflowPunct/>
        <w:topLinePunct w:val="0"/>
        <w:autoSpaceDE/>
        <w:autoSpaceDN/>
        <w:bidi w:val="0"/>
        <w:adjustRightInd/>
        <w:snapToGrid/>
        <w:spacing w:before="0" w:after="0" w:line="360" w:lineRule="auto"/>
        <w:ind w:firstLine="482" w:firstLineChars="200"/>
        <w:textAlignment w:val="auto"/>
        <w:outlineLvl w:val="1"/>
        <w:rPr>
          <w:rFonts w:hint="eastAsia" w:ascii="仿宋" w:hAnsi="仿宋" w:eastAsia="仿宋" w:cs="仿宋"/>
          <w:color w:val="auto"/>
          <w:sz w:val="24"/>
          <w:szCs w:val="24"/>
          <w:highlight w:val="none"/>
        </w:rPr>
      </w:pPr>
      <w:bookmarkStart w:id="88" w:name="_Toc21057"/>
      <w:bookmarkStart w:id="89" w:name="_Toc11469"/>
      <w:bookmarkStart w:id="90" w:name="_Toc14940"/>
      <w:bookmarkStart w:id="91" w:name="_Toc25862"/>
      <w:bookmarkStart w:id="92" w:name="_Toc23463"/>
      <w:bookmarkStart w:id="93" w:name="_Toc7930"/>
      <w:bookmarkStart w:id="94" w:name="_Toc1767"/>
      <w:bookmarkStart w:id="95" w:name="_Toc20721"/>
      <w:bookmarkStart w:id="96" w:name="_Toc344475124"/>
      <w:bookmarkStart w:id="97" w:name="_Toc76462331"/>
      <w:bookmarkStart w:id="98" w:name="_Toc106030886"/>
      <w:r>
        <w:rPr>
          <w:rFonts w:hint="eastAsia" w:ascii="仿宋" w:hAnsi="仿宋" w:eastAsia="仿宋" w:cs="仿宋"/>
          <w:color w:val="auto"/>
          <w:sz w:val="24"/>
          <w:szCs w:val="24"/>
          <w:highlight w:val="none"/>
          <w:lang w:eastAsia="zh-CN"/>
        </w:rPr>
        <w:t>六</w:t>
      </w:r>
      <w:r>
        <w:rPr>
          <w:rFonts w:hint="eastAsia" w:ascii="仿宋" w:hAnsi="仿宋" w:eastAsia="仿宋" w:cs="仿宋"/>
          <w:color w:val="auto"/>
          <w:sz w:val="24"/>
          <w:szCs w:val="24"/>
          <w:highlight w:val="none"/>
        </w:rPr>
        <w:t>、</w:t>
      </w:r>
      <w:bookmarkStart w:id="99" w:name="_Toc2024"/>
      <w:r>
        <w:rPr>
          <w:rFonts w:hint="eastAsia" w:ascii="仿宋" w:hAnsi="仿宋" w:eastAsia="仿宋" w:cs="仿宋"/>
          <w:color w:val="auto"/>
          <w:sz w:val="24"/>
          <w:szCs w:val="24"/>
          <w:highlight w:val="none"/>
        </w:rPr>
        <w:t>食材询定价与结算</w:t>
      </w:r>
      <w:bookmarkEnd w:id="88"/>
      <w:bookmarkEnd w:id="89"/>
      <w:bookmarkEnd w:id="90"/>
      <w:bookmarkEnd w:id="91"/>
      <w:bookmarkEnd w:id="92"/>
      <w:bookmarkEnd w:id="93"/>
      <w:bookmarkEnd w:id="94"/>
      <w:bookmarkEnd w:id="95"/>
      <w:bookmarkEnd w:id="99"/>
    </w:p>
    <w:p w14:paraId="2BFA7F27">
      <w:pPr>
        <w:pageBreakBefore w:val="0"/>
        <w:widowControl w:val="0"/>
        <w:kinsoku/>
        <w:wordWrap/>
        <w:overflowPunct/>
        <w:topLinePunct w:val="0"/>
        <w:autoSpaceDE/>
        <w:autoSpaceDN/>
        <w:bidi w:val="0"/>
        <w:adjustRightInd/>
        <w:snapToGrid/>
        <w:spacing w:beforeLines="0" w:afterLines="0" w:line="360" w:lineRule="auto"/>
        <w:ind w:firstLine="480" w:firstLineChars="200"/>
        <w:textAlignment w:val="auto"/>
        <w:outlineLvl w:val="9"/>
        <w:rPr>
          <w:rFonts w:hint="eastAsia" w:ascii="仿宋" w:hAnsi="仿宋" w:eastAsia="仿宋" w:cs="仿宋"/>
          <w:color w:val="auto"/>
          <w:sz w:val="24"/>
          <w:szCs w:val="24"/>
          <w:highlight w:val="none"/>
        </w:rPr>
      </w:pPr>
      <w:bookmarkStart w:id="100" w:name="_Toc4707"/>
      <w:bookmarkStart w:id="101" w:name="OLE_LINK35"/>
      <w:r>
        <w:rPr>
          <w:rFonts w:hint="eastAsia" w:ascii="仿宋" w:hAnsi="仿宋" w:eastAsia="仿宋" w:cs="仿宋"/>
          <w:color w:val="auto"/>
          <w:sz w:val="24"/>
          <w:szCs w:val="24"/>
          <w:highlight w:val="none"/>
        </w:rPr>
        <w:t>（一）询定价</w:t>
      </w:r>
      <w:bookmarkEnd w:id="100"/>
    </w:p>
    <w:p w14:paraId="25A1A0EA">
      <w:pPr>
        <w:pageBreakBefore w:val="0"/>
        <w:widowControl w:val="0"/>
        <w:numPr>
          <w:ilvl w:val="0"/>
          <w:numId w:val="0"/>
        </w:numPr>
        <w:kinsoku/>
        <w:wordWrap/>
        <w:overflowPunct/>
        <w:topLinePunct w:val="0"/>
        <w:autoSpaceDE/>
        <w:autoSpaceDN/>
        <w:bidi w:val="0"/>
        <w:adjustRightInd/>
        <w:snapToGrid/>
        <w:spacing w:beforeLines="0" w:afterLines="0" w:line="360" w:lineRule="auto"/>
        <w:ind w:leftChars="200"/>
        <w:textAlignment w:val="auto"/>
        <w:outlineLvl w:val="9"/>
        <w:rPr>
          <w:rFonts w:hint="eastAsia" w:ascii="仿宋" w:hAnsi="仿宋" w:eastAsia="仿宋" w:cs="仿宋"/>
          <w:color w:val="auto"/>
          <w:sz w:val="24"/>
          <w:szCs w:val="24"/>
          <w:highlight w:val="none"/>
        </w:rPr>
      </w:pPr>
      <w:bookmarkStart w:id="102" w:name="_Toc6336"/>
      <w:bookmarkStart w:id="103" w:name="OLE_LINK36"/>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rPr>
        <w:t>原则上每月询</w:t>
      </w:r>
      <w:r>
        <w:rPr>
          <w:rFonts w:hint="eastAsia" w:ascii="仿宋" w:hAnsi="仿宋" w:eastAsia="仿宋" w:cs="仿宋"/>
          <w:color w:val="auto"/>
          <w:sz w:val="24"/>
          <w:szCs w:val="24"/>
          <w:highlight w:val="none"/>
          <w:lang w:val="en-US" w:eastAsia="zh-CN"/>
        </w:rPr>
        <w:t>价1次，</w:t>
      </w:r>
      <w:r>
        <w:rPr>
          <w:rFonts w:hint="eastAsia" w:ascii="仿宋" w:hAnsi="仿宋" w:eastAsia="仿宋" w:cs="仿宋"/>
          <w:color w:val="auto"/>
          <w:sz w:val="24"/>
          <w:szCs w:val="24"/>
          <w:highlight w:val="none"/>
        </w:rPr>
        <w:t>定价</w:t>
      </w: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rPr>
        <w:t>次。</w:t>
      </w:r>
      <w:bookmarkEnd w:id="102"/>
    </w:p>
    <w:p w14:paraId="48E42053">
      <w:pPr>
        <w:pageBreakBefore w:val="0"/>
        <w:widowControl w:val="0"/>
        <w:numPr>
          <w:ilvl w:val="0"/>
          <w:numId w:val="0"/>
        </w:numPr>
        <w:kinsoku/>
        <w:wordWrap/>
        <w:overflowPunct/>
        <w:topLinePunct w:val="0"/>
        <w:autoSpaceDE/>
        <w:autoSpaceDN/>
        <w:bidi w:val="0"/>
        <w:adjustRightInd/>
        <w:snapToGrid/>
        <w:spacing w:beforeLines="0" w:afterLines="0" w:line="360" w:lineRule="auto"/>
        <w:ind w:firstLine="480" w:firstLineChars="200"/>
        <w:textAlignment w:val="auto"/>
        <w:outlineLvl w:val="9"/>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每次询价的时间为</w:t>
      </w:r>
      <w:r>
        <w:rPr>
          <w:rFonts w:hint="eastAsia" w:ascii="仿宋" w:hAnsi="仿宋" w:eastAsia="仿宋" w:cs="仿宋"/>
          <w:color w:val="auto"/>
          <w:sz w:val="24"/>
          <w:szCs w:val="24"/>
          <w:highlight w:val="none"/>
          <w:lang w:val="en-US" w:eastAsia="zh-CN"/>
        </w:rPr>
        <w:t>上月</w:t>
      </w:r>
      <w:r>
        <w:rPr>
          <w:rFonts w:hint="eastAsia" w:ascii="仿宋" w:hAnsi="仿宋" w:eastAsia="仿宋" w:cs="仿宋"/>
          <w:b w:val="0"/>
          <w:bCs w:val="0"/>
          <w:color w:val="auto"/>
          <w:sz w:val="24"/>
          <w:szCs w:val="24"/>
          <w:highlight w:val="none"/>
          <w:lang w:val="en-US" w:eastAsia="zh-CN"/>
        </w:rPr>
        <w:t>26日</w:t>
      </w:r>
      <w:r>
        <w:rPr>
          <w:rFonts w:hint="eastAsia" w:ascii="仿宋" w:hAnsi="仿宋" w:eastAsia="仿宋" w:cs="仿宋"/>
          <w:color w:val="auto"/>
          <w:sz w:val="24"/>
          <w:szCs w:val="24"/>
          <w:highlight w:val="none"/>
        </w:rPr>
        <w:t>（节假日顺延至正常工作日</w:t>
      </w:r>
      <w:bookmarkStart w:id="104" w:name="OLE_LINK32"/>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由文旅集团食堂管理部门和中标供应商组成询价小组，以辖区内永辉超市、新世纪、足购鲜等超市商品挂牌价（不含特价商品）的最低价作为基础价</w:t>
      </w:r>
      <w:r>
        <w:rPr>
          <w:rFonts w:hint="eastAsia" w:ascii="仿宋" w:hAnsi="仿宋" w:eastAsia="仿宋" w:cs="仿宋"/>
          <w:color w:val="auto"/>
          <w:sz w:val="24"/>
          <w:szCs w:val="24"/>
          <w:highlight w:val="none"/>
        </w:rPr>
        <w:t>。</w:t>
      </w:r>
    </w:p>
    <w:bookmarkEnd w:id="103"/>
    <w:p w14:paraId="71ED069F">
      <w:pPr>
        <w:pageBreakBefore w:val="0"/>
        <w:widowControl w:val="0"/>
        <w:numPr>
          <w:ilvl w:val="0"/>
          <w:numId w:val="0"/>
        </w:numPr>
        <w:kinsoku/>
        <w:wordWrap/>
        <w:overflowPunct/>
        <w:topLinePunct w:val="0"/>
        <w:autoSpaceDE/>
        <w:autoSpaceDN/>
        <w:bidi w:val="0"/>
        <w:adjustRightInd/>
        <w:snapToGrid/>
        <w:spacing w:beforeLines="0" w:afterLines="0" w:line="360" w:lineRule="auto"/>
        <w:ind w:firstLine="480" w:firstLineChars="200"/>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2、个别品种在约定商超无法询价的，由双方商定其他市场或超市询价作为依据并按合同确定结算价。</w:t>
      </w:r>
    </w:p>
    <w:bookmarkEnd w:id="101"/>
    <w:bookmarkEnd w:id="104"/>
    <w:p w14:paraId="201BBB34">
      <w:pPr>
        <w:keepNext w:val="0"/>
        <w:keepLines w:val="0"/>
        <w:pageBreakBefore w:val="0"/>
        <w:widowControl w:val="0"/>
        <w:kinsoku/>
        <w:wordWrap/>
        <w:overflowPunct/>
        <w:topLinePunct w:val="0"/>
        <w:autoSpaceDE/>
        <w:autoSpaceDN/>
        <w:bidi w:val="0"/>
        <w:adjustRightInd/>
        <w:snapToGrid/>
        <w:spacing w:beforeLines="0" w:afterLines="0" w:line="360" w:lineRule="auto"/>
        <w:ind w:firstLine="480" w:firstLineChars="200"/>
        <w:textAlignment w:val="auto"/>
        <w:outlineLvl w:val="9"/>
        <w:rPr>
          <w:rFonts w:hint="eastAsia" w:ascii="仿宋" w:hAnsi="仿宋" w:eastAsia="仿宋" w:cs="仿宋"/>
          <w:color w:val="auto"/>
          <w:sz w:val="24"/>
          <w:szCs w:val="24"/>
          <w:highlight w:val="none"/>
        </w:rPr>
      </w:pPr>
      <w:bookmarkStart w:id="105" w:name="_Toc23934"/>
      <w:r>
        <w:rPr>
          <w:rFonts w:hint="eastAsia" w:ascii="仿宋" w:hAnsi="仿宋" w:eastAsia="仿宋" w:cs="仿宋"/>
          <w:color w:val="auto"/>
          <w:sz w:val="24"/>
          <w:szCs w:val="24"/>
          <w:highlight w:val="none"/>
        </w:rPr>
        <w:t>（二）结算</w:t>
      </w:r>
      <w:bookmarkEnd w:id="105"/>
    </w:p>
    <w:p w14:paraId="05283DE7">
      <w:pPr>
        <w:pageBreakBefore w:val="0"/>
        <w:widowControl w:val="0"/>
        <w:numPr>
          <w:ilvl w:val="0"/>
          <w:numId w:val="0"/>
        </w:numPr>
        <w:kinsoku/>
        <w:wordWrap/>
        <w:overflowPunct/>
        <w:topLinePunct w:val="0"/>
        <w:autoSpaceDE/>
        <w:autoSpaceDN/>
        <w:bidi w:val="0"/>
        <w:adjustRightInd/>
        <w:snapToGrid/>
        <w:spacing w:beforeLines="0" w:afterLines="0" w:line="360" w:lineRule="auto"/>
        <w:ind w:firstLine="480" w:firstLineChars="200"/>
        <w:textAlignment w:val="auto"/>
        <w:outlineLvl w:val="9"/>
        <w:rPr>
          <w:rFonts w:hint="eastAsia" w:ascii="仿宋" w:hAnsi="仿宋" w:eastAsia="仿宋" w:cs="仿宋"/>
          <w:color w:val="auto"/>
          <w:sz w:val="24"/>
          <w:szCs w:val="24"/>
          <w:highlight w:val="none"/>
          <w:lang w:val="en-US" w:eastAsia="zh-CN"/>
        </w:rPr>
      </w:pPr>
      <w:bookmarkStart w:id="106" w:name="_Toc17415"/>
      <w:bookmarkStart w:id="107" w:name="_Toc12359"/>
      <w:bookmarkStart w:id="108" w:name="_Toc5336"/>
      <w:bookmarkStart w:id="109" w:name="_Toc17832"/>
      <w:bookmarkStart w:id="110" w:name="_Toc24305"/>
      <w:bookmarkStart w:id="111" w:name="_Toc23854"/>
      <w:r>
        <w:rPr>
          <w:rFonts w:hint="eastAsia" w:ascii="仿宋" w:hAnsi="仿宋" w:eastAsia="仿宋" w:cs="仿宋"/>
          <w:color w:val="auto"/>
          <w:sz w:val="24"/>
          <w:szCs w:val="24"/>
          <w:highlight w:val="none"/>
          <w:lang w:val="en-US" w:eastAsia="zh-CN"/>
        </w:rPr>
        <w:t>1、结算单价：以采购人和成交供应商双方确认的各食材的单价定价金额乘以中标折扣作为“结算单价”，结算单价=单价定价×中标折扣；（若供应商填报的折扣报价为95%，以市场询价的零售即时价格10元/斤为例，则采购人与供应商实际签订合同的供货价格为10*0.95=9.5元/斤）。</w:t>
      </w:r>
    </w:p>
    <w:p w14:paraId="37214DD0">
      <w:pPr>
        <w:pageBreakBefore w:val="0"/>
        <w:widowControl w:val="0"/>
        <w:numPr>
          <w:ilvl w:val="0"/>
          <w:numId w:val="0"/>
        </w:numPr>
        <w:kinsoku/>
        <w:wordWrap/>
        <w:overflowPunct/>
        <w:topLinePunct w:val="0"/>
        <w:autoSpaceDE/>
        <w:autoSpaceDN/>
        <w:bidi w:val="0"/>
        <w:adjustRightInd/>
        <w:snapToGrid/>
        <w:spacing w:beforeLines="0" w:afterLines="0" w:line="360" w:lineRule="auto"/>
        <w:ind w:firstLine="480" w:firstLineChars="200"/>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2、结算金额：当月最终结算金额=（各品类结算单价×各品类实际配送数量）-应扣除金额（如有）。</w:t>
      </w:r>
    </w:p>
    <w:p w14:paraId="00413EF1">
      <w:pPr>
        <w:pageBreakBefore w:val="0"/>
        <w:widowControl w:val="0"/>
        <w:numPr>
          <w:ilvl w:val="0"/>
          <w:numId w:val="0"/>
        </w:numPr>
        <w:kinsoku/>
        <w:wordWrap/>
        <w:overflowPunct/>
        <w:topLinePunct w:val="0"/>
        <w:autoSpaceDE/>
        <w:autoSpaceDN/>
        <w:bidi w:val="0"/>
        <w:adjustRightInd/>
        <w:snapToGrid/>
        <w:spacing w:beforeLines="0" w:afterLines="0" w:line="360" w:lineRule="auto"/>
        <w:ind w:firstLine="480" w:firstLineChars="200"/>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3、供应商对个别结算价格有异议的品种（当月定价品种总数的10%以内），由双方共同进行市场询价和价格复核。</w:t>
      </w:r>
    </w:p>
    <w:p w14:paraId="75CB9DDD">
      <w:pPr>
        <w:pStyle w:val="3"/>
        <w:keepNext/>
        <w:keepLines/>
        <w:pageBreakBefore w:val="0"/>
        <w:widowControl w:val="0"/>
        <w:kinsoku/>
        <w:wordWrap/>
        <w:overflowPunct/>
        <w:topLinePunct w:val="0"/>
        <w:autoSpaceDE/>
        <w:autoSpaceDN/>
        <w:bidi w:val="0"/>
        <w:adjustRightInd/>
        <w:snapToGrid/>
        <w:spacing w:before="0" w:after="0" w:line="360" w:lineRule="auto"/>
        <w:ind w:firstLine="482" w:firstLineChars="200"/>
        <w:textAlignment w:val="auto"/>
        <w:outlineLvl w:val="1"/>
        <w:rPr>
          <w:rFonts w:hint="eastAsia" w:ascii="仿宋" w:hAnsi="仿宋" w:eastAsia="仿宋" w:cs="仿宋"/>
          <w:color w:val="auto"/>
          <w:sz w:val="24"/>
          <w:szCs w:val="24"/>
          <w:highlight w:val="none"/>
        </w:rPr>
      </w:pPr>
      <w:bookmarkStart w:id="112" w:name="_Toc690"/>
      <w:r>
        <w:rPr>
          <w:rFonts w:hint="eastAsia" w:ascii="仿宋" w:hAnsi="仿宋" w:eastAsia="仿宋" w:cs="仿宋"/>
          <w:color w:val="auto"/>
          <w:sz w:val="24"/>
          <w:szCs w:val="24"/>
          <w:highlight w:val="none"/>
          <w:lang w:eastAsia="zh-CN"/>
        </w:rPr>
        <w:t>七</w:t>
      </w:r>
      <w:r>
        <w:rPr>
          <w:rFonts w:hint="eastAsia" w:ascii="仿宋" w:hAnsi="仿宋" w:eastAsia="仿宋" w:cs="仿宋"/>
          <w:color w:val="auto"/>
          <w:sz w:val="24"/>
          <w:szCs w:val="24"/>
          <w:highlight w:val="none"/>
        </w:rPr>
        <w:t>、付款方式</w:t>
      </w:r>
      <w:bookmarkEnd w:id="106"/>
      <w:bookmarkEnd w:id="107"/>
      <w:bookmarkEnd w:id="108"/>
      <w:bookmarkEnd w:id="109"/>
      <w:bookmarkEnd w:id="110"/>
      <w:bookmarkEnd w:id="111"/>
      <w:bookmarkEnd w:id="112"/>
    </w:p>
    <w:p w14:paraId="06F5EFAA">
      <w:pPr>
        <w:numPr>
          <w:ilvl w:val="0"/>
          <w:numId w:val="6"/>
        </w:numPr>
        <w:spacing w:beforeLines="0" w:afterLines="0" w:line="360" w:lineRule="auto"/>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每月结算一次；</w:t>
      </w:r>
    </w:p>
    <w:p w14:paraId="5E36376F">
      <w:pPr>
        <w:numPr>
          <w:ilvl w:val="0"/>
          <w:numId w:val="6"/>
        </w:numPr>
        <w:spacing w:beforeLines="0" w:afterLines="0" w:line="360" w:lineRule="auto"/>
        <w:ind w:firstLine="480" w:firstLineChars="20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rPr>
        <w:t>采购人财务部门凭需求部门验收清单、中标供应商向采购人开具正式发票，按合同价转支付货款。</w:t>
      </w:r>
      <w:bookmarkStart w:id="113" w:name="_Toc363"/>
      <w:bookmarkStart w:id="114" w:name="_Toc15101"/>
      <w:bookmarkStart w:id="115" w:name="_Toc905"/>
      <w:bookmarkStart w:id="116" w:name="_Toc7285"/>
      <w:bookmarkStart w:id="117" w:name="_Toc28833"/>
    </w:p>
    <w:p w14:paraId="1B822B75">
      <w:pPr>
        <w:pStyle w:val="3"/>
        <w:adjustRightInd w:val="0"/>
        <w:snapToGrid w:val="0"/>
        <w:spacing w:before="0" w:after="0" w:line="360" w:lineRule="auto"/>
        <w:ind w:firstLine="482" w:firstLineChars="200"/>
        <w:rPr>
          <w:rFonts w:hint="eastAsia" w:ascii="仿宋" w:hAnsi="仿宋" w:eastAsia="仿宋" w:cs="仿宋"/>
          <w:b/>
          <w:color w:val="auto"/>
          <w:sz w:val="24"/>
          <w:szCs w:val="24"/>
          <w:highlight w:val="none"/>
          <w:lang w:val="en-US" w:eastAsia="zh-CN"/>
        </w:rPr>
      </w:pPr>
      <w:r>
        <w:rPr>
          <w:rFonts w:hint="eastAsia" w:ascii="仿宋" w:hAnsi="仿宋" w:eastAsia="仿宋" w:cs="仿宋"/>
          <w:b/>
          <w:color w:val="auto"/>
          <w:sz w:val="24"/>
          <w:szCs w:val="24"/>
          <w:highlight w:val="none"/>
          <w:lang w:val="en-US" w:eastAsia="zh-CN"/>
        </w:rPr>
        <w:t>八、退出机制</w:t>
      </w:r>
    </w:p>
    <w:p w14:paraId="3424B30B">
      <w:pPr>
        <w:snapToGrid w:val="0"/>
        <w:spacing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中标人在履行协议期间出现下列行为之一，采购人有权单方面无条件终止合同，取消配送资格，并没收全部履约保证金及纳入黑名单：</w:t>
      </w:r>
    </w:p>
    <w:p w14:paraId="6425D503">
      <w:pPr>
        <w:snapToGrid w:val="0"/>
        <w:spacing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1、若供应商违反食品安全法律法规，被食品药品监管部门吊销或注销食品生产或食品流通许可证的；违反相关法律法规，被登记机关吊销营业执照的；</w:t>
      </w:r>
    </w:p>
    <w:p w14:paraId="792DD6DF">
      <w:pPr>
        <w:snapToGrid w:val="0"/>
        <w:spacing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2、合同期内因食品安全质量问题引发食品安全事故的，采购人保留对供应商追究法律责任的权利；</w:t>
      </w:r>
    </w:p>
    <w:p w14:paraId="19A03BEC">
      <w:pPr>
        <w:snapToGrid w:val="0"/>
        <w:spacing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3、供应商进行转包、分包的；</w:t>
      </w:r>
    </w:p>
    <w:p w14:paraId="09203E9F">
      <w:pPr>
        <w:snapToGrid w:val="0"/>
        <w:spacing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4、伪造销售凭证、签收手续等资料的；</w:t>
      </w:r>
    </w:p>
    <w:p w14:paraId="3949BD3C">
      <w:pPr>
        <w:snapToGrid w:val="0"/>
        <w:spacing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5、合同期内，采购人将随机抽取供应商所配送的商品送至国家相关检验机构进行检验，若送检质量不合格且情节严重的；</w:t>
      </w:r>
    </w:p>
    <w:p w14:paraId="2FDD0EAB">
      <w:pPr>
        <w:snapToGrid w:val="0"/>
        <w:spacing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6、合同签订后，公司仍有权随时对供应商履约能力及投标时所提供的包括但不限于经营场地、资质材料、合同文书、财务票据等响应材料的真实性进行询问、调查和实地考察。发现供应商入库所提供的材料虚假或对公司招选时要求说明的情况故意隐瞒、虚报或伪造的；</w:t>
      </w:r>
    </w:p>
    <w:p w14:paraId="6B9BE1A7">
      <w:pPr>
        <w:snapToGrid w:val="0"/>
        <w:spacing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7、供应商提供的商品不满足</w:t>
      </w:r>
      <w:r>
        <w:rPr>
          <w:rFonts w:hint="eastAsia" w:ascii="仿宋" w:hAnsi="仿宋" w:eastAsia="仿宋" w:cs="仿宋"/>
          <w:color w:val="auto"/>
          <w:kern w:val="0"/>
          <w:sz w:val="24"/>
          <w:szCs w:val="24"/>
          <w:highlight w:val="none"/>
          <w:lang w:eastAsia="zh-CN"/>
        </w:rPr>
        <w:t>采购文件</w:t>
      </w:r>
      <w:r>
        <w:rPr>
          <w:rFonts w:hint="eastAsia" w:ascii="仿宋" w:hAnsi="仿宋" w:eastAsia="仿宋" w:cs="仿宋"/>
          <w:color w:val="auto"/>
          <w:kern w:val="0"/>
          <w:sz w:val="24"/>
          <w:szCs w:val="24"/>
          <w:highlight w:val="none"/>
        </w:rPr>
        <w:t>要求，质量、服务、安全、卫生条件不符合相关标准，对</w:t>
      </w:r>
      <w:r>
        <w:rPr>
          <w:rFonts w:hint="eastAsia" w:ascii="仿宋" w:hAnsi="仿宋" w:eastAsia="仿宋" w:cs="仿宋"/>
          <w:color w:val="auto"/>
          <w:kern w:val="0"/>
          <w:sz w:val="24"/>
          <w:szCs w:val="24"/>
          <w:highlight w:val="none"/>
          <w:lang w:eastAsia="zh-CN"/>
        </w:rPr>
        <w:t>采购人</w:t>
      </w:r>
      <w:r>
        <w:rPr>
          <w:rFonts w:hint="eastAsia" w:ascii="仿宋" w:hAnsi="仿宋" w:eastAsia="仿宋" w:cs="仿宋"/>
          <w:color w:val="auto"/>
          <w:kern w:val="0"/>
          <w:sz w:val="24"/>
          <w:szCs w:val="24"/>
          <w:highlight w:val="none"/>
        </w:rPr>
        <w:t>造成损失的，由供应商承担一切责任，并赔偿所造成的损失。</w:t>
      </w:r>
    </w:p>
    <w:p w14:paraId="0C76228F">
      <w:pPr>
        <w:snapToGrid w:val="0"/>
        <w:spacing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8、采购人具有随时查看供应商除预包装外为公司配送的所有商品的生产采购源头。若供应商拒绝或未及时提供的。</w:t>
      </w:r>
    </w:p>
    <w:p w14:paraId="729DACE6">
      <w:pPr>
        <w:snapToGrid w:val="0"/>
        <w:spacing w:line="360" w:lineRule="auto"/>
        <w:ind w:firstLine="480" w:firstLineChars="200"/>
        <w:rPr>
          <w:rFonts w:hint="eastAsia" w:ascii="仿宋" w:hAnsi="仿宋" w:eastAsia="仿宋" w:cs="仿宋"/>
          <w:color w:val="auto"/>
          <w:sz w:val="24"/>
          <w:szCs w:val="24"/>
          <w:highlight w:val="none"/>
          <w:lang w:val="en-US" w:eastAsia="zh-CN"/>
        </w:rPr>
      </w:pPr>
      <w:r>
        <w:rPr>
          <w:rFonts w:hint="eastAsia" w:ascii="仿宋" w:hAnsi="仿宋" w:eastAsia="仿宋" w:cs="仿宋"/>
          <w:color w:val="auto"/>
          <w:kern w:val="0"/>
          <w:sz w:val="24"/>
          <w:szCs w:val="24"/>
          <w:highlight w:val="none"/>
        </w:rPr>
        <w:t>9、其他未满足采购人要求及相关法律法规的。</w:t>
      </w:r>
    </w:p>
    <w:p w14:paraId="6F93FF6B">
      <w:pPr>
        <w:pStyle w:val="3"/>
        <w:adjustRightInd w:val="0"/>
        <w:snapToGrid w:val="0"/>
        <w:spacing w:before="0" w:after="0" w:line="360" w:lineRule="auto"/>
        <w:ind w:firstLine="482" w:firstLineChars="200"/>
        <w:rPr>
          <w:rFonts w:hint="eastAsia" w:ascii="仿宋" w:hAnsi="仿宋" w:eastAsia="仿宋" w:cs="仿宋"/>
          <w:color w:val="auto"/>
          <w:sz w:val="24"/>
          <w:szCs w:val="24"/>
          <w:highlight w:val="none"/>
        </w:rPr>
      </w:pPr>
      <w:bookmarkStart w:id="118" w:name="_Toc14594"/>
      <w:r>
        <w:rPr>
          <w:rFonts w:hint="eastAsia" w:ascii="仿宋" w:hAnsi="仿宋" w:eastAsia="仿宋" w:cs="仿宋"/>
          <w:color w:val="auto"/>
          <w:sz w:val="24"/>
          <w:szCs w:val="24"/>
          <w:highlight w:val="none"/>
          <w:lang w:val="en-US" w:eastAsia="zh-CN"/>
        </w:rPr>
        <w:t>九</w:t>
      </w:r>
      <w:r>
        <w:rPr>
          <w:rFonts w:hint="eastAsia" w:ascii="仿宋" w:hAnsi="仿宋" w:eastAsia="仿宋" w:cs="仿宋"/>
          <w:color w:val="auto"/>
          <w:sz w:val="24"/>
          <w:szCs w:val="24"/>
          <w:highlight w:val="none"/>
        </w:rPr>
        <w:t>、</w:t>
      </w:r>
      <w:bookmarkEnd w:id="96"/>
      <w:bookmarkStart w:id="119" w:name="_Toc344475125"/>
      <w:r>
        <w:rPr>
          <w:rFonts w:hint="eastAsia" w:ascii="仿宋" w:hAnsi="仿宋" w:eastAsia="仿宋" w:cs="仿宋"/>
          <w:color w:val="auto"/>
          <w:sz w:val="24"/>
          <w:szCs w:val="24"/>
          <w:highlight w:val="none"/>
        </w:rPr>
        <w:t>其他</w:t>
      </w:r>
      <w:bookmarkEnd w:id="97"/>
      <w:bookmarkEnd w:id="98"/>
      <w:bookmarkEnd w:id="113"/>
      <w:bookmarkEnd w:id="114"/>
      <w:bookmarkEnd w:id="115"/>
      <w:bookmarkEnd w:id="116"/>
      <w:bookmarkEnd w:id="117"/>
      <w:bookmarkEnd w:id="118"/>
    </w:p>
    <w:bookmarkEnd w:id="119"/>
    <w:p w14:paraId="3271D00B">
      <w:pPr>
        <w:snapToGrid w:val="0"/>
        <w:spacing w:beforeLines="0" w:afterLines="0" w:line="360" w:lineRule="auto"/>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（一）其他未尽事宜由供需双方在采购合同中详细约定，在未改变</w:t>
      </w:r>
      <w:r>
        <w:rPr>
          <w:rFonts w:hint="eastAsia" w:ascii="仿宋" w:hAnsi="仿宋" w:eastAsia="仿宋" w:cs="仿宋"/>
          <w:color w:val="auto"/>
          <w:sz w:val="24"/>
          <w:szCs w:val="24"/>
          <w:highlight w:val="none"/>
          <w:lang w:eastAsia="zh-CN"/>
        </w:rPr>
        <w:t>询比</w:t>
      </w:r>
      <w:r>
        <w:rPr>
          <w:rFonts w:hint="eastAsia" w:ascii="仿宋" w:hAnsi="仿宋" w:eastAsia="仿宋" w:cs="仿宋"/>
          <w:color w:val="auto"/>
          <w:sz w:val="24"/>
          <w:szCs w:val="24"/>
          <w:highlight w:val="none"/>
        </w:rPr>
        <w:t>文件实质性条款的情况下，以采购人主张为主。</w:t>
      </w:r>
    </w:p>
    <w:p w14:paraId="4D956309">
      <w:pPr>
        <w:pStyle w:val="5"/>
        <w:spacing w:line="360" w:lineRule="auto"/>
        <w:rPr>
          <w:rFonts w:hint="eastAsia" w:ascii="仿宋" w:hAnsi="仿宋" w:eastAsia="仿宋" w:cs="仿宋"/>
          <w:color w:val="auto"/>
        </w:rPr>
      </w:pPr>
    </w:p>
    <w:p w14:paraId="15B6F53D">
      <w:pPr>
        <w:pStyle w:val="3"/>
        <w:pageBreakBefore/>
        <w:spacing w:before="0" w:after="0" w:line="360" w:lineRule="auto"/>
        <w:jc w:val="center"/>
        <w:rPr>
          <w:rFonts w:hint="eastAsia" w:ascii="仿宋" w:hAnsi="仿宋" w:eastAsia="仿宋" w:cs="仿宋"/>
          <w:b w:val="0"/>
          <w:color w:val="auto"/>
          <w:sz w:val="36"/>
          <w:szCs w:val="30"/>
        </w:rPr>
      </w:pPr>
      <w:bookmarkStart w:id="120" w:name="_Toc4871"/>
      <w:bookmarkStart w:id="121" w:name="_Toc115126148"/>
      <w:bookmarkStart w:id="122" w:name="_Toc76462332"/>
      <w:bookmarkStart w:id="123" w:name="_Toc102227320"/>
      <w:bookmarkStart w:id="124" w:name="_Toc342913394"/>
      <w:r>
        <w:rPr>
          <w:rFonts w:hint="eastAsia" w:ascii="仿宋" w:hAnsi="仿宋" w:eastAsia="仿宋" w:cs="仿宋"/>
          <w:b w:val="0"/>
          <w:color w:val="auto"/>
          <w:sz w:val="36"/>
          <w:szCs w:val="30"/>
        </w:rPr>
        <w:t xml:space="preserve">第四篇  </w:t>
      </w:r>
      <w:r>
        <w:rPr>
          <w:rFonts w:hint="eastAsia" w:ascii="仿宋" w:hAnsi="仿宋" w:eastAsia="仿宋" w:cs="仿宋"/>
          <w:b w:val="0"/>
          <w:color w:val="auto"/>
          <w:sz w:val="36"/>
          <w:szCs w:val="30"/>
          <w:lang w:eastAsia="zh-CN"/>
        </w:rPr>
        <w:t>评审</w:t>
      </w:r>
      <w:r>
        <w:rPr>
          <w:rFonts w:hint="eastAsia" w:ascii="仿宋" w:hAnsi="仿宋" w:eastAsia="仿宋" w:cs="仿宋"/>
          <w:b w:val="0"/>
          <w:color w:val="auto"/>
          <w:sz w:val="36"/>
          <w:szCs w:val="30"/>
        </w:rPr>
        <w:t>程序及方法、评审标准、无效响应和</w:t>
      </w:r>
      <w:r>
        <w:rPr>
          <w:rFonts w:hint="eastAsia" w:ascii="仿宋" w:hAnsi="仿宋" w:eastAsia="仿宋" w:cs="仿宋"/>
          <w:b w:val="0"/>
          <w:color w:val="auto"/>
          <w:sz w:val="36"/>
          <w:szCs w:val="36"/>
        </w:rPr>
        <w:t>采购终止</w:t>
      </w:r>
      <w:bookmarkEnd w:id="120"/>
      <w:bookmarkEnd w:id="121"/>
      <w:bookmarkEnd w:id="122"/>
    </w:p>
    <w:p w14:paraId="539CB391">
      <w:pPr>
        <w:pStyle w:val="3"/>
        <w:adjustRightInd w:val="0"/>
        <w:snapToGrid w:val="0"/>
        <w:spacing w:before="0" w:after="0" w:line="360" w:lineRule="auto"/>
        <w:ind w:firstLine="482" w:firstLineChars="200"/>
        <w:rPr>
          <w:rFonts w:hint="eastAsia" w:ascii="仿宋" w:hAnsi="仿宋" w:eastAsia="仿宋" w:cs="仿宋"/>
          <w:color w:val="auto"/>
          <w:sz w:val="24"/>
        </w:rPr>
      </w:pPr>
      <w:bookmarkStart w:id="125" w:name="_Toc76462333"/>
      <w:bookmarkStart w:id="126" w:name="_Toc115126149"/>
      <w:bookmarkStart w:id="127" w:name="_Toc12044"/>
      <w:r>
        <w:rPr>
          <w:rFonts w:hint="eastAsia" w:ascii="仿宋" w:hAnsi="仿宋" w:eastAsia="仿宋" w:cs="仿宋"/>
          <w:color w:val="auto"/>
          <w:sz w:val="24"/>
        </w:rPr>
        <w:t>一、</w:t>
      </w:r>
      <w:r>
        <w:rPr>
          <w:rFonts w:hint="eastAsia" w:ascii="仿宋" w:hAnsi="仿宋" w:eastAsia="仿宋" w:cs="仿宋"/>
          <w:color w:val="auto"/>
          <w:sz w:val="24"/>
          <w:lang w:eastAsia="zh-CN"/>
        </w:rPr>
        <w:t>评审</w:t>
      </w:r>
      <w:r>
        <w:rPr>
          <w:rFonts w:hint="eastAsia" w:ascii="仿宋" w:hAnsi="仿宋" w:eastAsia="仿宋" w:cs="仿宋"/>
          <w:color w:val="auto"/>
          <w:sz w:val="24"/>
        </w:rPr>
        <w:t>程序及方法</w:t>
      </w:r>
      <w:bookmarkEnd w:id="125"/>
      <w:bookmarkEnd w:id="126"/>
      <w:bookmarkEnd w:id="127"/>
    </w:p>
    <w:p w14:paraId="232A548D">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w:t>
      </w:r>
      <w:r>
        <w:rPr>
          <w:rFonts w:hint="eastAsia" w:ascii="仿宋" w:hAnsi="仿宋" w:eastAsia="仿宋" w:cs="仿宋"/>
          <w:color w:val="auto"/>
          <w:sz w:val="24"/>
          <w:szCs w:val="24"/>
          <w:lang w:eastAsia="zh-CN"/>
        </w:rPr>
        <w:t>按询比文件</w:t>
      </w:r>
      <w:r>
        <w:rPr>
          <w:rFonts w:hint="eastAsia" w:ascii="仿宋" w:hAnsi="仿宋" w:eastAsia="仿宋" w:cs="仿宋"/>
          <w:color w:val="auto"/>
          <w:sz w:val="24"/>
          <w:szCs w:val="24"/>
        </w:rPr>
        <w:t>规定的时间和地点进行，供应商须有法定代表人（或其授权代表）或自然人参加并签到。</w:t>
      </w:r>
    </w:p>
    <w:p w14:paraId="194628A2">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w:t>
      </w:r>
      <w:r>
        <w:rPr>
          <w:rFonts w:hint="eastAsia" w:ascii="仿宋" w:hAnsi="仿宋" w:eastAsia="仿宋" w:cs="仿宋"/>
          <w:color w:val="auto"/>
          <w:sz w:val="24"/>
          <w:szCs w:val="24"/>
          <w:lang w:eastAsia="zh-CN"/>
        </w:rPr>
        <w:t>评审小组</w:t>
      </w:r>
      <w:r>
        <w:rPr>
          <w:rFonts w:hint="eastAsia" w:ascii="仿宋" w:hAnsi="仿宋" w:eastAsia="仿宋" w:cs="仿宋"/>
          <w:color w:val="auto"/>
          <w:sz w:val="24"/>
          <w:szCs w:val="24"/>
        </w:rPr>
        <w:t>对各供应商的资格条件、响应文件的有效性、完整性和响应程度进行审查。各供应商只有在完全符合要求的前提下，</w:t>
      </w:r>
      <w:r>
        <w:rPr>
          <w:rFonts w:hint="eastAsia" w:ascii="仿宋" w:hAnsi="仿宋" w:eastAsia="仿宋" w:cs="仿宋"/>
          <w:color w:val="auto"/>
          <w:sz w:val="24"/>
          <w:szCs w:val="24"/>
          <w:lang w:val="en-US" w:eastAsia="zh-CN"/>
        </w:rPr>
        <w:t>才能进入评审环节。</w:t>
      </w:r>
    </w:p>
    <w:p w14:paraId="49E5CE9F">
      <w:pPr>
        <w:snapToGrid w:val="0"/>
        <w:spacing w:line="360" w:lineRule="auto"/>
        <w:ind w:firstLine="480" w:firstLineChars="200"/>
        <w:rPr>
          <w:rFonts w:hint="eastAsia" w:ascii="仿宋" w:hAnsi="仿宋" w:eastAsia="仿宋" w:cs="仿宋"/>
          <w:color w:val="auto"/>
          <w:kern w:val="0"/>
          <w:sz w:val="24"/>
          <w:szCs w:val="24"/>
        </w:rPr>
      </w:pPr>
      <w:r>
        <w:rPr>
          <w:rFonts w:hint="eastAsia" w:ascii="仿宋" w:hAnsi="仿宋" w:eastAsia="仿宋" w:cs="仿宋"/>
          <w:color w:val="auto"/>
          <w:sz w:val="24"/>
          <w:szCs w:val="24"/>
        </w:rPr>
        <w:t>1.</w:t>
      </w:r>
      <w:r>
        <w:rPr>
          <w:rFonts w:hint="eastAsia" w:ascii="仿宋" w:hAnsi="仿宋" w:eastAsia="仿宋" w:cs="仿宋"/>
          <w:color w:val="auto"/>
          <w:kern w:val="0"/>
          <w:sz w:val="24"/>
          <w:szCs w:val="24"/>
        </w:rPr>
        <w:t>资格性审查。依据法律法规和</w:t>
      </w:r>
      <w:r>
        <w:rPr>
          <w:rFonts w:hint="eastAsia" w:ascii="仿宋" w:hAnsi="仿宋" w:eastAsia="仿宋" w:cs="仿宋"/>
          <w:color w:val="auto"/>
          <w:kern w:val="0"/>
          <w:sz w:val="24"/>
          <w:szCs w:val="24"/>
          <w:lang w:eastAsia="zh-CN"/>
        </w:rPr>
        <w:t>询比文件</w:t>
      </w:r>
      <w:r>
        <w:rPr>
          <w:rFonts w:hint="eastAsia" w:ascii="仿宋" w:hAnsi="仿宋" w:eastAsia="仿宋" w:cs="仿宋"/>
          <w:color w:val="auto"/>
          <w:kern w:val="0"/>
          <w:sz w:val="24"/>
          <w:szCs w:val="24"/>
        </w:rPr>
        <w:t>的规定，对响应文件中的资格证明、等进行审查。资格性审查资料表如下：</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709"/>
        <w:gridCol w:w="3118"/>
        <w:gridCol w:w="4984"/>
      </w:tblGrid>
      <w:tr w14:paraId="1FBDE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Borders>
              <w:top w:val="single" w:color="auto" w:sz="4" w:space="0"/>
              <w:left w:val="single" w:color="auto" w:sz="4" w:space="0"/>
              <w:bottom w:val="single" w:color="auto" w:sz="4" w:space="0"/>
              <w:right w:val="single" w:color="auto" w:sz="4" w:space="0"/>
            </w:tcBorders>
            <w:noWrap w:val="0"/>
            <w:vAlign w:val="center"/>
          </w:tcPr>
          <w:p w14:paraId="0CBDF851">
            <w:pPr>
              <w:spacing w:line="240" w:lineRule="auto"/>
              <w:jc w:val="center"/>
              <w:rPr>
                <w:rFonts w:hint="eastAsia" w:ascii="仿宋" w:hAnsi="仿宋" w:eastAsia="仿宋" w:cs="仿宋"/>
                <w:b/>
                <w:color w:val="auto"/>
                <w:kern w:val="0"/>
                <w:sz w:val="21"/>
                <w:szCs w:val="21"/>
              </w:rPr>
            </w:pPr>
            <w:r>
              <w:rPr>
                <w:rFonts w:hint="eastAsia" w:ascii="仿宋" w:hAnsi="仿宋" w:eastAsia="仿宋" w:cs="仿宋"/>
                <w:b/>
                <w:color w:val="auto"/>
                <w:kern w:val="0"/>
                <w:sz w:val="21"/>
                <w:szCs w:val="21"/>
              </w:rPr>
              <w:t>序号</w:t>
            </w:r>
          </w:p>
        </w:tc>
        <w:tc>
          <w:tcPr>
            <w:tcW w:w="3827" w:type="dxa"/>
            <w:gridSpan w:val="2"/>
            <w:tcBorders>
              <w:top w:val="single" w:color="auto" w:sz="4" w:space="0"/>
              <w:left w:val="single" w:color="auto" w:sz="4" w:space="0"/>
              <w:bottom w:val="single" w:color="auto" w:sz="4" w:space="0"/>
              <w:right w:val="single" w:color="auto" w:sz="4" w:space="0"/>
            </w:tcBorders>
            <w:noWrap w:val="0"/>
            <w:vAlign w:val="center"/>
          </w:tcPr>
          <w:p w14:paraId="6349B493">
            <w:pPr>
              <w:spacing w:line="240" w:lineRule="auto"/>
              <w:jc w:val="center"/>
              <w:rPr>
                <w:rFonts w:hint="eastAsia" w:ascii="仿宋" w:hAnsi="仿宋" w:eastAsia="仿宋" w:cs="仿宋"/>
                <w:b/>
                <w:color w:val="auto"/>
                <w:kern w:val="0"/>
                <w:sz w:val="21"/>
                <w:szCs w:val="21"/>
              </w:rPr>
            </w:pPr>
            <w:r>
              <w:rPr>
                <w:rFonts w:hint="eastAsia" w:ascii="仿宋" w:hAnsi="仿宋" w:eastAsia="仿宋" w:cs="仿宋"/>
                <w:b/>
                <w:color w:val="auto"/>
                <w:kern w:val="0"/>
                <w:sz w:val="21"/>
                <w:szCs w:val="21"/>
              </w:rPr>
              <w:t>检查因素</w:t>
            </w:r>
          </w:p>
        </w:tc>
        <w:tc>
          <w:tcPr>
            <w:tcW w:w="4984" w:type="dxa"/>
            <w:tcBorders>
              <w:top w:val="single" w:color="auto" w:sz="4" w:space="0"/>
              <w:left w:val="single" w:color="auto" w:sz="4" w:space="0"/>
              <w:bottom w:val="single" w:color="auto" w:sz="4" w:space="0"/>
              <w:right w:val="single" w:color="auto" w:sz="4" w:space="0"/>
            </w:tcBorders>
            <w:noWrap w:val="0"/>
            <w:vAlign w:val="center"/>
          </w:tcPr>
          <w:p w14:paraId="02431F11">
            <w:pPr>
              <w:spacing w:line="240" w:lineRule="auto"/>
              <w:jc w:val="center"/>
              <w:rPr>
                <w:rFonts w:hint="eastAsia" w:ascii="仿宋" w:hAnsi="仿宋" w:eastAsia="仿宋" w:cs="仿宋"/>
                <w:b/>
                <w:color w:val="auto"/>
                <w:kern w:val="0"/>
                <w:sz w:val="21"/>
                <w:szCs w:val="21"/>
              </w:rPr>
            </w:pPr>
            <w:r>
              <w:rPr>
                <w:rFonts w:hint="eastAsia" w:ascii="仿宋" w:hAnsi="仿宋" w:eastAsia="仿宋" w:cs="仿宋"/>
                <w:b/>
                <w:color w:val="auto"/>
                <w:kern w:val="0"/>
                <w:sz w:val="21"/>
                <w:szCs w:val="21"/>
              </w:rPr>
              <w:t>检查内容</w:t>
            </w:r>
          </w:p>
        </w:tc>
      </w:tr>
      <w:tr w14:paraId="7B28A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restart"/>
            <w:noWrap w:val="0"/>
            <w:vAlign w:val="center"/>
          </w:tcPr>
          <w:p w14:paraId="7D6C2B2F">
            <w:pPr>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rPr>
              <w:t>（一）</w:t>
            </w:r>
          </w:p>
        </w:tc>
        <w:tc>
          <w:tcPr>
            <w:tcW w:w="709" w:type="dxa"/>
            <w:vMerge w:val="restart"/>
            <w:noWrap w:val="0"/>
            <w:vAlign w:val="center"/>
          </w:tcPr>
          <w:p w14:paraId="26AEEBAD">
            <w:pPr>
              <w:spacing w:line="240" w:lineRule="auto"/>
              <w:rPr>
                <w:rFonts w:hint="eastAsia" w:ascii="仿宋" w:hAnsi="仿宋" w:eastAsia="仿宋" w:cs="仿宋"/>
                <w:color w:val="auto"/>
                <w:sz w:val="21"/>
                <w:szCs w:val="21"/>
                <w:lang w:val="zh-CN"/>
              </w:rPr>
            </w:pPr>
            <w:r>
              <w:rPr>
                <w:rFonts w:hint="eastAsia" w:ascii="仿宋" w:hAnsi="仿宋" w:eastAsia="仿宋" w:cs="仿宋"/>
                <w:color w:val="auto"/>
                <w:sz w:val="21"/>
                <w:szCs w:val="21"/>
                <w:lang w:val="zh-CN"/>
              </w:rPr>
              <w:t>《中华人民共和国政府采购法》第二十二条规定</w:t>
            </w:r>
          </w:p>
        </w:tc>
        <w:tc>
          <w:tcPr>
            <w:tcW w:w="3118" w:type="dxa"/>
            <w:noWrap w:val="0"/>
            <w:vAlign w:val="center"/>
          </w:tcPr>
          <w:p w14:paraId="0484EDF8">
            <w:pPr>
              <w:spacing w:line="240" w:lineRule="auto"/>
              <w:rPr>
                <w:rFonts w:hint="eastAsia" w:ascii="仿宋" w:hAnsi="仿宋" w:eastAsia="仿宋" w:cs="仿宋"/>
                <w:color w:val="auto"/>
                <w:sz w:val="21"/>
                <w:szCs w:val="21"/>
              </w:rPr>
            </w:pPr>
            <w:r>
              <w:rPr>
                <w:rFonts w:hint="eastAsia" w:ascii="仿宋" w:hAnsi="仿宋" w:eastAsia="仿宋" w:cs="仿宋"/>
                <w:color w:val="auto"/>
                <w:sz w:val="21"/>
                <w:szCs w:val="21"/>
              </w:rPr>
              <w:t>1.具有独立承担民事责任的能力</w:t>
            </w:r>
          </w:p>
        </w:tc>
        <w:tc>
          <w:tcPr>
            <w:tcW w:w="4984" w:type="dxa"/>
            <w:noWrap w:val="0"/>
            <w:vAlign w:val="center"/>
          </w:tcPr>
          <w:p w14:paraId="41F945E8">
            <w:pPr>
              <w:spacing w:line="240" w:lineRule="auto"/>
              <w:rPr>
                <w:rFonts w:hint="eastAsia" w:ascii="仿宋" w:hAnsi="仿宋" w:eastAsia="仿宋" w:cs="仿宋"/>
                <w:color w:val="auto"/>
                <w:sz w:val="21"/>
                <w:szCs w:val="21"/>
              </w:rPr>
            </w:pPr>
            <w:r>
              <w:rPr>
                <w:rFonts w:hint="eastAsia" w:ascii="仿宋" w:hAnsi="仿宋" w:eastAsia="仿宋" w:cs="仿宋"/>
                <w:color w:val="auto"/>
                <w:sz w:val="21"/>
                <w:szCs w:val="21"/>
              </w:rPr>
              <w:t xml:space="preserve">1. 供应商法人营业执照（副本）或事业单位法人证书（副本）或个体工商户营业执照或有效的自然人身份证明复印件； </w:t>
            </w:r>
          </w:p>
          <w:p w14:paraId="03886DD9">
            <w:pPr>
              <w:spacing w:line="240" w:lineRule="auto"/>
              <w:rPr>
                <w:rFonts w:hint="eastAsia" w:ascii="仿宋" w:hAnsi="仿宋" w:eastAsia="仿宋" w:cs="仿宋"/>
                <w:color w:val="auto"/>
                <w:sz w:val="21"/>
                <w:szCs w:val="21"/>
              </w:rPr>
            </w:pPr>
            <w:r>
              <w:rPr>
                <w:rFonts w:hint="eastAsia" w:ascii="仿宋" w:hAnsi="仿宋" w:eastAsia="仿宋" w:cs="仿宋"/>
                <w:color w:val="auto"/>
                <w:sz w:val="21"/>
                <w:szCs w:val="21"/>
              </w:rPr>
              <w:t>2.供应商法定代表人身份证明和法定代表人授权代表委托书。</w:t>
            </w:r>
          </w:p>
        </w:tc>
      </w:tr>
      <w:tr w14:paraId="666A0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noWrap w:val="0"/>
            <w:vAlign w:val="center"/>
          </w:tcPr>
          <w:p w14:paraId="1A18384F">
            <w:pPr>
              <w:spacing w:line="240" w:lineRule="auto"/>
              <w:jc w:val="center"/>
              <w:rPr>
                <w:rFonts w:hint="eastAsia" w:ascii="仿宋" w:hAnsi="仿宋" w:eastAsia="仿宋" w:cs="仿宋"/>
                <w:color w:val="auto"/>
                <w:sz w:val="21"/>
                <w:szCs w:val="21"/>
              </w:rPr>
            </w:pPr>
          </w:p>
        </w:tc>
        <w:tc>
          <w:tcPr>
            <w:tcW w:w="709" w:type="dxa"/>
            <w:vMerge w:val="continue"/>
            <w:noWrap w:val="0"/>
            <w:vAlign w:val="center"/>
          </w:tcPr>
          <w:p w14:paraId="4F057BB7">
            <w:pPr>
              <w:spacing w:line="240" w:lineRule="auto"/>
              <w:rPr>
                <w:rFonts w:hint="eastAsia" w:ascii="仿宋" w:hAnsi="仿宋" w:eastAsia="仿宋" w:cs="仿宋"/>
                <w:color w:val="auto"/>
                <w:sz w:val="21"/>
                <w:szCs w:val="21"/>
                <w:lang w:val="zh-CN"/>
              </w:rPr>
            </w:pPr>
          </w:p>
        </w:tc>
        <w:tc>
          <w:tcPr>
            <w:tcW w:w="3118" w:type="dxa"/>
            <w:noWrap w:val="0"/>
            <w:vAlign w:val="center"/>
          </w:tcPr>
          <w:p w14:paraId="125792C9">
            <w:pPr>
              <w:spacing w:line="240" w:lineRule="auto"/>
              <w:rPr>
                <w:rFonts w:hint="eastAsia" w:ascii="仿宋" w:hAnsi="仿宋" w:eastAsia="仿宋" w:cs="仿宋"/>
                <w:color w:val="auto"/>
                <w:sz w:val="21"/>
                <w:szCs w:val="21"/>
              </w:rPr>
            </w:pPr>
            <w:r>
              <w:rPr>
                <w:rFonts w:hint="eastAsia" w:ascii="仿宋" w:hAnsi="仿宋" w:eastAsia="仿宋" w:cs="仿宋"/>
                <w:color w:val="auto"/>
                <w:sz w:val="21"/>
                <w:szCs w:val="21"/>
                <w:lang w:val="zh-CN"/>
              </w:rPr>
              <w:t>2.</w:t>
            </w:r>
            <w:r>
              <w:rPr>
                <w:rFonts w:hint="eastAsia" w:ascii="仿宋" w:hAnsi="仿宋" w:eastAsia="仿宋" w:cs="仿宋"/>
                <w:color w:val="auto"/>
                <w:sz w:val="21"/>
                <w:szCs w:val="21"/>
              </w:rPr>
              <w:t>具有良好的商业信誉和健全的财务会计制度</w:t>
            </w:r>
          </w:p>
        </w:tc>
        <w:tc>
          <w:tcPr>
            <w:tcW w:w="4984" w:type="dxa"/>
            <w:vMerge w:val="restart"/>
            <w:noWrap w:val="0"/>
            <w:vAlign w:val="center"/>
          </w:tcPr>
          <w:p w14:paraId="4D32029F">
            <w:pPr>
              <w:spacing w:line="240" w:lineRule="auto"/>
              <w:rPr>
                <w:rFonts w:hint="eastAsia" w:ascii="仿宋" w:hAnsi="仿宋" w:eastAsia="仿宋" w:cs="仿宋"/>
                <w:b/>
                <w:color w:val="auto"/>
                <w:sz w:val="21"/>
                <w:szCs w:val="21"/>
              </w:rPr>
            </w:pPr>
            <w:r>
              <w:rPr>
                <w:rFonts w:hint="eastAsia" w:ascii="仿宋" w:hAnsi="仿宋" w:eastAsia="仿宋" w:cs="仿宋"/>
                <w:color w:val="auto"/>
                <w:sz w:val="21"/>
                <w:szCs w:val="21"/>
              </w:rPr>
              <w:t>供应商提供“基本资格条件承诺函”（格式详见第七篇）</w:t>
            </w:r>
          </w:p>
        </w:tc>
      </w:tr>
      <w:tr w14:paraId="30ADE7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noWrap w:val="0"/>
            <w:vAlign w:val="center"/>
          </w:tcPr>
          <w:p w14:paraId="48D828B0">
            <w:pPr>
              <w:spacing w:line="240" w:lineRule="auto"/>
              <w:jc w:val="center"/>
              <w:rPr>
                <w:rFonts w:hint="eastAsia" w:ascii="仿宋" w:hAnsi="仿宋" w:eastAsia="仿宋" w:cs="仿宋"/>
                <w:color w:val="auto"/>
                <w:sz w:val="21"/>
                <w:szCs w:val="21"/>
              </w:rPr>
            </w:pPr>
          </w:p>
        </w:tc>
        <w:tc>
          <w:tcPr>
            <w:tcW w:w="709" w:type="dxa"/>
            <w:vMerge w:val="continue"/>
            <w:noWrap w:val="0"/>
            <w:vAlign w:val="center"/>
          </w:tcPr>
          <w:p w14:paraId="78E868B6">
            <w:pPr>
              <w:spacing w:line="240" w:lineRule="auto"/>
              <w:rPr>
                <w:rFonts w:hint="eastAsia" w:ascii="仿宋" w:hAnsi="仿宋" w:eastAsia="仿宋" w:cs="仿宋"/>
                <w:color w:val="auto"/>
                <w:sz w:val="21"/>
                <w:szCs w:val="21"/>
                <w:lang w:val="zh-CN"/>
              </w:rPr>
            </w:pPr>
          </w:p>
        </w:tc>
        <w:tc>
          <w:tcPr>
            <w:tcW w:w="3118" w:type="dxa"/>
            <w:noWrap w:val="0"/>
            <w:vAlign w:val="center"/>
          </w:tcPr>
          <w:p w14:paraId="4BB5402A">
            <w:pPr>
              <w:spacing w:line="240" w:lineRule="auto"/>
              <w:rPr>
                <w:rFonts w:hint="eastAsia" w:ascii="仿宋" w:hAnsi="仿宋" w:eastAsia="仿宋" w:cs="仿宋"/>
                <w:color w:val="auto"/>
                <w:sz w:val="21"/>
                <w:szCs w:val="21"/>
                <w:lang w:val="zh-CN"/>
              </w:rPr>
            </w:pPr>
            <w:r>
              <w:rPr>
                <w:rFonts w:hint="eastAsia" w:ascii="仿宋" w:hAnsi="仿宋" w:eastAsia="仿宋" w:cs="仿宋"/>
                <w:color w:val="auto"/>
                <w:sz w:val="21"/>
                <w:szCs w:val="21"/>
                <w:lang w:val="zh-CN"/>
              </w:rPr>
              <w:t>3.具有履行合同所必需的设备和专业技术能力</w:t>
            </w:r>
          </w:p>
        </w:tc>
        <w:tc>
          <w:tcPr>
            <w:tcW w:w="4984" w:type="dxa"/>
            <w:vMerge w:val="continue"/>
            <w:noWrap w:val="0"/>
            <w:vAlign w:val="center"/>
          </w:tcPr>
          <w:p w14:paraId="53DF061F">
            <w:pPr>
              <w:spacing w:line="240" w:lineRule="auto"/>
              <w:rPr>
                <w:rFonts w:hint="eastAsia" w:ascii="仿宋" w:hAnsi="仿宋" w:eastAsia="仿宋" w:cs="仿宋"/>
                <w:color w:val="auto"/>
                <w:sz w:val="21"/>
                <w:szCs w:val="21"/>
              </w:rPr>
            </w:pPr>
          </w:p>
        </w:tc>
      </w:tr>
      <w:tr w14:paraId="0EFED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noWrap w:val="0"/>
            <w:vAlign w:val="center"/>
          </w:tcPr>
          <w:p w14:paraId="37A2307D">
            <w:pPr>
              <w:spacing w:line="240" w:lineRule="auto"/>
              <w:jc w:val="center"/>
              <w:rPr>
                <w:rFonts w:hint="eastAsia" w:ascii="仿宋" w:hAnsi="仿宋" w:eastAsia="仿宋" w:cs="仿宋"/>
                <w:color w:val="auto"/>
                <w:sz w:val="21"/>
                <w:szCs w:val="21"/>
              </w:rPr>
            </w:pPr>
          </w:p>
        </w:tc>
        <w:tc>
          <w:tcPr>
            <w:tcW w:w="709" w:type="dxa"/>
            <w:vMerge w:val="continue"/>
            <w:noWrap w:val="0"/>
            <w:vAlign w:val="center"/>
          </w:tcPr>
          <w:p w14:paraId="1D748BA9">
            <w:pPr>
              <w:spacing w:line="240" w:lineRule="auto"/>
              <w:rPr>
                <w:rFonts w:hint="eastAsia" w:ascii="仿宋" w:hAnsi="仿宋" w:eastAsia="仿宋" w:cs="仿宋"/>
                <w:color w:val="auto"/>
                <w:sz w:val="21"/>
                <w:szCs w:val="21"/>
                <w:lang w:val="zh-CN"/>
              </w:rPr>
            </w:pPr>
          </w:p>
        </w:tc>
        <w:tc>
          <w:tcPr>
            <w:tcW w:w="3118" w:type="dxa"/>
            <w:noWrap w:val="0"/>
            <w:vAlign w:val="center"/>
          </w:tcPr>
          <w:p w14:paraId="1992EB29">
            <w:pPr>
              <w:spacing w:line="240" w:lineRule="auto"/>
              <w:rPr>
                <w:rFonts w:hint="eastAsia" w:ascii="仿宋" w:hAnsi="仿宋" w:eastAsia="仿宋" w:cs="仿宋"/>
                <w:color w:val="auto"/>
                <w:sz w:val="21"/>
                <w:szCs w:val="21"/>
                <w:lang w:val="zh-CN"/>
              </w:rPr>
            </w:pPr>
            <w:r>
              <w:rPr>
                <w:rFonts w:hint="eastAsia" w:ascii="仿宋" w:hAnsi="仿宋" w:eastAsia="仿宋" w:cs="仿宋"/>
                <w:color w:val="auto"/>
                <w:sz w:val="21"/>
                <w:szCs w:val="21"/>
                <w:lang w:val="zh-CN"/>
              </w:rPr>
              <w:t>4.有依法缴纳税收和社会保障金的良好记录</w:t>
            </w:r>
          </w:p>
        </w:tc>
        <w:tc>
          <w:tcPr>
            <w:tcW w:w="4984" w:type="dxa"/>
            <w:vMerge w:val="continue"/>
            <w:noWrap w:val="0"/>
            <w:vAlign w:val="center"/>
          </w:tcPr>
          <w:p w14:paraId="37121A79">
            <w:pPr>
              <w:spacing w:line="240" w:lineRule="auto"/>
              <w:rPr>
                <w:rFonts w:hint="eastAsia" w:ascii="仿宋" w:hAnsi="仿宋" w:eastAsia="仿宋" w:cs="仿宋"/>
                <w:color w:val="auto"/>
                <w:sz w:val="21"/>
                <w:szCs w:val="21"/>
              </w:rPr>
            </w:pPr>
          </w:p>
        </w:tc>
      </w:tr>
      <w:tr w14:paraId="03559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noWrap w:val="0"/>
            <w:vAlign w:val="center"/>
          </w:tcPr>
          <w:p w14:paraId="0D01897A">
            <w:pPr>
              <w:spacing w:line="240" w:lineRule="auto"/>
              <w:jc w:val="center"/>
              <w:rPr>
                <w:rFonts w:hint="eastAsia" w:ascii="仿宋" w:hAnsi="仿宋" w:eastAsia="仿宋" w:cs="仿宋"/>
                <w:color w:val="auto"/>
                <w:sz w:val="21"/>
                <w:szCs w:val="21"/>
              </w:rPr>
            </w:pPr>
          </w:p>
        </w:tc>
        <w:tc>
          <w:tcPr>
            <w:tcW w:w="709" w:type="dxa"/>
            <w:vMerge w:val="continue"/>
            <w:noWrap w:val="0"/>
            <w:vAlign w:val="center"/>
          </w:tcPr>
          <w:p w14:paraId="3B725A6F">
            <w:pPr>
              <w:spacing w:line="240" w:lineRule="auto"/>
              <w:rPr>
                <w:rFonts w:hint="eastAsia" w:ascii="仿宋" w:hAnsi="仿宋" w:eastAsia="仿宋" w:cs="仿宋"/>
                <w:color w:val="auto"/>
                <w:sz w:val="21"/>
                <w:szCs w:val="21"/>
                <w:lang w:val="zh-CN"/>
              </w:rPr>
            </w:pPr>
          </w:p>
        </w:tc>
        <w:tc>
          <w:tcPr>
            <w:tcW w:w="3118" w:type="dxa"/>
            <w:noWrap w:val="0"/>
            <w:vAlign w:val="center"/>
          </w:tcPr>
          <w:p w14:paraId="1A0B9E50">
            <w:pPr>
              <w:spacing w:line="240" w:lineRule="auto"/>
              <w:rPr>
                <w:rFonts w:hint="eastAsia" w:ascii="仿宋" w:hAnsi="仿宋" w:eastAsia="仿宋" w:cs="仿宋"/>
                <w:color w:val="auto"/>
                <w:sz w:val="21"/>
                <w:szCs w:val="21"/>
                <w:lang w:val="zh-CN"/>
              </w:rPr>
            </w:pPr>
            <w:r>
              <w:rPr>
                <w:rFonts w:hint="eastAsia" w:ascii="仿宋" w:hAnsi="仿宋" w:eastAsia="仿宋" w:cs="仿宋"/>
                <w:color w:val="auto"/>
                <w:sz w:val="21"/>
                <w:szCs w:val="21"/>
              </w:rPr>
              <w:t>5.参加政府采购活动前三年内，在经营活动中没有重大违法记录</w:t>
            </w:r>
          </w:p>
        </w:tc>
        <w:tc>
          <w:tcPr>
            <w:tcW w:w="4984" w:type="dxa"/>
            <w:vMerge w:val="continue"/>
            <w:noWrap w:val="0"/>
            <w:vAlign w:val="center"/>
          </w:tcPr>
          <w:p w14:paraId="7B64236B">
            <w:pPr>
              <w:spacing w:line="240" w:lineRule="auto"/>
              <w:rPr>
                <w:rFonts w:hint="eastAsia" w:ascii="仿宋" w:hAnsi="仿宋" w:eastAsia="仿宋" w:cs="仿宋"/>
                <w:b/>
                <w:color w:val="auto"/>
                <w:sz w:val="21"/>
                <w:szCs w:val="21"/>
              </w:rPr>
            </w:pPr>
          </w:p>
        </w:tc>
      </w:tr>
      <w:tr w14:paraId="74CBF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817" w:type="dxa"/>
            <w:vMerge w:val="continue"/>
            <w:noWrap w:val="0"/>
            <w:vAlign w:val="center"/>
          </w:tcPr>
          <w:p w14:paraId="06E8291B">
            <w:pPr>
              <w:spacing w:line="240" w:lineRule="auto"/>
              <w:jc w:val="center"/>
              <w:rPr>
                <w:rFonts w:hint="eastAsia" w:ascii="仿宋" w:hAnsi="仿宋" w:eastAsia="仿宋" w:cs="仿宋"/>
                <w:color w:val="auto"/>
                <w:sz w:val="21"/>
                <w:szCs w:val="21"/>
              </w:rPr>
            </w:pPr>
          </w:p>
        </w:tc>
        <w:tc>
          <w:tcPr>
            <w:tcW w:w="709" w:type="dxa"/>
            <w:vMerge w:val="continue"/>
            <w:noWrap w:val="0"/>
            <w:vAlign w:val="center"/>
          </w:tcPr>
          <w:p w14:paraId="086A5888">
            <w:pPr>
              <w:spacing w:line="240" w:lineRule="auto"/>
              <w:rPr>
                <w:rFonts w:hint="eastAsia" w:ascii="仿宋" w:hAnsi="仿宋" w:eastAsia="仿宋" w:cs="仿宋"/>
                <w:color w:val="auto"/>
                <w:sz w:val="21"/>
                <w:szCs w:val="21"/>
              </w:rPr>
            </w:pPr>
          </w:p>
        </w:tc>
        <w:tc>
          <w:tcPr>
            <w:tcW w:w="3118" w:type="dxa"/>
            <w:noWrap w:val="0"/>
            <w:vAlign w:val="center"/>
          </w:tcPr>
          <w:p w14:paraId="19FC2AE0">
            <w:pPr>
              <w:spacing w:line="240" w:lineRule="auto"/>
              <w:rPr>
                <w:rFonts w:hint="eastAsia" w:ascii="仿宋" w:hAnsi="仿宋" w:eastAsia="仿宋" w:cs="仿宋"/>
                <w:color w:val="auto"/>
                <w:sz w:val="21"/>
                <w:szCs w:val="21"/>
              </w:rPr>
            </w:pPr>
            <w:r>
              <w:rPr>
                <w:rFonts w:hint="eastAsia" w:ascii="仿宋" w:hAnsi="仿宋" w:eastAsia="仿宋" w:cs="仿宋"/>
                <w:color w:val="auto"/>
                <w:sz w:val="21"/>
                <w:szCs w:val="21"/>
              </w:rPr>
              <w:t>6.法律、行政法规规定的其他条件</w:t>
            </w:r>
          </w:p>
        </w:tc>
        <w:tc>
          <w:tcPr>
            <w:tcW w:w="4984" w:type="dxa"/>
            <w:noWrap w:val="0"/>
            <w:vAlign w:val="center"/>
          </w:tcPr>
          <w:p w14:paraId="12DA95BF">
            <w:pPr>
              <w:spacing w:line="240" w:lineRule="auto"/>
              <w:rPr>
                <w:rFonts w:hint="eastAsia" w:ascii="仿宋" w:hAnsi="仿宋" w:eastAsia="仿宋" w:cs="仿宋"/>
                <w:color w:val="auto"/>
                <w:sz w:val="21"/>
                <w:szCs w:val="21"/>
              </w:rPr>
            </w:pPr>
          </w:p>
        </w:tc>
      </w:tr>
      <w:tr w14:paraId="20868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trPr>
        <w:tc>
          <w:tcPr>
            <w:tcW w:w="817" w:type="dxa"/>
            <w:noWrap w:val="0"/>
            <w:vAlign w:val="center"/>
          </w:tcPr>
          <w:p w14:paraId="45D5B4F0">
            <w:pPr>
              <w:spacing w:line="240" w:lineRule="auto"/>
              <w:rPr>
                <w:rFonts w:hint="eastAsia" w:ascii="仿宋" w:hAnsi="仿宋" w:eastAsia="仿宋" w:cs="仿宋"/>
                <w:color w:val="auto"/>
                <w:sz w:val="21"/>
                <w:szCs w:val="21"/>
              </w:rPr>
            </w:pPr>
            <w:r>
              <w:rPr>
                <w:rFonts w:hint="eastAsia" w:ascii="仿宋" w:hAnsi="仿宋" w:eastAsia="仿宋" w:cs="仿宋"/>
                <w:color w:val="auto"/>
                <w:sz w:val="21"/>
                <w:szCs w:val="21"/>
              </w:rPr>
              <w:t>（</w:t>
            </w:r>
            <w:r>
              <w:rPr>
                <w:rFonts w:hint="eastAsia" w:ascii="仿宋" w:hAnsi="仿宋" w:eastAsia="仿宋" w:cs="仿宋"/>
                <w:color w:val="auto"/>
                <w:sz w:val="21"/>
                <w:szCs w:val="21"/>
                <w:lang w:eastAsia="zh-CN"/>
              </w:rPr>
              <w:t>二</w:t>
            </w:r>
            <w:r>
              <w:rPr>
                <w:rFonts w:hint="eastAsia" w:ascii="仿宋" w:hAnsi="仿宋" w:eastAsia="仿宋" w:cs="仿宋"/>
                <w:color w:val="auto"/>
                <w:sz w:val="21"/>
                <w:szCs w:val="21"/>
              </w:rPr>
              <w:t xml:space="preserve"> ）</w:t>
            </w:r>
          </w:p>
        </w:tc>
        <w:tc>
          <w:tcPr>
            <w:tcW w:w="3827" w:type="dxa"/>
            <w:gridSpan w:val="2"/>
            <w:noWrap w:val="0"/>
            <w:vAlign w:val="center"/>
          </w:tcPr>
          <w:p w14:paraId="194C0415">
            <w:pPr>
              <w:spacing w:line="240" w:lineRule="auto"/>
              <w:rPr>
                <w:rFonts w:hint="eastAsia" w:ascii="仿宋" w:hAnsi="仿宋" w:eastAsia="仿宋" w:cs="仿宋"/>
                <w:color w:val="auto"/>
                <w:sz w:val="21"/>
                <w:szCs w:val="21"/>
              </w:rPr>
            </w:pPr>
            <w:r>
              <w:rPr>
                <w:rFonts w:hint="eastAsia" w:ascii="仿宋" w:hAnsi="仿宋" w:eastAsia="仿宋" w:cs="仿宋"/>
                <w:color w:val="auto"/>
                <w:sz w:val="21"/>
                <w:szCs w:val="21"/>
              </w:rPr>
              <w:t>本项目的特定资格要求</w:t>
            </w:r>
          </w:p>
        </w:tc>
        <w:tc>
          <w:tcPr>
            <w:tcW w:w="4984" w:type="dxa"/>
            <w:noWrap w:val="0"/>
            <w:vAlign w:val="center"/>
          </w:tcPr>
          <w:p w14:paraId="53BCB808">
            <w:pPr>
              <w:spacing w:line="240" w:lineRule="auto"/>
              <w:rPr>
                <w:rFonts w:hint="eastAsia" w:ascii="仿宋" w:hAnsi="仿宋" w:eastAsia="仿宋" w:cs="仿宋"/>
                <w:color w:val="auto"/>
                <w:sz w:val="21"/>
                <w:szCs w:val="21"/>
              </w:rPr>
            </w:pPr>
            <w:r>
              <w:rPr>
                <w:rFonts w:hint="eastAsia" w:ascii="仿宋" w:hAnsi="仿宋" w:eastAsia="仿宋" w:cs="仿宋"/>
                <w:color w:val="auto"/>
                <w:sz w:val="21"/>
                <w:szCs w:val="21"/>
              </w:rPr>
              <w:t>按“第一篇 三、供应商资格要求（二）本项目的特定资格要求”的要求提交（如果有）。</w:t>
            </w:r>
          </w:p>
        </w:tc>
      </w:tr>
    </w:tbl>
    <w:p w14:paraId="1B642A6E">
      <w:pPr>
        <w:snapToGrid w:val="0"/>
        <w:spacing w:line="360" w:lineRule="auto"/>
        <w:ind w:firstLine="480" w:firstLineChars="200"/>
        <w:rPr>
          <w:rFonts w:hint="eastAsia" w:ascii="仿宋" w:hAnsi="仿宋" w:eastAsia="仿宋" w:cs="仿宋"/>
          <w:color w:val="auto"/>
          <w:kern w:val="0"/>
          <w:sz w:val="24"/>
          <w:szCs w:val="24"/>
        </w:rPr>
      </w:pPr>
      <w:r>
        <w:rPr>
          <w:rFonts w:hint="eastAsia" w:ascii="仿宋" w:hAnsi="仿宋" w:eastAsia="仿宋" w:cs="仿宋"/>
          <w:color w:val="auto"/>
          <w:kern w:val="0"/>
          <w:sz w:val="24"/>
          <w:szCs w:val="24"/>
        </w:rPr>
        <w:t>注：</w:t>
      </w:r>
    </w:p>
    <w:p w14:paraId="571A3A80">
      <w:pPr>
        <w:snapToGrid w:val="0"/>
        <w:spacing w:line="360" w:lineRule="auto"/>
        <w:ind w:firstLine="480" w:firstLineChars="200"/>
        <w:rPr>
          <w:rFonts w:hint="eastAsia" w:ascii="仿宋" w:hAnsi="仿宋" w:eastAsia="仿宋" w:cs="仿宋"/>
          <w:color w:val="auto"/>
          <w:kern w:val="0"/>
          <w:sz w:val="24"/>
          <w:szCs w:val="24"/>
        </w:rPr>
      </w:pPr>
      <w:r>
        <w:rPr>
          <w:rFonts w:hint="eastAsia" w:ascii="仿宋" w:hAnsi="仿宋" w:eastAsia="仿宋" w:cs="仿宋"/>
          <w:color w:val="auto"/>
          <w:kern w:val="0"/>
          <w:sz w:val="24"/>
          <w:szCs w:val="24"/>
        </w:rPr>
        <w:fldChar w:fldCharType="begin"/>
      </w:r>
      <w:r>
        <w:rPr>
          <w:rFonts w:hint="eastAsia" w:ascii="仿宋" w:hAnsi="仿宋" w:eastAsia="仿宋" w:cs="仿宋"/>
          <w:color w:val="auto"/>
          <w:kern w:val="0"/>
          <w:sz w:val="24"/>
          <w:szCs w:val="24"/>
        </w:rPr>
        <w:instrText xml:space="preserve"> eq \o\ac(○,</w:instrText>
      </w:r>
      <w:r>
        <w:rPr>
          <w:rFonts w:hint="eastAsia" w:ascii="仿宋" w:hAnsi="仿宋" w:eastAsia="仿宋" w:cs="仿宋"/>
          <w:color w:val="auto"/>
          <w:kern w:val="0"/>
          <w:position w:val="3"/>
          <w:sz w:val="16"/>
          <w:szCs w:val="24"/>
        </w:rPr>
        <w:instrText xml:space="preserve">1</w:instrText>
      </w:r>
      <w:r>
        <w:rPr>
          <w:rFonts w:hint="eastAsia" w:ascii="仿宋" w:hAnsi="仿宋" w:eastAsia="仿宋" w:cs="仿宋"/>
          <w:color w:val="auto"/>
          <w:kern w:val="0"/>
          <w:sz w:val="24"/>
          <w:szCs w:val="24"/>
        </w:rPr>
        <w:instrText xml:space="preserve">)</w:instrText>
      </w:r>
      <w:r>
        <w:rPr>
          <w:rFonts w:hint="eastAsia" w:ascii="仿宋" w:hAnsi="仿宋" w:eastAsia="仿宋" w:cs="仿宋"/>
          <w:color w:val="auto"/>
          <w:kern w:val="0"/>
          <w:sz w:val="24"/>
          <w:szCs w:val="24"/>
        </w:rPr>
        <w:fldChar w:fldCharType="end"/>
      </w:r>
      <w:r>
        <w:rPr>
          <w:rFonts w:hint="eastAsia" w:ascii="仿宋" w:hAnsi="仿宋" w:eastAsia="仿宋" w:cs="仿宋"/>
          <w:color w:val="auto"/>
          <w:kern w:val="0"/>
          <w:sz w:val="24"/>
          <w:szCs w:val="24"/>
        </w:rPr>
        <w:t>根据《中华人民共和国政府采购法实施条例》第十九条“参加政府采购活动前三年内，在经营活动中没有重大违法记录”中“重大违法记录”，是指供应商因违法经营受到刑事处罚或者责令停产停业、吊销许可证或者执照、较大数额罚款等行政处罚。行政处罚中“较大数额”的认定标准，按照“财政部关于《中华人民共和国政府采购法实施条例》第十九条第一款“较大数额罚款”具体适用问题的意见（财库〔2022〕3 号）”执行。供应商可于响应文件递交截止时间前通过 “信用中国”网站(www.creditchina.gov.cn)、"中国政府采购网"(www.ccgp.gov.cn)等渠道查询信用记录。</w:t>
      </w:r>
    </w:p>
    <w:p w14:paraId="7AA8401E">
      <w:pPr>
        <w:snapToGrid w:val="0"/>
        <w:spacing w:line="360" w:lineRule="auto"/>
        <w:ind w:firstLine="480" w:firstLineChars="200"/>
        <w:rPr>
          <w:rFonts w:hint="eastAsia" w:ascii="仿宋" w:hAnsi="仿宋" w:eastAsia="仿宋" w:cs="仿宋"/>
          <w:color w:val="auto"/>
          <w:kern w:val="0"/>
          <w:sz w:val="24"/>
          <w:szCs w:val="24"/>
        </w:rPr>
      </w:pPr>
      <w:r>
        <w:rPr>
          <w:rFonts w:hint="eastAsia" w:ascii="仿宋" w:hAnsi="仿宋" w:eastAsia="仿宋" w:cs="仿宋"/>
          <w:color w:val="auto"/>
          <w:kern w:val="0"/>
          <w:sz w:val="24"/>
          <w:szCs w:val="24"/>
        </w:rPr>
        <w:t>2.符合性审查。依据</w:t>
      </w:r>
      <w:r>
        <w:rPr>
          <w:rFonts w:hint="eastAsia" w:ascii="仿宋" w:hAnsi="仿宋" w:eastAsia="仿宋" w:cs="仿宋"/>
          <w:color w:val="auto"/>
          <w:kern w:val="0"/>
          <w:sz w:val="24"/>
          <w:szCs w:val="24"/>
          <w:lang w:eastAsia="zh-CN"/>
        </w:rPr>
        <w:t>询比文件</w:t>
      </w:r>
      <w:r>
        <w:rPr>
          <w:rFonts w:hint="eastAsia" w:ascii="仿宋" w:hAnsi="仿宋" w:eastAsia="仿宋" w:cs="仿宋"/>
          <w:color w:val="auto"/>
          <w:kern w:val="0"/>
          <w:sz w:val="24"/>
          <w:szCs w:val="24"/>
        </w:rPr>
        <w:t>的规定，从响应文件的有效性、完整性和对</w:t>
      </w:r>
      <w:r>
        <w:rPr>
          <w:rFonts w:hint="eastAsia" w:ascii="仿宋" w:hAnsi="仿宋" w:eastAsia="仿宋" w:cs="仿宋"/>
          <w:color w:val="auto"/>
          <w:kern w:val="0"/>
          <w:sz w:val="24"/>
          <w:szCs w:val="24"/>
          <w:lang w:eastAsia="zh-CN"/>
        </w:rPr>
        <w:t>询比文件</w:t>
      </w:r>
      <w:r>
        <w:rPr>
          <w:rFonts w:hint="eastAsia" w:ascii="仿宋" w:hAnsi="仿宋" w:eastAsia="仿宋" w:cs="仿宋"/>
          <w:color w:val="auto"/>
          <w:kern w:val="0"/>
          <w:sz w:val="24"/>
          <w:szCs w:val="24"/>
        </w:rPr>
        <w:t>的响应程度进行审查，以确定是否对</w:t>
      </w:r>
      <w:r>
        <w:rPr>
          <w:rFonts w:hint="eastAsia" w:ascii="仿宋" w:hAnsi="仿宋" w:eastAsia="仿宋" w:cs="仿宋"/>
          <w:color w:val="auto"/>
          <w:kern w:val="0"/>
          <w:sz w:val="24"/>
          <w:szCs w:val="24"/>
          <w:lang w:eastAsia="zh-CN"/>
        </w:rPr>
        <w:t>询比文件</w:t>
      </w:r>
      <w:r>
        <w:rPr>
          <w:rFonts w:hint="eastAsia" w:ascii="仿宋" w:hAnsi="仿宋" w:eastAsia="仿宋" w:cs="仿宋"/>
          <w:color w:val="auto"/>
          <w:kern w:val="0"/>
          <w:sz w:val="24"/>
          <w:szCs w:val="24"/>
        </w:rPr>
        <w:t>的实质性要求作出响应。符合性审查资料表如下：</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60"/>
        <w:gridCol w:w="1984"/>
        <w:gridCol w:w="5409"/>
      </w:tblGrid>
      <w:tr w14:paraId="5DEAB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675" w:type="dxa"/>
            <w:noWrap w:val="0"/>
            <w:vAlign w:val="center"/>
          </w:tcPr>
          <w:p w14:paraId="38388401">
            <w:pPr>
              <w:spacing w:line="240" w:lineRule="auto"/>
              <w:jc w:val="both"/>
              <w:rPr>
                <w:rFonts w:hint="eastAsia" w:ascii="仿宋" w:hAnsi="仿宋" w:eastAsia="仿宋" w:cs="仿宋"/>
                <w:b/>
                <w:color w:val="auto"/>
                <w:kern w:val="0"/>
                <w:sz w:val="21"/>
                <w:szCs w:val="21"/>
              </w:rPr>
            </w:pPr>
            <w:r>
              <w:rPr>
                <w:rFonts w:hint="eastAsia" w:ascii="仿宋" w:hAnsi="仿宋" w:eastAsia="仿宋" w:cs="仿宋"/>
                <w:b/>
                <w:color w:val="auto"/>
                <w:kern w:val="0"/>
                <w:sz w:val="21"/>
                <w:szCs w:val="21"/>
              </w:rPr>
              <w:t>序号</w:t>
            </w:r>
          </w:p>
        </w:tc>
        <w:tc>
          <w:tcPr>
            <w:tcW w:w="3544" w:type="dxa"/>
            <w:gridSpan w:val="2"/>
            <w:noWrap w:val="0"/>
            <w:vAlign w:val="center"/>
          </w:tcPr>
          <w:p w14:paraId="31746D90">
            <w:pPr>
              <w:spacing w:line="240" w:lineRule="auto"/>
              <w:jc w:val="both"/>
              <w:rPr>
                <w:rFonts w:hint="eastAsia" w:ascii="仿宋" w:hAnsi="仿宋" w:eastAsia="仿宋" w:cs="仿宋"/>
                <w:b/>
                <w:color w:val="auto"/>
                <w:kern w:val="0"/>
                <w:sz w:val="21"/>
                <w:szCs w:val="21"/>
              </w:rPr>
            </w:pPr>
            <w:r>
              <w:rPr>
                <w:rFonts w:hint="eastAsia" w:ascii="仿宋" w:hAnsi="仿宋" w:eastAsia="仿宋" w:cs="仿宋"/>
                <w:b/>
                <w:color w:val="auto"/>
                <w:kern w:val="0"/>
                <w:sz w:val="21"/>
                <w:szCs w:val="21"/>
              </w:rPr>
              <w:t>评审因素</w:t>
            </w:r>
          </w:p>
        </w:tc>
        <w:tc>
          <w:tcPr>
            <w:tcW w:w="5409" w:type="dxa"/>
            <w:noWrap w:val="0"/>
            <w:vAlign w:val="center"/>
          </w:tcPr>
          <w:p w14:paraId="7E876761">
            <w:pPr>
              <w:spacing w:line="240" w:lineRule="auto"/>
              <w:jc w:val="both"/>
              <w:rPr>
                <w:rFonts w:hint="eastAsia" w:ascii="仿宋" w:hAnsi="仿宋" w:eastAsia="仿宋" w:cs="仿宋"/>
                <w:b/>
                <w:color w:val="auto"/>
                <w:kern w:val="0"/>
                <w:sz w:val="21"/>
                <w:szCs w:val="21"/>
              </w:rPr>
            </w:pPr>
            <w:r>
              <w:rPr>
                <w:rFonts w:hint="eastAsia" w:ascii="仿宋" w:hAnsi="仿宋" w:eastAsia="仿宋" w:cs="仿宋"/>
                <w:b/>
                <w:color w:val="auto"/>
                <w:kern w:val="0"/>
                <w:sz w:val="21"/>
                <w:szCs w:val="21"/>
              </w:rPr>
              <w:t>评审标准</w:t>
            </w:r>
          </w:p>
        </w:tc>
      </w:tr>
      <w:tr w14:paraId="2A74CD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trPr>
        <w:tc>
          <w:tcPr>
            <w:tcW w:w="675" w:type="dxa"/>
            <w:vMerge w:val="restart"/>
            <w:noWrap w:val="0"/>
            <w:vAlign w:val="center"/>
          </w:tcPr>
          <w:p w14:paraId="4F4F7A8E">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1</w:t>
            </w:r>
          </w:p>
        </w:tc>
        <w:tc>
          <w:tcPr>
            <w:tcW w:w="1560" w:type="dxa"/>
            <w:vMerge w:val="restart"/>
            <w:noWrap w:val="0"/>
            <w:vAlign w:val="center"/>
          </w:tcPr>
          <w:p w14:paraId="6886D06E">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有效性审查</w:t>
            </w:r>
          </w:p>
        </w:tc>
        <w:tc>
          <w:tcPr>
            <w:tcW w:w="1984" w:type="dxa"/>
            <w:noWrap w:val="0"/>
            <w:vAlign w:val="center"/>
          </w:tcPr>
          <w:p w14:paraId="7DF4D996">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sz w:val="21"/>
                <w:szCs w:val="21"/>
              </w:rPr>
              <w:t>响应文件签署或盖章</w:t>
            </w:r>
          </w:p>
        </w:tc>
        <w:tc>
          <w:tcPr>
            <w:tcW w:w="5409" w:type="dxa"/>
            <w:noWrap w:val="0"/>
            <w:vAlign w:val="center"/>
          </w:tcPr>
          <w:p w14:paraId="02D2CAB6">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sz w:val="21"/>
                <w:szCs w:val="21"/>
              </w:rPr>
              <w:t>按</w:t>
            </w:r>
            <w:r>
              <w:rPr>
                <w:rFonts w:hint="eastAsia" w:ascii="仿宋" w:hAnsi="仿宋" w:eastAsia="仿宋" w:cs="仿宋"/>
                <w:color w:val="auto"/>
                <w:sz w:val="21"/>
                <w:szCs w:val="21"/>
                <w:lang w:eastAsia="zh-CN"/>
              </w:rPr>
              <w:t>询比文件</w:t>
            </w:r>
            <w:r>
              <w:rPr>
                <w:rFonts w:hint="eastAsia" w:ascii="仿宋" w:hAnsi="仿宋" w:eastAsia="仿宋" w:cs="仿宋"/>
                <w:color w:val="auto"/>
                <w:sz w:val="21"/>
                <w:szCs w:val="21"/>
              </w:rPr>
              <w:t>“第七篇响应文件编制要求”要求签署或盖章。</w:t>
            </w:r>
          </w:p>
        </w:tc>
      </w:tr>
      <w:tr w14:paraId="658486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675" w:type="dxa"/>
            <w:vMerge w:val="continue"/>
            <w:noWrap w:val="0"/>
            <w:vAlign w:val="center"/>
          </w:tcPr>
          <w:p w14:paraId="483D78B4">
            <w:pPr>
              <w:spacing w:line="240" w:lineRule="auto"/>
              <w:jc w:val="both"/>
              <w:rPr>
                <w:rFonts w:hint="eastAsia" w:ascii="仿宋" w:hAnsi="仿宋" w:eastAsia="仿宋" w:cs="仿宋"/>
                <w:color w:val="auto"/>
                <w:kern w:val="0"/>
                <w:sz w:val="21"/>
                <w:szCs w:val="21"/>
              </w:rPr>
            </w:pPr>
          </w:p>
        </w:tc>
        <w:tc>
          <w:tcPr>
            <w:tcW w:w="1560" w:type="dxa"/>
            <w:vMerge w:val="continue"/>
            <w:noWrap w:val="0"/>
            <w:vAlign w:val="center"/>
          </w:tcPr>
          <w:p w14:paraId="22D5D463">
            <w:pPr>
              <w:spacing w:line="240" w:lineRule="auto"/>
              <w:jc w:val="both"/>
              <w:rPr>
                <w:rFonts w:hint="eastAsia" w:ascii="仿宋" w:hAnsi="仿宋" w:eastAsia="仿宋" w:cs="仿宋"/>
                <w:color w:val="auto"/>
                <w:kern w:val="0"/>
                <w:sz w:val="21"/>
                <w:szCs w:val="21"/>
              </w:rPr>
            </w:pPr>
          </w:p>
        </w:tc>
        <w:tc>
          <w:tcPr>
            <w:tcW w:w="1984" w:type="dxa"/>
            <w:noWrap w:val="0"/>
            <w:vAlign w:val="center"/>
          </w:tcPr>
          <w:p w14:paraId="7DDE62E7">
            <w:pPr>
              <w:spacing w:line="240" w:lineRule="auto"/>
              <w:jc w:val="both"/>
              <w:rPr>
                <w:rFonts w:hint="eastAsia" w:ascii="仿宋" w:hAnsi="仿宋" w:eastAsia="仿宋" w:cs="仿宋"/>
                <w:color w:val="auto"/>
                <w:sz w:val="21"/>
                <w:szCs w:val="21"/>
              </w:rPr>
            </w:pPr>
            <w:r>
              <w:rPr>
                <w:rFonts w:hint="eastAsia" w:ascii="仿宋" w:hAnsi="仿宋" w:eastAsia="仿宋" w:cs="仿宋"/>
                <w:color w:val="auto"/>
                <w:sz w:val="21"/>
                <w:szCs w:val="21"/>
              </w:rPr>
              <w:t>法定代表人身份证明及授权委托书</w:t>
            </w:r>
          </w:p>
        </w:tc>
        <w:tc>
          <w:tcPr>
            <w:tcW w:w="5409" w:type="dxa"/>
            <w:noWrap w:val="0"/>
            <w:vAlign w:val="center"/>
          </w:tcPr>
          <w:p w14:paraId="2314B05E">
            <w:pPr>
              <w:spacing w:line="240" w:lineRule="auto"/>
              <w:jc w:val="both"/>
              <w:rPr>
                <w:rFonts w:hint="eastAsia" w:ascii="仿宋" w:hAnsi="仿宋" w:eastAsia="仿宋" w:cs="仿宋"/>
                <w:color w:val="auto"/>
                <w:sz w:val="21"/>
                <w:szCs w:val="21"/>
              </w:rPr>
            </w:pPr>
            <w:r>
              <w:rPr>
                <w:rFonts w:hint="eastAsia" w:ascii="仿宋" w:hAnsi="仿宋" w:eastAsia="仿宋" w:cs="仿宋"/>
                <w:color w:val="auto"/>
                <w:sz w:val="21"/>
                <w:szCs w:val="21"/>
              </w:rPr>
              <w:t>法定代表人身份证明及授权委托书有效，符合</w:t>
            </w:r>
            <w:r>
              <w:rPr>
                <w:rFonts w:hint="eastAsia" w:ascii="仿宋" w:hAnsi="仿宋" w:eastAsia="仿宋" w:cs="仿宋"/>
                <w:color w:val="auto"/>
                <w:sz w:val="21"/>
                <w:szCs w:val="21"/>
                <w:lang w:eastAsia="zh-CN"/>
              </w:rPr>
              <w:t>询比文件</w:t>
            </w:r>
            <w:r>
              <w:rPr>
                <w:rFonts w:hint="eastAsia" w:ascii="仿宋" w:hAnsi="仿宋" w:eastAsia="仿宋" w:cs="仿宋"/>
                <w:color w:val="auto"/>
                <w:sz w:val="21"/>
                <w:szCs w:val="21"/>
              </w:rPr>
              <w:t>规定的格式，签署或盖章齐全。</w:t>
            </w:r>
          </w:p>
        </w:tc>
      </w:tr>
      <w:tr w14:paraId="766F8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trPr>
        <w:tc>
          <w:tcPr>
            <w:tcW w:w="675" w:type="dxa"/>
            <w:vMerge w:val="continue"/>
            <w:noWrap w:val="0"/>
            <w:vAlign w:val="center"/>
          </w:tcPr>
          <w:p w14:paraId="750421A4">
            <w:pPr>
              <w:spacing w:line="240" w:lineRule="auto"/>
              <w:jc w:val="both"/>
              <w:rPr>
                <w:rFonts w:hint="eastAsia" w:ascii="仿宋" w:hAnsi="仿宋" w:eastAsia="仿宋" w:cs="仿宋"/>
                <w:color w:val="auto"/>
                <w:kern w:val="0"/>
                <w:sz w:val="21"/>
                <w:szCs w:val="21"/>
              </w:rPr>
            </w:pPr>
          </w:p>
        </w:tc>
        <w:tc>
          <w:tcPr>
            <w:tcW w:w="1560" w:type="dxa"/>
            <w:vMerge w:val="continue"/>
            <w:noWrap w:val="0"/>
            <w:vAlign w:val="center"/>
          </w:tcPr>
          <w:p w14:paraId="007FC439">
            <w:pPr>
              <w:spacing w:line="240" w:lineRule="auto"/>
              <w:jc w:val="both"/>
              <w:rPr>
                <w:rFonts w:hint="eastAsia" w:ascii="仿宋" w:hAnsi="仿宋" w:eastAsia="仿宋" w:cs="仿宋"/>
                <w:color w:val="auto"/>
                <w:kern w:val="0"/>
                <w:sz w:val="21"/>
                <w:szCs w:val="21"/>
              </w:rPr>
            </w:pPr>
          </w:p>
        </w:tc>
        <w:tc>
          <w:tcPr>
            <w:tcW w:w="1984" w:type="dxa"/>
            <w:noWrap w:val="0"/>
            <w:vAlign w:val="center"/>
          </w:tcPr>
          <w:p w14:paraId="6CF1A4D4">
            <w:pPr>
              <w:spacing w:line="240" w:lineRule="auto"/>
              <w:jc w:val="both"/>
              <w:rPr>
                <w:rFonts w:hint="eastAsia" w:ascii="仿宋" w:hAnsi="仿宋" w:eastAsia="仿宋" w:cs="仿宋"/>
                <w:color w:val="auto"/>
                <w:sz w:val="21"/>
                <w:szCs w:val="21"/>
                <w:lang w:val="zh-CN"/>
              </w:rPr>
            </w:pPr>
            <w:r>
              <w:rPr>
                <w:rFonts w:hint="eastAsia" w:ascii="仿宋" w:hAnsi="仿宋" w:eastAsia="仿宋" w:cs="仿宋"/>
                <w:color w:val="auto"/>
                <w:sz w:val="21"/>
                <w:szCs w:val="21"/>
              </w:rPr>
              <w:t>响应</w:t>
            </w:r>
            <w:r>
              <w:rPr>
                <w:rFonts w:hint="eastAsia" w:ascii="仿宋" w:hAnsi="仿宋" w:eastAsia="仿宋" w:cs="仿宋"/>
                <w:color w:val="auto"/>
                <w:sz w:val="21"/>
                <w:szCs w:val="21"/>
                <w:lang w:val="zh-CN"/>
              </w:rPr>
              <w:t>方案</w:t>
            </w:r>
          </w:p>
        </w:tc>
        <w:tc>
          <w:tcPr>
            <w:tcW w:w="5409" w:type="dxa"/>
            <w:noWrap w:val="0"/>
            <w:vAlign w:val="center"/>
          </w:tcPr>
          <w:p w14:paraId="1F96CDD9">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sz w:val="21"/>
                <w:szCs w:val="21"/>
                <w:lang w:val="zh-CN"/>
              </w:rPr>
              <w:t>每个包只能有一个</w:t>
            </w:r>
            <w:r>
              <w:rPr>
                <w:rFonts w:hint="eastAsia" w:ascii="仿宋" w:hAnsi="仿宋" w:eastAsia="仿宋" w:cs="仿宋"/>
                <w:color w:val="auto"/>
                <w:sz w:val="21"/>
                <w:szCs w:val="21"/>
              </w:rPr>
              <w:t>响应</w:t>
            </w:r>
            <w:r>
              <w:rPr>
                <w:rFonts w:hint="eastAsia" w:ascii="仿宋" w:hAnsi="仿宋" w:eastAsia="仿宋" w:cs="仿宋"/>
                <w:color w:val="auto"/>
                <w:sz w:val="21"/>
                <w:szCs w:val="21"/>
                <w:lang w:val="zh-CN"/>
              </w:rPr>
              <w:t>方案。</w:t>
            </w:r>
          </w:p>
        </w:tc>
      </w:tr>
      <w:tr w14:paraId="07CE3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675" w:type="dxa"/>
            <w:vMerge w:val="continue"/>
            <w:noWrap w:val="0"/>
            <w:vAlign w:val="center"/>
          </w:tcPr>
          <w:p w14:paraId="3AF10027">
            <w:pPr>
              <w:spacing w:line="240" w:lineRule="auto"/>
              <w:jc w:val="both"/>
              <w:rPr>
                <w:rFonts w:hint="eastAsia" w:ascii="仿宋" w:hAnsi="仿宋" w:eastAsia="仿宋" w:cs="仿宋"/>
                <w:color w:val="auto"/>
                <w:kern w:val="0"/>
                <w:sz w:val="21"/>
                <w:szCs w:val="21"/>
              </w:rPr>
            </w:pPr>
          </w:p>
        </w:tc>
        <w:tc>
          <w:tcPr>
            <w:tcW w:w="1560" w:type="dxa"/>
            <w:vMerge w:val="continue"/>
            <w:noWrap w:val="0"/>
            <w:vAlign w:val="center"/>
          </w:tcPr>
          <w:p w14:paraId="4DF768AA">
            <w:pPr>
              <w:spacing w:line="240" w:lineRule="auto"/>
              <w:jc w:val="both"/>
              <w:rPr>
                <w:rFonts w:hint="eastAsia" w:ascii="仿宋" w:hAnsi="仿宋" w:eastAsia="仿宋" w:cs="仿宋"/>
                <w:color w:val="auto"/>
                <w:kern w:val="0"/>
                <w:sz w:val="21"/>
                <w:szCs w:val="21"/>
              </w:rPr>
            </w:pPr>
          </w:p>
        </w:tc>
        <w:tc>
          <w:tcPr>
            <w:tcW w:w="1984" w:type="dxa"/>
            <w:noWrap w:val="0"/>
            <w:vAlign w:val="center"/>
          </w:tcPr>
          <w:p w14:paraId="666C93CB">
            <w:pPr>
              <w:spacing w:line="240" w:lineRule="auto"/>
              <w:jc w:val="both"/>
              <w:rPr>
                <w:rFonts w:hint="eastAsia" w:ascii="仿宋" w:hAnsi="仿宋" w:eastAsia="仿宋" w:cs="仿宋"/>
                <w:color w:val="auto"/>
                <w:sz w:val="21"/>
                <w:szCs w:val="21"/>
                <w:lang w:val="zh-CN"/>
              </w:rPr>
            </w:pPr>
            <w:r>
              <w:rPr>
                <w:rFonts w:hint="eastAsia" w:ascii="仿宋" w:hAnsi="仿宋" w:eastAsia="仿宋" w:cs="仿宋"/>
                <w:color w:val="auto"/>
                <w:sz w:val="21"/>
                <w:szCs w:val="21"/>
              </w:rPr>
              <w:t>报价唯一</w:t>
            </w:r>
          </w:p>
        </w:tc>
        <w:tc>
          <w:tcPr>
            <w:tcW w:w="5409" w:type="dxa"/>
            <w:noWrap w:val="0"/>
            <w:vAlign w:val="center"/>
          </w:tcPr>
          <w:p w14:paraId="10936488">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sz w:val="21"/>
                <w:szCs w:val="21"/>
              </w:rPr>
              <w:t>只能有一个有效报价，不得超过最高限价，不得提交选择性报价。</w:t>
            </w:r>
          </w:p>
        </w:tc>
      </w:tr>
      <w:tr w14:paraId="43D54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1" w:hRule="atLeast"/>
        </w:trPr>
        <w:tc>
          <w:tcPr>
            <w:tcW w:w="675" w:type="dxa"/>
            <w:noWrap w:val="0"/>
            <w:vAlign w:val="center"/>
          </w:tcPr>
          <w:p w14:paraId="7D8EC7EE">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2</w:t>
            </w:r>
          </w:p>
        </w:tc>
        <w:tc>
          <w:tcPr>
            <w:tcW w:w="1560" w:type="dxa"/>
            <w:noWrap w:val="0"/>
            <w:vAlign w:val="center"/>
          </w:tcPr>
          <w:p w14:paraId="76AE9B65">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完整性审查</w:t>
            </w:r>
          </w:p>
        </w:tc>
        <w:tc>
          <w:tcPr>
            <w:tcW w:w="1984" w:type="dxa"/>
            <w:noWrap w:val="0"/>
            <w:vAlign w:val="center"/>
          </w:tcPr>
          <w:p w14:paraId="6A960C98">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sz w:val="21"/>
                <w:szCs w:val="21"/>
              </w:rPr>
              <w:t>响应</w:t>
            </w:r>
            <w:r>
              <w:rPr>
                <w:rFonts w:hint="eastAsia" w:ascii="仿宋" w:hAnsi="仿宋" w:eastAsia="仿宋" w:cs="仿宋"/>
                <w:color w:val="auto"/>
                <w:sz w:val="21"/>
                <w:szCs w:val="21"/>
                <w:lang w:val="zh-CN"/>
              </w:rPr>
              <w:t>文件份数</w:t>
            </w:r>
          </w:p>
        </w:tc>
        <w:tc>
          <w:tcPr>
            <w:tcW w:w="5409" w:type="dxa"/>
            <w:noWrap w:val="0"/>
            <w:vAlign w:val="center"/>
          </w:tcPr>
          <w:p w14:paraId="57D0A64D">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sz w:val="21"/>
                <w:szCs w:val="21"/>
              </w:rPr>
              <w:t>响应</w:t>
            </w:r>
            <w:r>
              <w:rPr>
                <w:rFonts w:hint="eastAsia" w:ascii="仿宋" w:hAnsi="仿宋" w:eastAsia="仿宋" w:cs="仿宋"/>
                <w:color w:val="auto"/>
                <w:sz w:val="21"/>
                <w:szCs w:val="21"/>
                <w:lang w:val="zh-CN"/>
              </w:rPr>
              <w:t>文件正、副本、电子文件数量符合</w:t>
            </w:r>
            <w:r>
              <w:rPr>
                <w:rFonts w:hint="eastAsia" w:ascii="仿宋" w:hAnsi="仿宋" w:eastAsia="仿宋" w:cs="仿宋"/>
                <w:color w:val="auto"/>
                <w:sz w:val="21"/>
                <w:szCs w:val="21"/>
                <w:lang w:eastAsia="zh-CN"/>
              </w:rPr>
              <w:t>询比文件</w:t>
            </w:r>
            <w:r>
              <w:rPr>
                <w:rFonts w:hint="eastAsia" w:ascii="仿宋" w:hAnsi="仿宋" w:eastAsia="仿宋" w:cs="仿宋"/>
                <w:color w:val="auto"/>
                <w:sz w:val="21"/>
                <w:szCs w:val="21"/>
                <w:lang w:val="zh-CN"/>
              </w:rPr>
              <w:t>要求。</w:t>
            </w:r>
          </w:p>
        </w:tc>
      </w:tr>
      <w:tr w14:paraId="49A43A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trPr>
        <w:tc>
          <w:tcPr>
            <w:tcW w:w="675" w:type="dxa"/>
            <w:vMerge w:val="restart"/>
            <w:noWrap w:val="0"/>
            <w:vAlign w:val="center"/>
          </w:tcPr>
          <w:p w14:paraId="255A0A54">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3</w:t>
            </w:r>
          </w:p>
        </w:tc>
        <w:tc>
          <w:tcPr>
            <w:tcW w:w="1560" w:type="dxa"/>
            <w:vMerge w:val="restart"/>
            <w:noWrap w:val="0"/>
            <w:vAlign w:val="center"/>
          </w:tcPr>
          <w:p w14:paraId="550284CD">
            <w:pPr>
              <w:spacing w:line="240" w:lineRule="auto"/>
              <w:jc w:val="both"/>
              <w:rPr>
                <w:rFonts w:hint="eastAsia" w:ascii="仿宋" w:hAnsi="仿宋" w:eastAsia="仿宋" w:cs="仿宋"/>
                <w:color w:val="auto"/>
                <w:sz w:val="21"/>
                <w:szCs w:val="21"/>
                <w:lang w:val="zh-CN"/>
              </w:rPr>
            </w:pPr>
            <w:r>
              <w:rPr>
                <w:rFonts w:hint="eastAsia" w:ascii="仿宋" w:hAnsi="仿宋" w:eastAsia="仿宋" w:cs="仿宋"/>
                <w:color w:val="auto"/>
                <w:kern w:val="0"/>
                <w:sz w:val="21"/>
                <w:szCs w:val="21"/>
              </w:rPr>
              <w:t>响应程度审查</w:t>
            </w:r>
          </w:p>
        </w:tc>
        <w:tc>
          <w:tcPr>
            <w:tcW w:w="1984" w:type="dxa"/>
            <w:noWrap w:val="0"/>
            <w:vAlign w:val="center"/>
          </w:tcPr>
          <w:p w14:paraId="1AD6CF07">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实质性响应</w:t>
            </w:r>
          </w:p>
        </w:tc>
        <w:tc>
          <w:tcPr>
            <w:tcW w:w="5409" w:type="dxa"/>
            <w:noWrap w:val="0"/>
            <w:vAlign w:val="center"/>
          </w:tcPr>
          <w:p w14:paraId="37121319">
            <w:pPr>
              <w:pStyle w:val="8"/>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对</w:t>
            </w:r>
            <w:r>
              <w:rPr>
                <w:rFonts w:hint="eastAsia" w:ascii="仿宋" w:hAnsi="仿宋" w:eastAsia="仿宋" w:cs="仿宋"/>
                <w:color w:val="auto"/>
                <w:kern w:val="0"/>
                <w:sz w:val="21"/>
                <w:szCs w:val="21"/>
                <w:lang w:eastAsia="zh-CN"/>
              </w:rPr>
              <w:t>询比文件</w:t>
            </w:r>
            <w:r>
              <w:rPr>
                <w:rFonts w:hint="eastAsia" w:ascii="仿宋" w:hAnsi="仿宋" w:eastAsia="仿宋" w:cs="仿宋"/>
                <w:color w:val="auto"/>
                <w:kern w:val="0"/>
                <w:sz w:val="21"/>
                <w:szCs w:val="21"/>
              </w:rPr>
              <w:t>第二、三篇条款的实质性内容逐条作出实质性响应。</w:t>
            </w:r>
          </w:p>
        </w:tc>
      </w:tr>
      <w:tr w14:paraId="3C6EBE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3" w:hRule="atLeast"/>
        </w:trPr>
        <w:tc>
          <w:tcPr>
            <w:tcW w:w="675" w:type="dxa"/>
            <w:vMerge w:val="continue"/>
            <w:noWrap w:val="0"/>
            <w:vAlign w:val="center"/>
          </w:tcPr>
          <w:p w14:paraId="7043BF97">
            <w:pPr>
              <w:spacing w:line="240" w:lineRule="auto"/>
              <w:jc w:val="both"/>
              <w:rPr>
                <w:rFonts w:hint="eastAsia" w:ascii="仿宋" w:hAnsi="仿宋" w:eastAsia="仿宋" w:cs="仿宋"/>
                <w:color w:val="auto"/>
                <w:kern w:val="0"/>
                <w:sz w:val="21"/>
                <w:szCs w:val="21"/>
              </w:rPr>
            </w:pPr>
          </w:p>
        </w:tc>
        <w:tc>
          <w:tcPr>
            <w:tcW w:w="1560" w:type="dxa"/>
            <w:vMerge w:val="continue"/>
            <w:noWrap w:val="0"/>
            <w:vAlign w:val="center"/>
          </w:tcPr>
          <w:p w14:paraId="0695EC2D">
            <w:pPr>
              <w:spacing w:line="240" w:lineRule="auto"/>
              <w:jc w:val="both"/>
              <w:rPr>
                <w:rFonts w:hint="eastAsia" w:ascii="仿宋" w:hAnsi="仿宋" w:eastAsia="仿宋" w:cs="仿宋"/>
                <w:color w:val="auto"/>
                <w:sz w:val="21"/>
                <w:szCs w:val="21"/>
                <w:lang w:val="zh-CN"/>
              </w:rPr>
            </w:pPr>
          </w:p>
        </w:tc>
        <w:tc>
          <w:tcPr>
            <w:tcW w:w="1984" w:type="dxa"/>
            <w:noWrap w:val="0"/>
            <w:vAlign w:val="center"/>
          </w:tcPr>
          <w:p w14:paraId="747E02D0">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lang w:eastAsia="zh-CN"/>
              </w:rPr>
              <w:t>询比</w:t>
            </w:r>
            <w:r>
              <w:rPr>
                <w:rFonts w:hint="eastAsia" w:ascii="仿宋" w:hAnsi="仿宋" w:eastAsia="仿宋" w:cs="仿宋"/>
                <w:color w:val="auto"/>
                <w:kern w:val="0"/>
                <w:sz w:val="21"/>
                <w:szCs w:val="21"/>
              </w:rPr>
              <w:t>有效期</w:t>
            </w:r>
          </w:p>
        </w:tc>
        <w:tc>
          <w:tcPr>
            <w:tcW w:w="5409" w:type="dxa"/>
            <w:noWrap w:val="0"/>
            <w:vAlign w:val="center"/>
          </w:tcPr>
          <w:p w14:paraId="4A347AE2">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响应文件及有关承诺文件有效期为提交响应文件截止时间起90天。</w:t>
            </w:r>
          </w:p>
        </w:tc>
      </w:tr>
    </w:tbl>
    <w:p w14:paraId="4938B7FD">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（三）澄清有关问题。</w:t>
      </w:r>
      <w:r>
        <w:rPr>
          <w:rFonts w:hint="eastAsia" w:ascii="仿宋" w:hAnsi="仿宋" w:eastAsia="仿宋" w:cs="仿宋"/>
          <w:color w:val="auto"/>
          <w:sz w:val="24"/>
          <w:szCs w:val="24"/>
          <w:lang w:eastAsia="zh-CN"/>
        </w:rPr>
        <w:t>评审小组</w:t>
      </w:r>
      <w:r>
        <w:rPr>
          <w:rFonts w:hint="eastAsia" w:ascii="仿宋" w:hAnsi="仿宋" w:eastAsia="仿宋" w:cs="仿宋"/>
          <w:color w:val="auto"/>
          <w:sz w:val="24"/>
          <w:szCs w:val="24"/>
        </w:rPr>
        <w:t>在对响应文件的有效性、完整性和响应程度进行审查时，可以要求供应商对响应文件中含义不明确、同类问题表述不一致或者有明显文字和计算错误的内容等作出必要的澄清、说明或者更正。供应商的澄清、说明或者更正不得超出响应文件的范围或者改变响应文件的实质性内容。</w:t>
      </w:r>
    </w:p>
    <w:p w14:paraId="440DBCF0">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（四）</w:t>
      </w:r>
      <w:r>
        <w:rPr>
          <w:rFonts w:hint="eastAsia" w:ascii="仿宋" w:hAnsi="仿宋" w:eastAsia="仿宋" w:cs="仿宋"/>
          <w:color w:val="auto"/>
          <w:sz w:val="24"/>
          <w:szCs w:val="24"/>
          <w:lang w:eastAsia="zh-CN"/>
        </w:rPr>
        <w:t>评审小组</w:t>
      </w:r>
      <w:r>
        <w:rPr>
          <w:rFonts w:hint="eastAsia" w:ascii="仿宋" w:hAnsi="仿宋" w:eastAsia="仿宋" w:cs="仿宋"/>
          <w:color w:val="auto"/>
          <w:sz w:val="24"/>
          <w:szCs w:val="24"/>
        </w:rPr>
        <w:t>要求供应商澄清、说明或者更正响应文件应当以书面形式作出。供应商的澄清、说明或者更正应当由法定代表人（或其授权代表）或自然人（供应商为自然人）签署或者加盖公章。由授权代表签署的，应当附法定代表人授权书。供应商为自然人的，应当由本人签署并附身份证明。</w:t>
      </w:r>
    </w:p>
    <w:p w14:paraId="633442C8">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（五）在</w:t>
      </w:r>
      <w:r>
        <w:rPr>
          <w:rFonts w:hint="eastAsia" w:ascii="仿宋" w:hAnsi="仿宋" w:eastAsia="仿宋" w:cs="仿宋"/>
          <w:color w:val="auto"/>
          <w:sz w:val="24"/>
          <w:szCs w:val="24"/>
          <w:lang w:eastAsia="zh-CN"/>
        </w:rPr>
        <w:t>采购</w:t>
      </w:r>
      <w:r>
        <w:rPr>
          <w:rFonts w:hint="eastAsia" w:ascii="仿宋" w:hAnsi="仿宋" w:eastAsia="仿宋" w:cs="仿宋"/>
          <w:color w:val="auto"/>
          <w:sz w:val="24"/>
          <w:szCs w:val="24"/>
        </w:rPr>
        <w:t>过程中</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任何一方不得向他人透露与</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有关的服务资料、价格或其他信息。</w:t>
      </w:r>
    </w:p>
    <w:p w14:paraId="7FFA1D7A">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六</w:t>
      </w:r>
      <w:r>
        <w:rPr>
          <w:rFonts w:hint="eastAsia" w:ascii="仿宋" w:hAnsi="仿宋" w:eastAsia="仿宋" w:cs="仿宋"/>
          <w:color w:val="auto"/>
          <w:sz w:val="24"/>
          <w:szCs w:val="24"/>
        </w:rPr>
        <w:t>）供应商在</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时作出的所有书面承诺须由法定代表人（或其授权代表）或自然人（供应商为自然人）签署。</w:t>
      </w:r>
    </w:p>
    <w:p w14:paraId="33F54FA2">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七</w:t>
      </w:r>
      <w:r>
        <w:rPr>
          <w:rFonts w:hint="eastAsia" w:ascii="仿宋" w:hAnsi="仿宋" w:eastAsia="仿宋" w:cs="仿宋"/>
          <w:color w:val="auto"/>
          <w:sz w:val="24"/>
          <w:szCs w:val="24"/>
        </w:rPr>
        <w:t>）</w:t>
      </w:r>
      <w:r>
        <w:rPr>
          <w:rFonts w:hint="eastAsia" w:ascii="仿宋" w:hAnsi="仿宋" w:eastAsia="仿宋" w:cs="仿宋"/>
          <w:color w:val="auto"/>
          <w:kern w:val="0"/>
          <w:sz w:val="24"/>
          <w:szCs w:val="24"/>
        </w:rPr>
        <w:t>综合评分法，是指响应文件满足</w:t>
      </w:r>
      <w:r>
        <w:rPr>
          <w:rFonts w:hint="eastAsia" w:ascii="仿宋" w:hAnsi="仿宋" w:eastAsia="仿宋" w:cs="仿宋"/>
          <w:color w:val="auto"/>
          <w:kern w:val="0"/>
          <w:sz w:val="24"/>
          <w:szCs w:val="24"/>
          <w:lang w:eastAsia="zh-CN"/>
        </w:rPr>
        <w:t>询比文件</w:t>
      </w:r>
      <w:r>
        <w:rPr>
          <w:rFonts w:hint="eastAsia" w:ascii="仿宋" w:hAnsi="仿宋" w:eastAsia="仿宋" w:cs="仿宋"/>
          <w:color w:val="auto"/>
          <w:kern w:val="0"/>
          <w:sz w:val="24"/>
          <w:szCs w:val="24"/>
        </w:rPr>
        <w:t>全部实质性要求且按照评审因素的量化指标评审得分最高的供应商为成交候选供应商的评审方法。供应商总得分为价格、服务、商务等评定因素分别按照相应权重值计算分项得分后相加，满分为100分</w:t>
      </w:r>
      <w:r>
        <w:rPr>
          <w:rFonts w:hint="eastAsia" w:ascii="仿宋" w:hAnsi="仿宋" w:eastAsia="仿宋" w:cs="仿宋"/>
          <w:color w:val="auto"/>
          <w:sz w:val="24"/>
          <w:szCs w:val="24"/>
        </w:rPr>
        <w:t>。</w:t>
      </w:r>
    </w:p>
    <w:p w14:paraId="475A6A51">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八</w:t>
      </w: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评审小组</w:t>
      </w:r>
      <w:r>
        <w:rPr>
          <w:rFonts w:hint="eastAsia" w:ascii="仿宋" w:hAnsi="仿宋" w:eastAsia="仿宋" w:cs="仿宋"/>
          <w:color w:val="auto"/>
          <w:sz w:val="24"/>
          <w:szCs w:val="24"/>
        </w:rPr>
        <w:t>各成员独立对每个有效响应（通过资格性审查、</w:t>
      </w:r>
      <w:r>
        <w:rPr>
          <w:rFonts w:hint="eastAsia" w:ascii="仿宋" w:hAnsi="仿宋" w:eastAsia="仿宋" w:cs="仿宋"/>
          <w:color w:val="auto"/>
          <w:kern w:val="0"/>
          <w:sz w:val="24"/>
          <w:szCs w:val="24"/>
        </w:rPr>
        <w:t>符合性审查的供应商</w:t>
      </w:r>
      <w:r>
        <w:rPr>
          <w:rFonts w:hint="eastAsia" w:ascii="仿宋" w:hAnsi="仿宋" w:eastAsia="仿宋" w:cs="仿宋"/>
          <w:color w:val="auto"/>
          <w:sz w:val="24"/>
          <w:szCs w:val="24"/>
        </w:rPr>
        <w:t>）的文件进行评价、打分，然后汇总每个供应商每项评分因素的得分，并根据综合评分情况按照评审得分由高到低顺序推荐3名以上成交候选供应商，并编写评审报告。若供应商的评审得分相同的，按照最后报价由低到高的顺序排列推荐。评审得分且最后报价相同的，按照服务指标优劣顺序排列推荐。以上都相同的，按商务条款的优劣顺序排列推荐。）</w:t>
      </w:r>
    </w:p>
    <w:p w14:paraId="63579B08">
      <w:pPr>
        <w:pStyle w:val="3"/>
        <w:adjustRightInd w:val="0"/>
        <w:snapToGrid w:val="0"/>
        <w:spacing w:before="0" w:after="0" w:line="360" w:lineRule="auto"/>
        <w:ind w:firstLine="482" w:firstLineChars="200"/>
        <w:rPr>
          <w:rFonts w:hint="eastAsia" w:ascii="仿宋" w:hAnsi="仿宋" w:eastAsia="仿宋" w:cs="仿宋"/>
          <w:color w:val="auto"/>
          <w:sz w:val="24"/>
        </w:rPr>
      </w:pPr>
      <w:bookmarkStart w:id="128" w:name="_Toc76462334"/>
      <w:bookmarkStart w:id="129" w:name="_Toc14829"/>
      <w:bookmarkStart w:id="130" w:name="_Toc115126150"/>
      <w:r>
        <w:rPr>
          <w:rFonts w:hint="eastAsia" w:ascii="仿宋" w:hAnsi="仿宋" w:eastAsia="仿宋" w:cs="仿宋"/>
          <w:color w:val="auto"/>
          <w:sz w:val="24"/>
        </w:rPr>
        <w:t>二、评审标准</w:t>
      </w:r>
      <w:bookmarkEnd w:id="128"/>
      <w:bookmarkEnd w:id="129"/>
      <w:bookmarkEnd w:id="130"/>
    </w:p>
    <w:tbl>
      <w:tblPr>
        <w:tblStyle w:val="15"/>
        <w:tblW w:w="9868" w:type="dxa"/>
        <w:jc w:val="center"/>
        <w:tblLayout w:type="fixed"/>
        <w:tblCellMar>
          <w:top w:w="15" w:type="dxa"/>
          <w:left w:w="15" w:type="dxa"/>
          <w:bottom w:w="15" w:type="dxa"/>
          <w:right w:w="15" w:type="dxa"/>
        </w:tblCellMar>
      </w:tblPr>
      <w:tblGrid>
        <w:gridCol w:w="581"/>
        <w:gridCol w:w="1032"/>
        <w:gridCol w:w="947"/>
        <w:gridCol w:w="5191"/>
        <w:gridCol w:w="2117"/>
      </w:tblGrid>
      <w:tr w14:paraId="4A7CB9BA">
        <w:tblPrEx>
          <w:tblCellMar>
            <w:top w:w="15" w:type="dxa"/>
            <w:left w:w="15" w:type="dxa"/>
            <w:bottom w:w="15" w:type="dxa"/>
            <w:right w:w="15" w:type="dxa"/>
          </w:tblCellMar>
        </w:tblPrEx>
        <w:trPr>
          <w:trHeight w:val="610" w:hRule="atLeast"/>
          <w:tblHeader/>
          <w:jc w:val="center"/>
        </w:trPr>
        <w:tc>
          <w:tcPr>
            <w:tcW w:w="581" w:type="dxa"/>
            <w:tcBorders>
              <w:top w:val="single" w:color="000000" w:sz="4" w:space="0"/>
              <w:left w:val="single" w:color="000000" w:sz="4" w:space="0"/>
              <w:bottom w:val="single" w:color="000000" w:sz="4" w:space="0"/>
              <w:right w:val="single" w:color="000000" w:sz="4" w:space="0"/>
            </w:tcBorders>
            <w:noWrap w:val="0"/>
            <w:vAlign w:val="center"/>
          </w:tcPr>
          <w:p w14:paraId="0A572D63">
            <w:pPr>
              <w:snapToGrid w:val="0"/>
              <w:spacing w:line="240" w:lineRule="auto"/>
              <w:jc w:val="center"/>
              <w:rPr>
                <w:rFonts w:hint="eastAsia" w:ascii="仿宋" w:hAnsi="仿宋" w:eastAsia="仿宋" w:cs="仿宋"/>
                <w:color w:val="auto"/>
                <w:sz w:val="21"/>
                <w:szCs w:val="21"/>
              </w:rPr>
            </w:pPr>
            <w:bookmarkStart w:id="131" w:name="_Toc76462335"/>
            <w:bookmarkStart w:id="132" w:name="_Toc115126151"/>
            <w:r>
              <w:rPr>
                <w:rFonts w:hint="eastAsia" w:ascii="仿宋" w:hAnsi="仿宋" w:eastAsia="仿宋" w:cs="仿宋"/>
                <w:color w:val="auto"/>
                <w:sz w:val="21"/>
                <w:szCs w:val="21"/>
              </w:rPr>
              <w:t>序号</w:t>
            </w:r>
          </w:p>
        </w:tc>
        <w:tc>
          <w:tcPr>
            <w:tcW w:w="1032" w:type="dxa"/>
            <w:tcBorders>
              <w:top w:val="single" w:color="000000" w:sz="4" w:space="0"/>
              <w:left w:val="single" w:color="000000" w:sz="4" w:space="0"/>
              <w:bottom w:val="single" w:color="000000" w:sz="4" w:space="0"/>
              <w:right w:val="single" w:color="000000" w:sz="4" w:space="0"/>
            </w:tcBorders>
            <w:noWrap w:val="0"/>
            <w:vAlign w:val="center"/>
          </w:tcPr>
          <w:p w14:paraId="7F304D30">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rPr>
              <w:t>评分因素</w:t>
            </w:r>
          </w:p>
        </w:tc>
        <w:tc>
          <w:tcPr>
            <w:tcW w:w="947" w:type="dxa"/>
            <w:tcBorders>
              <w:top w:val="single" w:color="000000" w:sz="4" w:space="0"/>
              <w:left w:val="single" w:color="000000" w:sz="4" w:space="0"/>
              <w:bottom w:val="single" w:color="000000" w:sz="4" w:space="0"/>
              <w:right w:val="single" w:color="000000" w:sz="4" w:space="0"/>
            </w:tcBorders>
            <w:noWrap w:val="0"/>
            <w:vAlign w:val="center"/>
          </w:tcPr>
          <w:p w14:paraId="0218382D">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rPr>
              <w:t>分值</w:t>
            </w:r>
          </w:p>
        </w:tc>
        <w:tc>
          <w:tcPr>
            <w:tcW w:w="5191" w:type="dxa"/>
            <w:tcBorders>
              <w:top w:val="single" w:color="000000" w:sz="4" w:space="0"/>
              <w:left w:val="single" w:color="000000" w:sz="4" w:space="0"/>
              <w:bottom w:val="single" w:color="000000" w:sz="4" w:space="0"/>
              <w:right w:val="single" w:color="000000" w:sz="4" w:space="0"/>
            </w:tcBorders>
            <w:noWrap w:val="0"/>
            <w:vAlign w:val="center"/>
          </w:tcPr>
          <w:p w14:paraId="2283B953">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rPr>
              <w:t>评分标准</w:t>
            </w:r>
          </w:p>
        </w:tc>
        <w:tc>
          <w:tcPr>
            <w:tcW w:w="2117" w:type="dxa"/>
            <w:tcBorders>
              <w:top w:val="single" w:color="000000" w:sz="4" w:space="0"/>
              <w:left w:val="single" w:color="000000" w:sz="4" w:space="0"/>
              <w:bottom w:val="single" w:color="000000" w:sz="4" w:space="0"/>
              <w:right w:val="single" w:color="000000" w:sz="4" w:space="0"/>
            </w:tcBorders>
            <w:noWrap w:val="0"/>
            <w:vAlign w:val="center"/>
          </w:tcPr>
          <w:p w14:paraId="2AF8206B">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rPr>
              <w:t>说明</w:t>
            </w:r>
          </w:p>
        </w:tc>
      </w:tr>
      <w:tr w14:paraId="01D4768D">
        <w:tblPrEx>
          <w:tblCellMar>
            <w:top w:w="15" w:type="dxa"/>
            <w:left w:w="15" w:type="dxa"/>
            <w:bottom w:w="15" w:type="dxa"/>
            <w:right w:w="15" w:type="dxa"/>
          </w:tblCellMar>
        </w:tblPrEx>
        <w:trPr>
          <w:trHeight w:val="1826" w:hRule="atLeast"/>
          <w:jc w:val="center"/>
        </w:trPr>
        <w:tc>
          <w:tcPr>
            <w:tcW w:w="581" w:type="dxa"/>
            <w:tcBorders>
              <w:top w:val="single" w:color="000000" w:sz="4" w:space="0"/>
              <w:left w:val="single" w:color="000000" w:sz="4" w:space="0"/>
              <w:bottom w:val="single" w:color="auto" w:sz="4" w:space="0"/>
              <w:right w:val="single" w:color="000000" w:sz="4" w:space="0"/>
            </w:tcBorders>
            <w:noWrap w:val="0"/>
            <w:vAlign w:val="center"/>
          </w:tcPr>
          <w:p w14:paraId="50CF8C65">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rPr>
              <w:t>1</w:t>
            </w:r>
          </w:p>
        </w:tc>
        <w:tc>
          <w:tcPr>
            <w:tcW w:w="1032" w:type="dxa"/>
            <w:tcBorders>
              <w:top w:val="single" w:color="000000" w:sz="4" w:space="0"/>
              <w:left w:val="single" w:color="000000" w:sz="4" w:space="0"/>
              <w:bottom w:val="single" w:color="auto" w:sz="4" w:space="0"/>
              <w:right w:val="single" w:color="000000" w:sz="4" w:space="0"/>
            </w:tcBorders>
            <w:noWrap w:val="0"/>
            <w:vAlign w:val="center"/>
          </w:tcPr>
          <w:p w14:paraId="551DAF10">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rPr>
              <w:t>投标报价</w:t>
            </w:r>
          </w:p>
          <w:p w14:paraId="7D33A534">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20</w:t>
            </w:r>
            <w:r>
              <w:rPr>
                <w:rFonts w:hint="eastAsia" w:ascii="仿宋" w:hAnsi="仿宋" w:eastAsia="仿宋" w:cs="仿宋"/>
                <w:color w:val="auto"/>
                <w:sz w:val="21"/>
                <w:szCs w:val="21"/>
              </w:rPr>
              <w:t>%</w:t>
            </w:r>
          </w:p>
        </w:tc>
        <w:tc>
          <w:tcPr>
            <w:tcW w:w="947" w:type="dxa"/>
            <w:tcBorders>
              <w:top w:val="single" w:color="000000" w:sz="4" w:space="0"/>
              <w:left w:val="single" w:color="000000" w:sz="4" w:space="0"/>
              <w:bottom w:val="single" w:color="auto" w:sz="4" w:space="0"/>
              <w:right w:val="single" w:color="000000" w:sz="4" w:space="0"/>
            </w:tcBorders>
            <w:noWrap w:val="0"/>
            <w:vAlign w:val="center"/>
          </w:tcPr>
          <w:p w14:paraId="1918292E">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20</w:t>
            </w:r>
            <w:r>
              <w:rPr>
                <w:rFonts w:hint="eastAsia" w:ascii="仿宋" w:hAnsi="仿宋" w:eastAsia="仿宋" w:cs="仿宋"/>
                <w:color w:val="auto"/>
                <w:sz w:val="21"/>
                <w:szCs w:val="21"/>
              </w:rPr>
              <w:t>分</w:t>
            </w:r>
          </w:p>
        </w:tc>
        <w:tc>
          <w:tcPr>
            <w:tcW w:w="5191" w:type="dxa"/>
            <w:tcBorders>
              <w:top w:val="single" w:color="000000" w:sz="4" w:space="0"/>
              <w:left w:val="single" w:color="000000" w:sz="4" w:space="0"/>
              <w:bottom w:val="single" w:color="auto" w:sz="4" w:space="0"/>
              <w:right w:val="single" w:color="000000" w:sz="4" w:space="0"/>
            </w:tcBorders>
            <w:noWrap w:val="0"/>
            <w:vAlign w:val="center"/>
          </w:tcPr>
          <w:p w14:paraId="1013A1E9">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rPr>
              <w:t>满足</w:t>
            </w:r>
            <w:r>
              <w:rPr>
                <w:rFonts w:hint="eastAsia" w:ascii="仿宋" w:hAnsi="仿宋" w:eastAsia="仿宋" w:cs="仿宋"/>
                <w:color w:val="auto"/>
                <w:sz w:val="21"/>
                <w:szCs w:val="21"/>
                <w:lang w:eastAsia="zh-CN"/>
              </w:rPr>
              <w:t>采购</w:t>
            </w:r>
            <w:r>
              <w:rPr>
                <w:rFonts w:hint="eastAsia" w:ascii="仿宋" w:hAnsi="仿宋" w:eastAsia="仿宋" w:cs="仿宋"/>
                <w:color w:val="auto"/>
                <w:sz w:val="21"/>
                <w:szCs w:val="21"/>
              </w:rPr>
              <w:t>文件要求且最后折扣报价最低的供应商的为基准价格，其价格分为满分。其他供应商的价格分统一按照下列公式计算:</w:t>
            </w:r>
          </w:p>
          <w:p w14:paraId="2A23BC39">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rPr>
              <w:t>报价得分=(基准折扣</w:t>
            </w:r>
            <w:r>
              <w:rPr>
                <w:rFonts w:hint="eastAsia" w:ascii="仿宋" w:hAnsi="仿宋" w:eastAsia="仿宋" w:cs="仿宋"/>
                <w:color w:val="auto"/>
                <w:sz w:val="21"/>
                <w:szCs w:val="21"/>
                <w:lang w:val="en-US" w:eastAsia="zh-CN"/>
              </w:rPr>
              <w:t>报价</w:t>
            </w:r>
            <w:r>
              <w:rPr>
                <w:rFonts w:hint="eastAsia" w:ascii="仿宋" w:hAnsi="仿宋" w:eastAsia="仿宋" w:cs="仿宋"/>
                <w:color w:val="auto"/>
                <w:sz w:val="21"/>
                <w:szCs w:val="21"/>
              </w:rPr>
              <w:t>/报价折扣)×价格权重×100</w:t>
            </w:r>
          </w:p>
        </w:tc>
        <w:tc>
          <w:tcPr>
            <w:tcW w:w="2117" w:type="dxa"/>
            <w:tcBorders>
              <w:top w:val="single" w:color="000000" w:sz="4" w:space="0"/>
              <w:left w:val="single" w:color="000000" w:sz="4" w:space="0"/>
              <w:bottom w:val="single" w:color="auto" w:sz="4" w:space="0"/>
              <w:right w:val="single" w:color="000000" w:sz="4" w:space="0"/>
            </w:tcBorders>
            <w:noWrap w:val="0"/>
            <w:vAlign w:val="center"/>
          </w:tcPr>
          <w:p w14:paraId="7B8BE54E">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折扣报价填报说明 ：供应商的折扣报价应在0%—100%之间，否则为无效响应</w:t>
            </w:r>
            <w:r>
              <w:rPr>
                <w:rFonts w:hint="eastAsia" w:ascii="仿宋" w:hAnsi="仿宋" w:eastAsia="仿宋" w:cs="仿宋"/>
                <w:color w:val="auto"/>
                <w:sz w:val="21"/>
                <w:szCs w:val="21"/>
              </w:rPr>
              <w:t>。</w:t>
            </w:r>
          </w:p>
        </w:tc>
      </w:tr>
      <w:tr w14:paraId="58B1FD2C">
        <w:tblPrEx>
          <w:tblCellMar>
            <w:top w:w="15" w:type="dxa"/>
            <w:left w:w="15" w:type="dxa"/>
            <w:bottom w:w="15" w:type="dxa"/>
            <w:right w:w="15" w:type="dxa"/>
          </w:tblCellMar>
        </w:tblPrEx>
        <w:trPr>
          <w:trHeight w:val="1902" w:hRule="atLeast"/>
          <w:jc w:val="center"/>
        </w:trPr>
        <w:tc>
          <w:tcPr>
            <w:tcW w:w="581" w:type="dxa"/>
            <w:vMerge w:val="restart"/>
            <w:tcBorders>
              <w:top w:val="single" w:color="000000" w:sz="4" w:space="0"/>
              <w:left w:val="single" w:color="000000" w:sz="4" w:space="0"/>
              <w:right w:val="single" w:color="000000" w:sz="4" w:space="0"/>
            </w:tcBorders>
            <w:noWrap w:val="0"/>
            <w:vAlign w:val="center"/>
          </w:tcPr>
          <w:p w14:paraId="3F87F4A4">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rPr>
              <w:t>2</w:t>
            </w:r>
          </w:p>
          <w:p w14:paraId="44F7C52D">
            <w:pPr>
              <w:snapToGrid w:val="0"/>
              <w:spacing w:line="240" w:lineRule="auto"/>
              <w:jc w:val="center"/>
              <w:rPr>
                <w:rFonts w:hint="eastAsia" w:ascii="仿宋" w:hAnsi="仿宋" w:eastAsia="仿宋" w:cs="仿宋"/>
                <w:color w:val="auto"/>
                <w:sz w:val="21"/>
                <w:szCs w:val="21"/>
              </w:rPr>
            </w:pPr>
          </w:p>
        </w:tc>
        <w:tc>
          <w:tcPr>
            <w:tcW w:w="1032" w:type="dxa"/>
            <w:vMerge w:val="restart"/>
            <w:tcBorders>
              <w:top w:val="single" w:color="000000" w:sz="4" w:space="0"/>
              <w:left w:val="single" w:color="000000" w:sz="4" w:space="0"/>
              <w:right w:val="single" w:color="000000" w:sz="4" w:space="0"/>
            </w:tcBorders>
            <w:noWrap w:val="0"/>
            <w:vAlign w:val="center"/>
          </w:tcPr>
          <w:p w14:paraId="7D6E42D4">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服务部分60</w:t>
            </w:r>
            <w:r>
              <w:rPr>
                <w:rFonts w:hint="eastAsia" w:ascii="仿宋" w:hAnsi="仿宋" w:eastAsia="仿宋" w:cs="仿宋"/>
                <w:color w:val="auto"/>
                <w:sz w:val="21"/>
                <w:szCs w:val="21"/>
              </w:rPr>
              <w:t>%</w:t>
            </w:r>
          </w:p>
        </w:tc>
        <w:tc>
          <w:tcPr>
            <w:tcW w:w="947" w:type="dxa"/>
            <w:tcBorders>
              <w:top w:val="single" w:color="000000" w:sz="4" w:space="0"/>
              <w:left w:val="single" w:color="000000" w:sz="4" w:space="0"/>
              <w:bottom w:val="single" w:color="auto" w:sz="4" w:space="0"/>
              <w:right w:val="single" w:color="000000" w:sz="4" w:space="0"/>
            </w:tcBorders>
            <w:noWrap w:val="0"/>
            <w:vAlign w:val="center"/>
          </w:tcPr>
          <w:p w14:paraId="15DBD201">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highlight w:val="none"/>
              </w:rPr>
              <w:t>管理制度（</w:t>
            </w:r>
            <w:r>
              <w:rPr>
                <w:rFonts w:hint="eastAsia" w:ascii="仿宋" w:hAnsi="仿宋" w:eastAsia="仿宋" w:cs="仿宋"/>
                <w:color w:val="auto"/>
                <w:sz w:val="21"/>
                <w:szCs w:val="21"/>
                <w:highlight w:val="none"/>
                <w:lang w:val="en-US" w:eastAsia="zh-CN"/>
              </w:rPr>
              <w:t>15</w:t>
            </w:r>
            <w:r>
              <w:rPr>
                <w:rFonts w:hint="eastAsia" w:ascii="仿宋" w:hAnsi="仿宋" w:eastAsia="仿宋" w:cs="仿宋"/>
                <w:color w:val="auto"/>
                <w:sz w:val="21"/>
                <w:szCs w:val="21"/>
                <w:highlight w:val="none"/>
              </w:rPr>
              <w:t>分）</w:t>
            </w:r>
          </w:p>
        </w:tc>
        <w:tc>
          <w:tcPr>
            <w:tcW w:w="5191" w:type="dxa"/>
            <w:tcBorders>
              <w:top w:val="single" w:color="000000" w:sz="4" w:space="0"/>
              <w:left w:val="single" w:color="000000" w:sz="4" w:space="0"/>
              <w:bottom w:val="single" w:color="auto" w:sz="4" w:space="0"/>
              <w:right w:val="single" w:color="000000" w:sz="4" w:space="0"/>
            </w:tcBorders>
            <w:noWrap w:val="0"/>
            <w:vAlign w:val="center"/>
          </w:tcPr>
          <w:p w14:paraId="1BF1214E">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供应商</w:t>
            </w:r>
            <w:r>
              <w:rPr>
                <w:rFonts w:hint="eastAsia" w:ascii="仿宋" w:hAnsi="仿宋" w:eastAsia="仿宋" w:cs="仿宋"/>
                <w:color w:val="auto"/>
                <w:sz w:val="21"/>
                <w:szCs w:val="21"/>
              </w:rPr>
              <w:t>为本项目提供项目管理相关制度，内容包含但不限于：</w:t>
            </w:r>
            <w:r>
              <w:rPr>
                <w:rFonts w:hint="eastAsia" w:ascii="仿宋" w:hAnsi="仿宋" w:eastAsia="仿宋" w:cs="仿宋"/>
                <w:color w:val="auto"/>
                <w:sz w:val="21"/>
                <w:szCs w:val="21"/>
                <w:lang w:val="en-US" w:eastAsia="zh-CN"/>
              </w:rPr>
              <w:t>供应</w:t>
            </w:r>
            <w:r>
              <w:rPr>
                <w:rFonts w:hint="eastAsia" w:ascii="仿宋" w:hAnsi="仿宋" w:eastAsia="仿宋" w:cs="仿宋"/>
                <w:color w:val="auto"/>
                <w:sz w:val="21"/>
                <w:szCs w:val="21"/>
              </w:rPr>
              <w:t>管理制度；质量管理制度；应急管理制度；</w:t>
            </w:r>
          </w:p>
          <w:p w14:paraId="4F708FA8">
            <w:pPr>
              <w:snapToGrid w:val="0"/>
              <w:spacing w:line="240" w:lineRule="auto"/>
              <w:jc w:val="left"/>
              <w:rPr>
                <w:rFonts w:hint="eastAsia" w:ascii="仿宋" w:hAnsi="仿宋" w:eastAsia="仿宋" w:cs="仿宋"/>
                <w:color w:val="auto"/>
                <w:sz w:val="21"/>
                <w:szCs w:val="21"/>
                <w:lang w:eastAsia="zh-CN"/>
              </w:rPr>
            </w:pPr>
            <w:r>
              <w:rPr>
                <w:rFonts w:hint="eastAsia" w:ascii="仿宋" w:hAnsi="仿宋" w:eastAsia="仿宋" w:cs="仿宋"/>
                <w:color w:val="auto"/>
                <w:sz w:val="21"/>
                <w:szCs w:val="21"/>
              </w:rPr>
              <w:t>安全管理制度</w:t>
            </w:r>
            <w:r>
              <w:rPr>
                <w:rFonts w:hint="eastAsia" w:ascii="仿宋" w:hAnsi="仿宋" w:eastAsia="仿宋" w:cs="仿宋"/>
                <w:color w:val="auto"/>
                <w:sz w:val="21"/>
                <w:szCs w:val="21"/>
                <w:lang w:eastAsia="zh-CN"/>
              </w:rPr>
              <w:t>。</w:t>
            </w:r>
          </w:p>
          <w:p w14:paraId="0DF31E48">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方案内容不存在瑕疵得15分；</w:t>
            </w:r>
          </w:p>
          <w:p w14:paraId="0B5247D7">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方案内容存在1处瑕疵得12分；</w:t>
            </w:r>
          </w:p>
          <w:p w14:paraId="76DD13FD">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方案内容存在2处瑕疵得8分；</w:t>
            </w:r>
          </w:p>
          <w:p w14:paraId="65B03E0B">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方案内容存在3处及以上瑕疵的5分；</w:t>
            </w:r>
          </w:p>
          <w:p w14:paraId="3F33C505">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方案内容存在4处及以上瑕疵的或未提供得0分。</w:t>
            </w:r>
          </w:p>
        </w:tc>
        <w:tc>
          <w:tcPr>
            <w:tcW w:w="2117" w:type="dxa"/>
            <w:vMerge w:val="restart"/>
            <w:tcBorders>
              <w:top w:val="single" w:color="000000" w:sz="4" w:space="0"/>
              <w:left w:val="single" w:color="000000" w:sz="4" w:space="0"/>
              <w:right w:val="single" w:color="000000" w:sz="4" w:space="0"/>
            </w:tcBorders>
            <w:noWrap w:val="0"/>
            <w:vAlign w:val="center"/>
          </w:tcPr>
          <w:p w14:paraId="0E90DDD9">
            <w:pPr>
              <w:snapToGrid w:val="0"/>
              <w:spacing w:line="240" w:lineRule="auto"/>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rPr>
              <w:t>1.提供</w:t>
            </w:r>
            <w:r>
              <w:rPr>
                <w:rFonts w:hint="eastAsia" w:ascii="仿宋" w:hAnsi="仿宋" w:eastAsia="仿宋" w:cs="仿宋"/>
                <w:color w:val="auto"/>
                <w:sz w:val="21"/>
                <w:szCs w:val="21"/>
                <w:lang w:val="en-US" w:eastAsia="zh-CN"/>
              </w:rPr>
              <w:t>服务方案，</w:t>
            </w:r>
            <w:r>
              <w:rPr>
                <w:rFonts w:hint="eastAsia" w:ascii="仿宋" w:hAnsi="仿宋" w:eastAsia="仿宋" w:cs="仿宋"/>
                <w:color w:val="auto"/>
                <w:sz w:val="21"/>
                <w:szCs w:val="21"/>
              </w:rPr>
              <w:t>格式自定</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服务方案内容应精简明确，采用双页打印，且不得超过200页，否则不得评审为优。</w:t>
            </w:r>
          </w:p>
          <w:p w14:paraId="38EFFBD9">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rPr>
              <w:t>2.本项内容中所称的“瑕疵”指出现下列任一情形：</w:t>
            </w:r>
          </w:p>
          <w:p w14:paraId="4BC1BE82">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rPr>
              <w:t>（1）方案内容缺项、内容表述不完整；</w:t>
            </w:r>
          </w:p>
          <w:p w14:paraId="7D4D5CB4">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rPr>
              <w:t>（2）缺少针对性描述分析或缺少关键分析点；</w:t>
            </w:r>
          </w:p>
          <w:p w14:paraId="29B62136">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rPr>
              <w:t>（3）表述前后矛盾、无连贯性；</w:t>
            </w:r>
          </w:p>
          <w:p w14:paraId="08698FC6">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rPr>
              <w:t>（4）内容存在逻辑漏洞、常识错误、科学原理错误；</w:t>
            </w:r>
          </w:p>
          <w:p w14:paraId="3949CE33">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rPr>
              <w:t>（5）安排并不适用本项目特性或非专门针对本项目制定；</w:t>
            </w:r>
          </w:p>
          <w:p w14:paraId="509BB2FC">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rPr>
              <w:t>（6）提出的措施举措不利于本项目目标的实现；</w:t>
            </w:r>
          </w:p>
          <w:p w14:paraId="7B911B23">
            <w:pPr>
              <w:snapToGrid w:val="0"/>
              <w:spacing w:line="240" w:lineRule="auto"/>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rPr>
              <w:t>（7）现有条件下不可能实现的情形。</w:t>
            </w:r>
          </w:p>
          <w:p w14:paraId="388B84D3">
            <w:pPr>
              <w:snapToGrid w:val="0"/>
              <w:spacing w:line="240" w:lineRule="auto"/>
              <w:jc w:val="left"/>
              <w:rPr>
                <w:rFonts w:hint="eastAsia" w:ascii="仿宋" w:hAnsi="仿宋" w:eastAsia="仿宋" w:cs="仿宋"/>
                <w:color w:val="auto"/>
                <w:sz w:val="21"/>
                <w:szCs w:val="21"/>
              </w:rPr>
            </w:pPr>
          </w:p>
        </w:tc>
      </w:tr>
      <w:tr w14:paraId="420CC802">
        <w:tblPrEx>
          <w:tblCellMar>
            <w:top w:w="15" w:type="dxa"/>
            <w:left w:w="15" w:type="dxa"/>
            <w:bottom w:w="15" w:type="dxa"/>
            <w:right w:w="15" w:type="dxa"/>
          </w:tblCellMar>
        </w:tblPrEx>
        <w:trPr>
          <w:trHeight w:val="1496" w:hRule="atLeast"/>
          <w:jc w:val="center"/>
        </w:trPr>
        <w:tc>
          <w:tcPr>
            <w:tcW w:w="581" w:type="dxa"/>
            <w:vMerge w:val="continue"/>
            <w:tcBorders>
              <w:left w:val="single" w:color="000000" w:sz="4" w:space="0"/>
              <w:right w:val="single" w:color="000000" w:sz="4" w:space="0"/>
            </w:tcBorders>
            <w:noWrap w:val="0"/>
            <w:vAlign w:val="center"/>
          </w:tcPr>
          <w:p w14:paraId="33884C2F">
            <w:pPr>
              <w:snapToGrid w:val="0"/>
              <w:spacing w:line="240" w:lineRule="auto"/>
              <w:jc w:val="center"/>
              <w:rPr>
                <w:rFonts w:hint="eastAsia" w:ascii="仿宋" w:hAnsi="仿宋" w:eastAsia="仿宋" w:cs="仿宋"/>
                <w:color w:val="auto"/>
                <w:sz w:val="21"/>
                <w:szCs w:val="21"/>
              </w:rPr>
            </w:pPr>
          </w:p>
        </w:tc>
        <w:tc>
          <w:tcPr>
            <w:tcW w:w="1032" w:type="dxa"/>
            <w:vMerge w:val="continue"/>
            <w:tcBorders>
              <w:left w:val="single" w:color="000000" w:sz="4" w:space="0"/>
              <w:right w:val="single" w:color="000000" w:sz="4" w:space="0"/>
            </w:tcBorders>
            <w:noWrap w:val="0"/>
            <w:vAlign w:val="center"/>
          </w:tcPr>
          <w:p w14:paraId="26BD55ED">
            <w:pPr>
              <w:snapToGrid w:val="0"/>
              <w:spacing w:line="240" w:lineRule="auto"/>
              <w:jc w:val="center"/>
              <w:rPr>
                <w:rFonts w:hint="eastAsia" w:ascii="仿宋" w:hAnsi="仿宋" w:eastAsia="仿宋" w:cs="仿宋"/>
                <w:color w:val="auto"/>
                <w:sz w:val="21"/>
                <w:szCs w:val="21"/>
              </w:rPr>
            </w:pPr>
          </w:p>
        </w:tc>
        <w:tc>
          <w:tcPr>
            <w:tcW w:w="947" w:type="dxa"/>
            <w:tcBorders>
              <w:top w:val="single" w:color="000000" w:sz="4" w:space="0"/>
              <w:left w:val="single" w:color="000000" w:sz="4" w:space="0"/>
              <w:bottom w:val="single" w:color="auto" w:sz="4" w:space="0"/>
              <w:right w:val="single" w:color="000000" w:sz="4" w:space="0"/>
            </w:tcBorders>
            <w:noWrap w:val="0"/>
            <w:vAlign w:val="center"/>
          </w:tcPr>
          <w:p w14:paraId="3CCD5A40">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highlight w:val="none"/>
              </w:rPr>
              <w:t>服务措施（</w:t>
            </w:r>
            <w:r>
              <w:rPr>
                <w:rFonts w:hint="eastAsia" w:ascii="仿宋" w:hAnsi="仿宋" w:eastAsia="仿宋" w:cs="仿宋"/>
                <w:color w:val="auto"/>
                <w:sz w:val="21"/>
                <w:szCs w:val="21"/>
                <w:highlight w:val="none"/>
                <w:lang w:val="en-US" w:eastAsia="zh-CN"/>
              </w:rPr>
              <w:t>15</w:t>
            </w:r>
            <w:r>
              <w:rPr>
                <w:rFonts w:hint="eastAsia" w:ascii="仿宋" w:hAnsi="仿宋" w:eastAsia="仿宋" w:cs="仿宋"/>
                <w:color w:val="auto"/>
                <w:sz w:val="21"/>
                <w:szCs w:val="21"/>
                <w:highlight w:val="none"/>
              </w:rPr>
              <w:t>分）</w:t>
            </w:r>
          </w:p>
        </w:tc>
        <w:tc>
          <w:tcPr>
            <w:tcW w:w="5191" w:type="dxa"/>
            <w:tcBorders>
              <w:top w:val="single" w:color="000000" w:sz="4" w:space="0"/>
              <w:left w:val="single" w:color="000000" w:sz="4" w:space="0"/>
              <w:bottom w:val="single" w:color="auto" w:sz="4" w:space="0"/>
              <w:right w:val="single" w:color="000000" w:sz="4" w:space="0"/>
            </w:tcBorders>
            <w:noWrap w:val="0"/>
            <w:vAlign w:val="center"/>
          </w:tcPr>
          <w:p w14:paraId="1C1E6C30">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供应商</w:t>
            </w:r>
            <w:r>
              <w:rPr>
                <w:rFonts w:hint="eastAsia" w:ascii="仿宋" w:hAnsi="仿宋" w:eastAsia="仿宋" w:cs="仿宋"/>
                <w:color w:val="auto"/>
                <w:sz w:val="21"/>
                <w:szCs w:val="21"/>
              </w:rPr>
              <w:t>针对本项目提供服务措施，内容包含但不限于：</w:t>
            </w:r>
          </w:p>
          <w:p w14:paraId="3616B104">
            <w:pPr>
              <w:snapToGrid w:val="0"/>
              <w:spacing w:line="240" w:lineRule="auto"/>
              <w:jc w:val="left"/>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供应</w:t>
            </w:r>
            <w:r>
              <w:rPr>
                <w:rFonts w:hint="eastAsia" w:ascii="仿宋" w:hAnsi="仿宋" w:eastAsia="仿宋" w:cs="仿宋"/>
                <w:color w:val="auto"/>
                <w:sz w:val="21"/>
                <w:szCs w:val="21"/>
              </w:rPr>
              <w:t>计划、储存及仓储管理；服务人员的责任及分工；质量问题处理时限</w:t>
            </w:r>
            <w:r>
              <w:rPr>
                <w:rFonts w:hint="eastAsia" w:ascii="仿宋" w:hAnsi="仿宋" w:eastAsia="仿宋" w:cs="仿宋"/>
                <w:color w:val="auto"/>
                <w:sz w:val="21"/>
                <w:szCs w:val="21"/>
                <w:lang w:eastAsia="zh-CN"/>
              </w:rPr>
              <w:t>。</w:t>
            </w:r>
          </w:p>
          <w:p w14:paraId="1EB9B177">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方案内容不存在瑕疵得15分；</w:t>
            </w:r>
          </w:p>
          <w:p w14:paraId="180304E8">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方案内容存在1处瑕疵得12分；</w:t>
            </w:r>
          </w:p>
          <w:p w14:paraId="306F8DB2">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方案内容存在2处瑕疵得8分；</w:t>
            </w:r>
          </w:p>
          <w:p w14:paraId="637F1391">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方案内容存在3处及以上瑕疵的5分；</w:t>
            </w:r>
          </w:p>
          <w:p w14:paraId="1353707B">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方案内容存在4处及以上瑕疵的或未提供得0分。</w:t>
            </w:r>
          </w:p>
        </w:tc>
        <w:tc>
          <w:tcPr>
            <w:tcW w:w="2117" w:type="dxa"/>
            <w:vMerge w:val="continue"/>
            <w:tcBorders>
              <w:left w:val="single" w:color="000000" w:sz="4" w:space="0"/>
              <w:right w:val="single" w:color="000000" w:sz="4" w:space="0"/>
            </w:tcBorders>
            <w:noWrap w:val="0"/>
            <w:vAlign w:val="center"/>
          </w:tcPr>
          <w:p w14:paraId="50970A63">
            <w:pPr>
              <w:snapToGrid w:val="0"/>
              <w:spacing w:line="240" w:lineRule="auto"/>
              <w:jc w:val="left"/>
              <w:rPr>
                <w:rFonts w:hint="eastAsia" w:ascii="仿宋" w:hAnsi="仿宋" w:eastAsia="仿宋" w:cs="仿宋"/>
                <w:color w:val="auto"/>
                <w:sz w:val="21"/>
                <w:szCs w:val="21"/>
              </w:rPr>
            </w:pPr>
          </w:p>
        </w:tc>
      </w:tr>
      <w:tr w14:paraId="257F9A18">
        <w:tblPrEx>
          <w:tblCellMar>
            <w:top w:w="15" w:type="dxa"/>
            <w:left w:w="15" w:type="dxa"/>
            <w:bottom w:w="15" w:type="dxa"/>
            <w:right w:w="15" w:type="dxa"/>
          </w:tblCellMar>
        </w:tblPrEx>
        <w:trPr>
          <w:trHeight w:val="722" w:hRule="atLeast"/>
          <w:jc w:val="center"/>
        </w:trPr>
        <w:tc>
          <w:tcPr>
            <w:tcW w:w="581" w:type="dxa"/>
            <w:vMerge w:val="continue"/>
            <w:tcBorders>
              <w:left w:val="single" w:color="000000" w:sz="4" w:space="0"/>
              <w:right w:val="single" w:color="000000" w:sz="4" w:space="0"/>
            </w:tcBorders>
            <w:noWrap w:val="0"/>
            <w:vAlign w:val="center"/>
          </w:tcPr>
          <w:p w14:paraId="537A65F5">
            <w:pPr>
              <w:snapToGrid w:val="0"/>
              <w:spacing w:line="240" w:lineRule="auto"/>
              <w:jc w:val="center"/>
              <w:rPr>
                <w:rFonts w:hint="eastAsia" w:ascii="仿宋" w:hAnsi="仿宋" w:eastAsia="仿宋" w:cs="仿宋"/>
                <w:color w:val="auto"/>
                <w:sz w:val="21"/>
                <w:szCs w:val="21"/>
              </w:rPr>
            </w:pPr>
          </w:p>
        </w:tc>
        <w:tc>
          <w:tcPr>
            <w:tcW w:w="1032" w:type="dxa"/>
            <w:vMerge w:val="continue"/>
            <w:tcBorders>
              <w:left w:val="single" w:color="000000" w:sz="4" w:space="0"/>
              <w:right w:val="single" w:color="000000" w:sz="4" w:space="0"/>
            </w:tcBorders>
            <w:noWrap w:val="0"/>
            <w:vAlign w:val="center"/>
          </w:tcPr>
          <w:p w14:paraId="08C82468">
            <w:pPr>
              <w:snapToGrid w:val="0"/>
              <w:spacing w:line="240" w:lineRule="auto"/>
              <w:jc w:val="center"/>
              <w:rPr>
                <w:rFonts w:hint="eastAsia" w:ascii="仿宋" w:hAnsi="仿宋" w:eastAsia="仿宋" w:cs="仿宋"/>
                <w:color w:val="auto"/>
                <w:sz w:val="21"/>
                <w:szCs w:val="21"/>
              </w:rPr>
            </w:pPr>
          </w:p>
        </w:tc>
        <w:tc>
          <w:tcPr>
            <w:tcW w:w="947" w:type="dxa"/>
            <w:tcBorders>
              <w:top w:val="single" w:color="000000" w:sz="4" w:space="0"/>
              <w:left w:val="single" w:color="000000" w:sz="4" w:space="0"/>
              <w:bottom w:val="single" w:color="auto" w:sz="4" w:space="0"/>
              <w:right w:val="single" w:color="000000" w:sz="4" w:space="0"/>
            </w:tcBorders>
            <w:noWrap w:val="0"/>
            <w:vAlign w:val="center"/>
          </w:tcPr>
          <w:p w14:paraId="67099325">
            <w:pPr>
              <w:snapToGrid w:val="0"/>
              <w:spacing w:line="240" w:lineRule="auto"/>
              <w:jc w:val="left"/>
              <w:rPr>
                <w:rFonts w:hint="eastAsia" w:ascii="仿宋" w:hAnsi="仿宋" w:eastAsia="仿宋" w:cs="仿宋"/>
                <w:color w:val="auto"/>
                <w:sz w:val="21"/>
                <w:szCs w:val="21"/>
                <w:lang w:eastAsia="zh-CN"/>
              </w:rPr>
            </w:pPr>
            <w:r>
              <w:rPr>
                <w:rFonts w:hint="eastAsia" w:ascii="仿宋" w:hAnsi="仿宋" w:eastAsia="仿宋" w:cs="仿宋"/>
                <w:color w:val="auto"/>
                <w:sz w:val="21"/>
                <w:szCs w:val="21"/>
                <w:highlight w:val="none"/>
              </w:rPr>
              <w:t>食品质量安全保障措施</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rPr>
              <w:t>15分</w:t>
            </w:r>
            <w:r>
              <w:rPr>
                <w:rFonts w:hint="eastAsia" w:ascii="仿宋" w:hAnsi="仿宋" w:eastAsia="仿宋" w:cs="仿宋"/>
                <w:color w:val="auto"/>
                <w:sz w:val="21"/>
                <w:szCs w:val="21"/>
                <w:lang w:eastAsia="zh-CN"/>
              </w:rPr>
              <w:t>）</w:t>
            </w:r>
          </w:p>
        </w:tc>
        <w:tc>
          <w:tcPr>
            <w:tcW w:w="5191" w:type="dxa"/>
            <w:tcBorders>
              <w:top w:val="single" w:color="000000" w:sz="4" w:space="0"/>
              <w:left w:val="single" w:color="000000" w:sz="4" w:space="0"/>
              <w:bottom w:val="single" w:color="auto" w:sz="4" w:space="0"/>
              <w:right w:val="single" w:color="000000" w:sz="4" w:space="0"/>
            </w:tcBorders>
            <w:noWrap w:val="0"/>
            <w:vAlign w:val="center"/>
          </w:tcPr>
          <w:p w14:paraId="1371B448">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供应商</w:t>
            </w:r>
            <w:r>
              <w:rPr>
                <w:rFonts w:hint="eastAsia" w:ascii="仿宋" w:hAnsi="仿宋" w:eastAsia="仿宋" w:cs="仿宋"/>
                <w:color w:val="auto"/>
                <w:sz w:val="21"/>
                <w:szCs w:val="21"/>
              </w:rPr>
              <w:t>针对本项目提供食品质量安全保障措施，内容包含但不限于：食品保管措施；食品检验措施；运输安全保证措施；运输食品质量保证措施。</w:t>
            </w:r>
          </w:p>
          <w:p w14:paraId="4ECA3E25">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方案内容不存在瑕疵得15分；</w:t>
            </w:r>
          </w:p>
          <w:p w14:paraId="5D49D912">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方案内容存在1处瑕疵得12分；</w:t>
            </w:r>
          </w:p>
          <w:p w14:paraId="0E4E81D8">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方案内容存在2处瑕疵得8分；</w:t>
            </w:r>
          </w:p>
          <w:p w14:paraId="450F597F">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方案内容存在3处及以上瑕疵的5分；</w:t>
            </w:r>
          </w:p>
          <w:p w14:paraId="2412834A">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方案内容存在4处及以上瑕疵的或未提供得0分。</w:t>
            </w:r>
          </w:p>
        </w:tc>
        <w:tc>
          <w:tcPr>
            <w:tcW w:w="2117" w:type="dxa"/>
            <w:vMerge w:val="continue"/>
            <w:tcBorders>
              <w:left w:val="single" w:color="000000" w:sz="4" w:space="0"/>
              <w:right w:val="single" w:color="000000" w:sz="4" w:space="0"/>
            </w:tcBorders>
            <w:noWrap w:val="0"/>
            <w:vAlign w:val="center"/>
          </w:tcPr>
          <w:p w14:paraId="4AD3E928">
            <w:pPr>
              <w:snapToGrid w:val="0"/>
              <w:spacing w:line="240" w:lineRule="auto"/>
              <w:jc w:val="center"/>
              <w:rPr>
                <w:rFonts w:hint="eastAsia" w:ascii="仿宋" w:hAnsi="仿宋" w:eastAsia="仿宋" w:cs="仿宋"/>
                <w:color w:val="auto"/>
                <w:sz w:val="21"/>
                <w:szCs w:val="21"/>
              </w:rPr>
            </w:pPr>
          </w:p>
        </w:tc>
      </w:tr>
      <w:tr w14:paraId="7E13F3D2">
        <w:tblPrEx>
          <w:tblCellMar>
            <w:top w:w="15" w:type="dxa"/>
            <w:left w:w="15" w:type="dxa"/>
            <w:bottom w:w="15" w:type="dxa"/>
            <w:right w:w="15" w:type="dxa"/>
          </w:tblCellMar>
        </w:tblPrEx>
        <w:trPr>
          <w:trHeight w:val="2196" w:hRule="atLeast"/>
          <w:jc w:val="center"/>
        </w:trPr>
        <w:tc>
          <w:tcPr>
            <w:tcW w:w="581" w:type="dxa"/>
            <w:vMerge w:val="continue"/>
            <w:tcBorders>
              <w:left w:val="single" w:color="000000" w:sz="4" w:space="0"/>
              <w:bottom w:val="single" w:color="auto" w:sz="4" w:space="0"/>
              <w:right w:val="single" w:color="000000" w:sz="4" w:space="0"/>
            </w:tcBorders>
            <w:noWrap w:val="0"/>
            <w:vAlign w:val="center"/>
          </w:tcPr>
          <w:p w14:paraId="08C09B9F">
            <w:pPr>
              <w:snapToGrid w:val="0"/>
              <w:spacing w:line="240" w:lineRule="auto"/>
              <w:jc w:val="center"/>
              <w:rPr>
                <w:rFonts w:hint="eastAsia" w:ascii="仿宋" w:hAnsi="仿宋" w:eastAsia="仿宋" w:cs="仿宋"/>
                <w:color w:val="auto"/>
                <w:sz w:val="21"/>
                <w:szCs w:val="21"/>
              </w:rPr>
            </w:pPr>
          </w:p>
        </w:tc>
        <w:tc>
          <w:tcPr>
            <w:tcW w:w="1032" w:type="dxa"/>
            <w:vMerge w:val="continue"/>
            <w:tcBorders>
              <w:left w:val="single" w:color="000000" w:sz="4" w:space="0"/>
              <w:bottom w:val="single" w:color="auto" w:sz="4" w:space="0"/>
              <w:right w:val="single" w:color="000000" w:sz="4" w:space="0"/>
            </w:tcBorders>
            <w:noWrap w:val="0"/>
            <w:vAlign w:val="center"/>
          </w:tcPr>
          <w:p w14:paraId="56EFE4DF">
            <w:pPr>
              <w:snapToGrid w:val="0"/>
              <w:spacing w:line="240" w:lineRule="auto"/>
              <w:jc w:val="center"/>
              <w:rPr>
                <w:rFonts w:hint="eastAsia" w:ascii="仿宋" w:hAnsi="仿宋" w:eastAsia="仿宋" w:cs="仿宋"/>
                <w:color w:val="auto"/>
                <w:sz w:val="21"/>
                <w:szCs w:val="21"/>
              </w:rPr>
            </w:pPr>
          </w:p>
        </w:tc>
        <w:tc>
          <w:tcPr>
            <w:tcW w:w="947" w:type="dxa"/>
            <w:tcBorders>
              <w:top w:val="single" w:color="auto" w:sz="4" w:space="0"/>
              <w:left w:val="single" w:color="000000" w:sz="4" w:space="0"/>
              <w:bottom w:val="single" w:color="auto" w:sz="4" w:space="0"/>
              <w:right w:val="single" w:color="000000" w:sz="4" w:space="0"/>
            </w:tcBorders>
            <w:noWrap w:val="0"/>
            <w:vAlign w:val="center"/>
          </w:tcPr>
          <w:p w14:paraId="7A15C154">
            <w:pPr>
              <w:snapToGrid w:val="0"/>
              <w:spacing w:line="240" w:lineRule="auto"/>
              <w:jc w:val="left"/>
              <w:rPr>
                <w:rFonts w:hint="eastAsia" w:ascii="仿宋" w:hAnsi="仿宋" w:eastAsia="仿宋" w:cs="仿宋"/>
                <w:color w:val="auto"/>
                <w:sz w:val="21"/>
                <w:szCs w:val="21"/>
                <w:lang w:eastAsia="zh-CN"/>
              </w:rPr>
            </w:pPr>
            <w:r>
              <w:rPr>
                <w:rFonts w:hint="eastAsia" w:ascii="仿宋" w:hAnsi="仿宋" w:eastAsia="仿宋" w:cs="仿宋"/>
                <w:color w:val="auto"/>
                <w:sz w:val="21"/>
                <w:szCs w:val="21"/>
              </w:rPr>
              <w:t>售后服务及售后保障措施</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15</w:t>
            </w:r>
            <w:r>
              <w:rPr>
                <w:rFonts w:hint="eastAsia" w:ascii="仿宋" w:hAnsi="仿宋" w:eastAsia="仿宋" w:cs="仿宋"/>
                <w:color w:val="auto"/>
                <w:sz w:val="21"/>
                <w:szCs w:val="21"/>
              </w:rPr>
              <w:t>分</w:t>
            </w:r>
            <w:r>
              <w:rPr>
                <w:rFonts w:hint="eastAsia" w:ascii="仿宋" w:hAnsi="仿宋" w:eastAsia="仿宋" w:cs="仿宋"/>
                <w:color w:val="auto"/>
                <w:sz w:val="21"/>
                <w:szCs w:val="21"/>
                <w:lang w:eastAsia="zh-CN"/>
              </w:rPr>
              <w:t>）</w:t>
            </w:r>
          </w:p>
        </w:tc>
        <w:tc>
          <w:tcPr>
            <w:tcW w:w="5191" w:type="dxa"/>
            <w:tcBorders>
              <w:top w:val="single" w:color="auto" w:sz="4" w:space="0"/>
              <w:left w:val="single" w:color="000000" w:sz="4" w:space="0"/>
              <w:bottom w:val="single" w:color="auto" w:sz="4" w:space="0"/>
              <w:right w:val="single" w:color="auto" w:sz="4" w:space="0"/>
            </w:tcBorders>
            <w:noWrap w:val="0"/>
            <w:vAlign w:val="center"/>
          </w:tcPr>
          <w:p w14:paraId="13DCD3E7">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供应商</w:t>
            </w:r>
            <w:r>
              <w:rPr>
                <w:rFonts w:hint="eastAsia" w:ascii="仿宋" w:hAnsi="仿宋" w:eastAsia="仿宋" w:cs="仿宋"/>
                <w:color w:val="auto"/>
                <w:sz w:val="21"/>
                <w:szCs w:val="21"/>
              </w:rPr>
              <w:t>针对本项目提供售后服务及售后保障措施，内容包含但不限于：</w:t>
            </w:r>
            <w:r>
              <w:rPr>
                <w:rFonts w:hint="eastAsia" w:ascii="仿宋" w:hAnsi="仿宋" w:eastAsia="仿宋" w:cs="仿宋"/>
                <w:color w:val="auto"/>
                <w:sz w:val="21"/>
                <w:szCs w:val="21"/>
                <w:lang w:eastAsia="zh-CN"/>
              </w:rPr>
              <w:t>售后服务、</w:t>
            </w:r>
            <w:r>
              <w:rPr>
                <w:rFonts w:hint="eastAsia" w:ascii="仿宋" w:hAnsi="仿宋" w:eastAsia="仿宋" w:cs="仿宋"/>
                <w:color w:val="auto"/>
                <w:sz w:val="21"/>
                <w:szCs w:val="21"/>
              </w:rPr>
              <w:t>应急预案体系（应急</w:t>
            </w:r>
            <w:r>
              <w:rPr>
                <w:rFonts w:hint="eastAsia" w:ascii="仿宋" w:hAnsi="仿宋" w:eastAsia="仿宋" w:cs="仿宋"/>
                <w:color w:val="auto"/>
                <w:sz w:val="21"/>
                <w:szCs w:val="21"/>
                <w:lang w:eastAsia="zh-CN"/>
              </w:rPr>
              <w:t>物品</w:t>
            </w:r>
            <w:r>
              <w:rPr>
                <w:rFonts w:hint="eastAsia" w:ascii="仿宋" w:hAnsi="仿宋" w:eastAsia="仿宋" w:cs="仿宋"/>
                <w:color w:val="auto"/>
                <w:sz w:val="21"/>
                <w:szCs w:val="21"/>
              </w:rPr>
              <w:t>齐备、应急响应速度、应急配送地点等）</w:t>
            </w:r>
          </w:p>
          <w:p w14:paraId="5D35724F">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方案内容不存在瑕疵得15分；</w:t>
            </w:r>
          </w:p>
          <w:p w14:paraId="57FDFAA4">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方案内容存在1处瑕疵得12分；</w:t>
            </w:r>
          </w:p>
          <w:p w14:paraId="29B7FA7F">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方案内容存在2处瑕疵得8分；</w:t>
            </w:r>
          </w:p>
          <w:p w14:paraId="2BF6DEBD">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方案内容存在3处及以上瑕疵的5分；</w:t>
            </w:r>
          </w:p>
          <w:p w14:paraId="321F37BA">
            <w:pPr>
              <w:snapToGrid w:val="0"/>
              <w:spacing w:line="240" w:lineRule="auto"/>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方案内容存在4处及以上瑕疵的或未提供得0分。</w:t>
            </w:r>
          </w:p>
        </w:tc>
        <w:tc>
          <w:tcPr>
            <w:tcW w:w="2117" w:type="dxa"/>
            <w:vMerge w:val="continue"/>
            <w:tcBorders>
              <w:left w:val="single" w:color="000000" w:sz="4" w:space="0"/>
              <w:bottom w:val="single" w:color="auto" w:sz="4" w:space="0"/>
              <w:right w:val="single" w:color="000000" w:sz="4" w:space="0"/>
            </w:tcBorders>
            <w:noWrap w:val="0"/>
            <w:vAlign w:val="center"/>
          </w:tcPr>
          <w:p w14:paraId="1F6FC3D9">
            <w:pPr>
              <w:snapToGrid w:val="0"/>
              <w:spacing w:line="240" w:lineRule="auto"/>
              <w:jc w:val="center"/>
              <w:rPr>
                <w:rFonts w:hint="eastAsia" w:ascii="仿宋" w:hAnsi="仿宋" w:eastAsia="仿宋" w:cs="仿宋"/>
                <w:color w:val="auto"/>
                <w:sz w:val="21"/>
                <w:szCs w:val="21"/>
              </w:rPr>
            </w:pPr>
          </w:p>
        </w:tc>
      </w:tr>
      <w:tr w14:paraId="356F01B0">
        <w:tblPrEx>
          <w:tblCellMar>
            <w:top w:w="15" w:type="dxa"/>
            <w:left w:w="15" w:type="dxa"/>
            <w:bottom w:w="15" w:type="dxa"/>
            <w:right w:w="15" w:type="dxa"/>
          </w:tblCellMar>
        </w:tblPrEx>
        <w:trPr>
          <w:trHeight w:val="842" w:hRule="atLeast"/>
          <w:jc w:val="center"/>
        </w:trPr>
        <w:tc>
          <w:tcPr>
            <w:tcW w:w="581" w:type="dxa"/>
            <w:vMerge w:val="restart"/>
            <w:tcBorders>
              <w:top w:val="single" w:color="auto" w:sz="4" w:space="0"/>
              <w:left w:val="single" w:color="auto" w:sz="4" w:space="0"/>
              <w:right w:val="single" w:color="auto" w:sz="4" w:space="0"/>
            </w:tcBorders>
            <w:noWrap w:val="0"/>
            <w:vAlign w:val="center"/>
          </w:tcPr>
          <w:p w14:paraId="7177F7C7">
            <w:pPr>
              <w:snapToGrid w:val="0"/>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w:t>
            </w:r>
          </w:p>
        </w:tc>
        <w:tc>
          <w:tcPr>
            <w:tcW w:w="1032" w:type="dxa"/>
            <w:vMerge w:val="restart"/>
            <w:tcBorders>
              <w:top w:val="single" w:color="auto" w:sz="4" w:space="0"/>
              <w:left w:val="single" w:color="auto" w:sz="4" w:space="0"/>
              <w:right w:val="single" w:color="auto" w:sz="4" w:space="0"/>
            </w:tcBorders>
            <w:noWrap w:val="0"/>
            <w:vAlign w:val="center"/>
          </w:tcPr>
          <w:p w14:paraId="6015C2E8">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商务部分20%</w:t>
            </w:r>
          </w:p>
        </w:tc>
        <w:tc>
          <w:tcPr>
            <w:tcW w:w="947" w:type="dxa"/>
            <w:tcBorders>
              <w:top w:val="single" w:color="auto" w:sz="4" w:space="0"/>
              <w:left w:val="single" w:color="auto" w:sz="4" w:space="0"/>
              <w:bottom w:val="single" w:color="auto" w:sz="4" w:space="0"/>
              <w:right w:val="single" w:color="auto" w:sz="4" w:space="0"/>
            </w:tcBorders>
            <w:noWrap w:val="0"/>
            <w:vAlign w:val="center"/>
          </w:tcPr>
          <w:p w14:paraId="4DB6E355">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业绩（15分）</w:t>
            </w:r>
          </w:p>
          <w:p w14:paraId="334E7E73">
            <w:pPr>
              <w:spacing w:line="240" w:lineRule="auto"/>
              <w:jc w:val="left"/>
              <w:textAlignment w:val="top"/>
              <w:rPr>
                <w:rFonts w:hint="eastAsia" w:ascii="仿宋" w:hAnsi="仿宋" w:eastAsia="仿宋" w:cs="仿宋"/>
                <w:color w:val="auto"/>
                <w:sz w:val="21"/>
                <w:szCs w:val="21"/>
                <w:lang w:val="en-US" w:eastAsia="zh-CN"/>
              </w:rPr>
            </w:pPr>
          </w:p>
        </w:tc>
        <w:tc>
          <w:tcPr>
            <w:tcW w:w="5191" w:type="dxa"/>
            <w:tcBorders>
              <w:top w:val="single" w:color="auto" w:sz="4" w:space="0"/>
              <w:left w:val="single" w:color="auto" w:sz="4" w:space="0"/>
              <w:bottom w:val="single" w:color="auto" w:sz="4" w:space="0"/>
              <w:right w:val="single" w:color="auto" w:sz="4" w:space="0"/>
            </w:tcBorders>
            <w:noWrap w:val="0"/>
            <w:vAlign w:val="center"/>
          </w:tcPr>
          <w:p w14:paraId="263F82C8">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供应商2022年1月1日至今（以合同签订时间为准）具有为公立学校、公立医院、机关、事业单位食堂禽肉类供应配送业绩的，每提供1个得3分，最多得15分。</w:t>
            </w:r>
          </w:p>
        </w:tc>
        <w:tc>
          <w:tcPr>
            <w:tcW w:w="2117" w:type="dxa"/>
            <w:tcBorders>
              <w:top w:val="single" w:color="auto" w:sz="4" w:space="0"/>
              <w:left w:val="single" w:color="auto" w:sz="4" w:space="0"/>
              <w:bottom w:val="single" w:color="auto" w:sz="4" w:space="0"/>
              <w:right w:val="single" w:color="auto" w:sz="4" w:space="0"/>
            </w:tcBorders>
            <w:noWrap w:val="0"/>
            <w:vAlign w:val="center"/>
          </w:tcPr>
          <w:p w14:paraId="10B941AB">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提供有效的合同复印件加盖供应商公章。</w:t>
            </w:r>
          </w:p>
        </w:tc>
      </w:tr>
      <w:tr w14:paraId="4DB135B3">
        <w:tblPrEx>
          <w:tblCellMar>
            <w:top w:w="15" w:type="dxa"/>
            <w:left w:w="15" w:type="dxa"/>
            <w:bottom w:w="15" w:type="dxa"/>
            <w:right w:w="15" w:type="dxa"/>
          </w:tblCellMar>
        </w:tblPrEx>
        <w:trPr>
          <w:trHeight w:val="156" w:hRule="atLeast"/>
          <w:jc w:val="center"/>
        </w:trPr>
        <w:tc>
          <w:tcPr>
            <w:tcW w:w="581" w:type="dxa"/>
            <w:vMerge w:val="continue"/>
            <w:tcBorders>
              <w:left w:val="single" w:color="auto" w:sz="4" w:space="0"/>
              <w:bottom w:val="single" w:color="auto" w:sz="4" w:space="0"/>
              <w:right w:val="single" w:color="auto" w:sz="4" w:space="0"/>
            </w:tcBorders>
            <w:noWrap w:val="0"/>
            <w:vAlign w:val="center"/>
          </w:tcPr>
          <w:p w14:paraId="63D309F0">
            <w:pPr>
              <w:snapToGrid w:val="0"/>
              <w:spacing w:line="240" w:lineRule="auto"/>
              <w:jc w:val="center"/>
              <w:rPr>
                <w:rFonts w:hint="eastAsia" w:ascii="仿宋" w:hAnsi="仿宋" w:eastAsia="仿宋" w:cs="仿宋"/>
                <w:color w:val="auto"/>
                <w:sz w:val="21"/>
                <w:szCs w:val="21"/>
                <w:lang w:val="en-US" w:eastAsia="zh-CN"/>
              </w:rPr>
            </w:pPr>
          </w:p>
        </w:tc>
        <w:tc>
          <w:tcPr>
            <w:tcW w:w="1032" w:type="dxa"/>
            <w:vMerge w:val="continue"/>
            <w:tcBorders>
              <w:left w:val="single" w:color="auto" w:sz="4" w:space="0"/>
              <w:bottom w:val="single" w:color="auto" w:sz="4" w:space="0"/>
              <w:right w:val="single" w:color="auto" w:sz="4" w:space="0"/>
            </w:tcBorders>
            <w:noWrap w:val="0"/>
            <w:vAlign w:val="center"/>
          </w:tcPr>
          <w:p w14:paraId="16E19AEF">
            <w:pPr>
              <w:snapToGrid w:val="0"/>
              <w:spacing w:line="240" w:lineRule="auto"/>
              <w:jc w:val="center"/>
              <w:rPr>
                <w:rFonts w:hint="eastAsia" w:ascii="仿宋" w:hAnsi="仿宋" w:eastAsia="仿宋" w:cs="仿宋"/>
                <w:color w:val="auto"/>
                <w:sz w:val="21"/>
                <w:szCs w:val="21"/>
                <w:lang w:val="en-US" w:eastAsia="zh-CN"/>
              </w:rPr>
            </w:pPr>
          </w:p>
        </w:tc>
        <w:tc>
          <w:tcPr>
            <w:tcW w:w="947" w:type="dxa"/>
            <w:tcBorders>
              <w:top w:val="single" w:color="auto" w:sz="4" w:space="0"/>
              <w:left w:val="single" w:color="auto" w:sz="4" w:space="0"/>
              <w:bottom w:val="single" w:color="auto" w:sz="4" w:space="0"/>
              <w:right w:val="single" w:color="auto" w:sz="4" w:space="0"/>
            </w:tcBorders>
            <w:noWrap w:val="0"/>
            <w:vAlign w:val="center"/>
          </w:tcPr>
          <w:p w14:paraId="47C94D59">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冷链运输车（5分）</w:t>
            </w:r>
          </w:p>
        </w:tc>
        <w:tc>
          <w:tcPr>
            <w:tcW w:w="5191" w:type="dxa"/>
            <w:tcBorders>
              <w:top w:val="single" w:color="auto" w:sz="4" w:space="0"/>
              <w:left w:val="single" w:color="auto" w:sz="4" w:space="0"/>
              <w:bottom w:val="single" w:color="auto" w:sz="4" w:space="0"/>
              <w:right w:val="single" w:color="auto" w:sz="4" w:space="0"/>
            </w:tcBorders>
            <w:noWrap w:val="0"/>
            <w:vAlign w:val="center"/>
          </w:tcPr>
          <w:p w14:paraId="60FEC814">
            <w:pPr>
              <w:spacing w:line="240" w:lineRule="auto"/>
              <w:jc w:val="left"/>
              <w:textAlignment w:val="top"/>
              <w:rPr>
                <w:rFonts w:hint="eastAsia" w:ascii="仿宋" w:hAnsi="仿宋" w:eastAsia="仿宋" w:cs="仿宋"/>
                <w:color w:val="auto"/>
                <w:sz w:val="21"/>
                <w:szCs w:val="21"/>
                <w:lang w:val="zh-CN" w:eastAsia="zh-CN"/>
              </w:rPr>
            </w:pPr>
            <w:r>
              <w:rPr>
                <w:rFonts w:hint="eastAsia" w:ascii="仿宋" w:hAnsi="仿宋" w:eastAsia="仿宋" w:cs="仿宋"/>
                <w:color w:val="auto"/>
                <w:sz w:val="21"/>
                <w:szCs w:val="21"/>
                <w:lang w:val="en-US" w:eastAsia="zh-CN"/>
              </w:rPr>
              <w:t>供应商为本项目配备厢式冷链运输车的，得5分。</w:t>
            </w:r>
          </w:p>
        </w:tc>
        <w:tc>
          <w:tcPr>
            <w:tcW w:w="2117" w:type="dxa"/>
            <w:tcBorders>
              <w:top w:val="single" w:color="auto" w:sz="4" w:space="0"/>
              <w:left w:val="single" w:color="auto" w:sz="4" w:space="0"/>
              <w:bottom w:val="single" w:color="auto" w:sz="4" w:space="0"/>
              <w:right w:val="single" w:color="auto" w:sz="4" w:space="0"/>
            </w:tcBorders>
            <w:noWrap w:val="0"/>
            <w:vAlign w:val="center"/>
          </w:tcPr>
          <w:p w14:paraId="1541B9BB">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提供车辆有效的行驶证复印件，以及对应车辆的正面照片。若车辆为租赁的，提供租赁车辆行驶证复印件、租赁合同及车辆正面照片。</w:t>
            </w:r>
          </w:p>
        </w:tc>
      </w:tr>
    </w:tbl>
    <w:p w14:paraId="7AF7A539">
      <w:pPr>
        <w:spacing w:line="360" w:lineRule="auto"/>
        <w:rPr>
          <w:rFonts w:hint="eastAsia" w:ascii="仿宋" w:hAnsi="仿宋" w:eastAsia="仿宋" w:cs="仿宋"/>
          <w:color w:val="auto"/>
          <w:sz w:val="24"/>
        </w:rPr>
      </w:pPr>
    </w:p>
    <w:bookmarkEnd w:id="131"/>
    <w:bookmarkEnd w:id="132"/>
    <w:p w14:paraId="5F72FDE1">
      <w:pPr>
        <w:pStyle w:val="4"/>
        <w:spacing w:before="0" w:after="0" w:line="360" w:lineRule="auto"/>
        <w:rPr>
          <w:rFonts w:hint="eastAsia" w:ascii="仿宋" w:hAnsi="仿宋" w:eastAsia="仿宋" w:cs="仿宋"/>
          <w:color w:val="auto"/>
          <w:sz w:val="24"/>
          <w:szCs w:val="24"/>
        </w:rPr>
      </w:pPr>
      <w:bookmarkStart w:id="133" w:name="_Toc9453"/>
      <w:r>
        <w:rPr>
          <w:rFonts w:hint="eastAsia" w:ascii="仿宋" w:hAnsi="仿宋" w:eastAsia="仿宋" w:cs="仿宋"/>
          <w:color w:val="auto"/>
          <w:sz w:val="24"/>
          <w:szCs w:val="24"/>
        </w:rPr>
        <w:t>三、无效响应</w:t>
      </w:r>
      <w:bookmarkEnd w:id="133"/>
    </w:p>
    <w:p w14:paraId="49609F9B">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供应商发生以下条款情况之一者，视为无效响应，其响应文件将被拒绝：</w:t>
      </w:r>
    </w:p>
    <w:p w14:paraId="286A65F6">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（一）供应商不符合规定的基本资格条件或特定资格条件的；</w:t>
      </w:r>
    </w:p>
    <w:p w14:paraId="138069A2">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（二）供应商未按</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规定购买</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的；</w:t>
      </w:r>
    </w:p>
    <w:p w14:paraId="7280190A">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（三）供应商的法定代表人或其授权代表未参加</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w:t>
      </w:r>
    </w:p>
    <w:p w14:paraId="22070308">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（四）供应商所提交的响应文件不按第七篇“响应文件编制要求”规定签字、盖章；</w:t>
      </w:r>
    </w:p>
    <w:p w14:paraId="0DEAD5E6">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（五）供应商的最后报价超过采购预算的；</w:t>
      </w:r>
    </w:p>
    <w:p w14:paraId="7632D5A5">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（六）法定代表人为同一个人的两个及两个以上法人，母公司、全资子公司及其控股公司，在同一分包采购中同时参与</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w:t>
      </w:r>
    </w:p>
    <w:p w14:paraId="1D1FF535">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（七）单位负责人为同一人或者存在直接控股、管理关系的不同供应商，参加同一合同项下的政府采购活动的；</w:t>
      </w:r>
    </w:p>
    <w:p w14:paraId="5F8887B8">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（八）为采购项目提供整体设计、规范编制或者项目管理、监理、检测等服务的供应商，再参加该采购项目的其他采购活动；</w:t>
      </w:r>
    </w:p>
    <w:p w14:paraId="433BC9A2">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（九）供应商</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有效期不满足</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要求的；</w:t>
      </w:r>
    </w:p>
    <w:p w14:paraId="60BAB900">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（十）供应商响应文件内容有与国家现行法律法规相违背的内容，或附有采购人无法接受的条件。</w:t>
      </w:r>
    </w:p>
    <w:p w14:paraId="0EA1E61F">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（十一）供应商被列入失信被执行人、重大税收违法案件当事人名单、政府采购严重违法失信行为记录名单及其他不符合《中华人民共和国政府采购法》第二十二条规定条件的。</w:t>
      </w:r>
    </w:p>
    <w:p w14:paraId="3F60A79E">
      <w:pPr>
        <w:pStyle w:val="4"/>
        <w:spacing w:before="0" w:after="0" w:line="360" w:lineRule="auto"/>
        <w:rPr>
          <w:rFonts w:hint="eastAsia" w:ascii="仿宋" w:hAnsi="仿宋" w:eastAsia="仿宋" w:cs="仿宋"/>
          <w:color w:val="auto"/>
          <w:sz w:val="24"/>
          <w:szCs w:val="24"/>
        </w:rPr>
      </w:pPr>
      <w:bookmarkStart w:id="134" w:name="_Toc1976"/>
      <w:r>
        <w:rPr>
          <w:rFonts w:hint="eastAsia" w:ascii="仿宋" w:hAnsi="仿宋" w:eastAsia="仿宋" w:cs="仿宋"/>
          <w:color w:val="auto"/>
          <w:sz w:val="24"/>
          <w:szCs w:val="24"/>
        </w:rPr>
        <w:t>四、</w:t>
      </w:r>
      <w:bookmarkEnd w:id="123"/>
      <w:bookmarkEnd w:id="124"/>
      <w:r>
        <w:rPr>
          <w:rFonts w:hint="eastAsia" w:ascii="仿宋" w:hAnsi="仿宋" w:eastAsia="仿宋" w:cs="仿宋"/>
          <w:color w:val="auto"/>
          <w:sz w:val="24"/>
          <w:szCs w:val="24"/>
        </w:rPr>
        <w:t>采购终止</w:t>
      </w:r>
      <w:bookmarkEnd w:id="134"/>
    </w:p>
    <w:p w14:paraId="36F97057">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出现下列情形之一的，采购人或者采购代理机构应当终止</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采购活动，发布项目终止公告并说明原因，重新开展采购活动：</w:t>
      </w:r>
    </w:p>
    <w:p w14:paraId="79CF02C8">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（一）因情况变化，不再符合规定的</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采购方式适用情形的；</w:t>
      </w:r>
    </w:p>
    <w:p w14:paraId="231A5349">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（二）出现影响采购公正的违法、违规行为的；</w:t>
      </w:r>
    </w:p>
    <w:p w14:paraId="35BA674C">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（三）在</w:t>
      </w:r>
      <w:r>
        <w:rPr>
          <w:rFonts w:hint="eastAsia" w:ascii="仿宋" w:hAnsi="仿宋" w:eastAsia="仿宋" w:cs="仿宋"/>
          <w:color w:val="auto"/>
          <w:sz w:val="24"/>
          <w:szCs w:val="24"/>
          <w:lang w:eastAsia="zh-CN"/>
        </w:rPr>
        <w:t>采购</w:t>
      </w:r>
      <w:r>
        <w:rPr>
          <w:rFonts w:hint="eastAsia" w:ascii="仿宋" w:hAnsi="仿宋" w:eastAsia="仿宋" w:cs="仿宋"/>
          <w:color w:val="auto"/>
          <w:sz w:val="24"/>
          <w:szCs w:val="24"/>
        </w:rPr>
        <w:t>过程中符合要求的供应商或者报价未超过预算的供应商不足</w:t>
      </w: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家的。</w:t>
      </w:r>
    </w:p>
    <w:p w14:paraId="40405C29">
      <w:pPr>
        <w:pStyle w:val="10"/>
        <w:rPr>
          <w:rFonts w:hint="eastAsia"/>
          <w:color w:val="auto"/>
        </w:rPr>
        <w:sectPr>
          <w:footerReference r:id="rId8" w:type="default"/>
          <w:pgSz w:w="11907" w:h="16840"/>
          <w:pgMar w:top="1134" w:right="1191" w:bottom="1134" w:left="1304" w:header="964" w:footer="992" w:gutter="0"/>
          <w:pgNumType w:fmt="numberInDash"/>
          <w:cols w:space="720" w:num="1"/>
          <w:docGrid w:linePitch="312" w:charSpace="0"/>
        </w:sectPr>
      </w:pPr>
    </w:p>
    <w:p w14:paraId="699E8C73">
      <w:pPr>
        <w:pStyle w:val="3"/>
        <w:spacing w:before="100" w:beforeAutospacing="1" w:after="100" w:afterAutospacing="1" w:line="360" w:lineRule="auto"/>
        <w:jc w:val="center"/>
        <w:rPr>
          <w:rFonts w:hint="eastAsia" w:ascii="仿宋" w:hAnsi="仿宋" w:eastAsia="仿宋" w:cs="仿宋"/>
          <w:b w:val="0"/>
          <w:color w:val="auto"/>
          <w:szCs w:val="30"/>
        </w:rPr>
      </w:pPr>
      <w:bookmarkStart w:id="135" w:name="_Toc102227313"/>
      <w:bookmarkStart w:id="136" w:name="_Toc24551"/>
      <w:r>
        <w:rPr>
          <w:rFonts w:hint="eastAsia" w:ascii="仿宋" w:hAnsi="仿宋" w:eastAsia="仿宋" w:cs="仿宋"/>
          <w:b w:val="0"/>
          <w:color w:val="auto"/>
          <w:sz w:val="36"/>
          <w:szCs w:val="30"/>
        </w:rPr>
        <w:t>第五篇  供应商须知</w:t>
      </w:r>
      <w:bookmarkEnd w:id="135"/>
      <w:bookmarkEnd w:id="136"/>
    </w:p>
    <w:p w14:paraId="67AC4D2A">
      <w:pPr>
        <w:pStyle w:val="4"/>
        <w:spacing w:before="0" w:after="0" w:line="360" w:lineRule="auto"/>
        <w:rPr>
          <w:rFonts w:hint="eastAsia" w:ascii="仿宋" w:hAnsi="仿宋" w:eastAsia="仿宋" w:cs="仿宋"/>
          <w:color w:val="auto"/>
          <w:sz w:val="24"/>
          <w:szCs w:val="24"/>
        </w:rPr>
      </w:pPr>
      <w:bookmarkStart w:id="137" w:name="_Toc342913389"/>
      <w:bookmarkStart w:id="138" w:name="_Toc20950"/>
      <w:r>
        <w:rPr>
          <w:rFonts w:hint="eastAsia" w:ascii="仿宋" w:hAnsi="仿宋" w:eastAsia="仿宋" w:cs="仿宋"/>
          <w:color w:val="auto"/>
          <w:sz w:val="24"/>
          <w:szCs w:val="24"/>
        </w:rPr>
        <w:t>一、</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费用</w:t>
      </w:r>
      <w:bookmarkEnd w:id="137"/>
      <w:bookmarkEnd w:id="138"/>
    </w:p>
    <w:p w14:paraId="18A00182">
      <w:pPr>
        <w:pStyle w:val="19"/>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参与</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的供应商应承担其编制响应文件与递交响应文件所涉及的一切费用，不论</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结果如何，采购人和采购代理机构在任何情况下无义务也无责任承担这些费用。</w:t>
      </w:r>
    </w:p>
    <w:p w14:paraId="5EBD04F8">
      <w:pPr>
        <w:pStyle w:val="4"/>
        <w:tabs>
          <w:tab w:val="left" w:pos="2640"/>
        </w:tabs>
        <w:spacing w:before="0" w:after="0" w:line="360" w:lineRule="auto"/>
        <w:rPr>
          <w:rFonts w:hint="eastAsia" w:ascii="仿宋" w:hAnsi="仿宋" w:eastAsia="仿宋" w:cs="仿宋"/>
          <w:color w:val="auto"/>
          <w:sz w:val="24"/>
          <w:szCs w:val="24"/>
          <w:lang w:eastAsia="zh-CN"/>
        </w:rPr>
      </w:pPr>
      <w:bookmarkStart w:id="139" w:name="_Toc342913391"/>
      <w:bookmarkStart w:id="140" w:name="_Toc22531"/>
      <w:r>
        <w:rPr>
          <w:rFonts w:hint="eastAsia" w:ascii="仿宋" w:hAnsi="仿宋" w:eastAsia="仿宋" w:cs="仿宋"/>
          <w:color w:val="auto"/>
          <w:sz w:val="24"/>
          <w:szCs w:val="24"/>
        </w:rPr>
        <w:t>二、</w:t>
      </w:r>
      <w:bookmarkEnd w:id="139"/>
      <w:r>
        <w:rPr>
          <w:rFonts w:hint="eastAsia" w:ascii="仿宋" w:hAnsi="仿宋" w:eastAsia="仿宋" w:cs="仿宋"/>
          <w:color w:val="auto"/>
          <w:sz w:val="24"/>
          <w:szCs w:val="24"/>
          <w:lang w:eastAsia="zh-CN"/>
        </w:rPr>
        <w:t>询比文件</w:t>
      </w:r>
      <w:bookmarkEnd w:id="140"/>
    </w:p>
    <w:p w14:paraId="34E42C38">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由采购邀请书、项目服务需求、供应商须知、项目商务需求、</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程序及方法、评审标准、无效响应和采购终止、供应商须知</w:t>
      </w:r>
      <w:r>
        <w:rPr>
          <w:rFonts w:hint="eastAsia" w:ascii="仿宋" w:hAnsi="仿宋" w:eastAsia="仿宋" w:cs="仿宋"/>
          <w:b/>
          <w:color w:val="auto"/>
          <w:sz w:val="24"/>
          <w:szCs w:val="24"/>
        </w:rPr>
        <w:t>、</w:t>
      </w:r>
      <w:r>
        <w:rPr>
          <w:rFonts w:hint="eastAsia" w:ascii="仿宋" w:hAnsi="仿宋" w:eastAsia="仿宋" w:cs="仿宋"/>
          <w:color w:val="auto"/>
          <w:sz w:val="24"/>
          <w:szCs w:val="24"/>
          <w:lang w:eastAsia="zh-CN"/>
        </w:rPr>
        <w:t>采购合同</w:t>
      </w:r>
      <w:r>
        <w:rPr>
          <w:rFonts w:hint="eastAsia" w:ascii="仿宋" w:hAnsi="仿宋" w:eastAsia="仿宋" w:cs="仿宋"/>
          <w:b/>
          <w:color w:val="auto"/>
          <w:sz w:val="24"/>
          <w:szCs w:val="24"/>
        </w:rPr>
        <w:t>、</w:t>
      </w:r>
      <w:r>
        <w:rPr>
          <w:rFonts w:hint="eastAsia" w:ascii="仿宋" w:hAnsi="仿宋" w:eastAsia="仿宋" w:cs="仿宋"/>
          <w:color w:val="auto"/>
          <w:sz w:val="24"/>
          <w:szCs w:val="24"/>
        </w:rPr>
        <w:t>响应文件编制要求七部分组成。</w:t>
      </w:r>
    </w:p>
    <w:p w14:paraId="0308315A">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（二）采购人（或采购代理机构）所作的一切有效的书面通知、修改及补充，都是</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不可分割的部分。</w:t>
      </w:r>
    </w:p>
    <w:p w14:paraId="7510FEC3">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（三）</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的解释</w:t>
      </w:r>
    </w:p>
    <w:p w14:paraId="75784FA7">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供应商如对</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有疑问，必须以书面形式在提交响应文件截止时间3个工作日前向采购人（或采购代理机构）要求澄清，采购人（或采购代理机构）可视具体情况做出处理或答复。如供应商未提出疑问，视为完全理解并同意本</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。一经进入</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程序，即视为供应商已详细阅读全部文件资料，完全理解</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所有条款内容并同意放弃对这方面有不明白及误解的权利。</w:t>
      </w:r>
      <w:bookmarkStart w:id="141" w:name="_Toc318159349"/>
      <w:bookmarkStart w:id="142" w:name="_Toc318159780"/>
      <w:bookmarkStart w:id="143" w:name="_Toc318166429"/>
      <w:bookmarkStart w:id="144" w:name="_Toc318159160"/>
    </w:p>
    <w:p w14:paraId="661FB010">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（四）本</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中，</w:t>
      </w:r>
      <w:r>
        <w:rPr>
          <w:rFonts w:hint="eastAsia" w:ascii="仿宋" w:hAnsi="仿宋" w:eastAsia="仿宋" w:cs="仿宋"/>
          <w:color w:val="auto"/>
          <w:sz w:val="24"/>
          <w:szCs w:val="24"/>
          <w:lang w:eastAsia="zh-CN"/>
        </w:rPr>
        <w:t>评审小组</w:t>
      </w:r>
      <w:r>
        <w:rPr>
          <w:rFonts w:hint="eastAsia" w:ascii="仿宋" w:hAnsi="仿宋" w:eastAsia="仿宋" w:cs="仿宋"/>
          <w:color w:val="auto"/>
          <w:sz w:val="24"/>
          <w:szCs w:val="24"/>
        </w:rPr>
        <w:t>根据与供应商进行</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可能实质性变动的内容为</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第二、三、四篇全部内容。</w:t>
      </w:r>
    </w:p>
    <w:p w14:paraId="67A76AFA">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（五）评审的依据为</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和响应文件（含有效的书面承诺）。</w:t>
      </w:r>
      <w:r>
        <w:rPr>
          <w:rFonts w:hint="eastAsia" w:ascii="仿宋" w:hAnsi="仿宋" w:eastAsia="仿宋" w:cs="仿宋"/>
          <w:color w:val="auto"/>
          <w:sz w:val="24"/>
          <w:szCs w:val="24"/>
          <w:lang w:eastAsia="zh-CN"/>
        </w:rPr>
        <w:t>评审小组</w:t>
      </w:r>
      <w:r>
        <w:rPr>
          <w:rFonts w:hint="eastAsia" w:ascii="仿宋" w:hAnsi="仿宋" w:eastAsia="仿宋" w:cs="仿宋"/>
          <w:color w:val="auto"/>
          <w:sz w:val="24"/>
          <w:szCs w:val="24"/>
        </w:rPr>
        <w:t>判断响应文件对</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的响应，仅基于响应文件本身而不靠外部证据。</w:t>
      </w:r>
    </w:p>
    <w:bookmarkEnd w:id="141"/>
    <w:bookmarkEnd w:id="142"/>
    <w:bookmarkEnd w:id="143"/>
    <w:bookmarkEnd w:id="144"/>
    <w:p w14:paraId="7A1322F5">
      <w:pPr>
        <w:pStyle w:val="4"/>
        <w:spacing w:before="0" w:after="0" w:line="360" w:lineRule="auto"/>
        <w:rPr>
          <w:rFonts w:hint="eastAsia" w:ascii="仿宋" w:hAnsi="仿宋" w:eastAsia="仿宋" w:cs="仿宋"/>
          <w:color w:val="auto"/>
          <w:sz w:val="24"/>
          <w:szCs w:val="24"/>
        </w:rPr>
      </w:pPr>
      <w:bookmarkStart w:id="145" w:name="_Toc179714297"/>
      <w:bookmarkStart w:id="146" w:name="_Toc342913392"/>
      <w:bookmarkStart w:id="147" w:name="_Toc3897"/>
      <w:bookmarkStart w:id="148" w:name="_Toc102227318"/>
      <w:r>
        <w:rPr>
          <w:rFonts w:hint="eastAsia" w:ascii="仿宋" w:hAnsi="仿宋" w:eastAsia="仿宋" w:cs="仿宋"/>
          <w:color w:val="auto"/>
          <w:sz w:val="24"/>
          <w:szCs w:val="24"/>
        </w:rPr>
        <w:t>三、</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要求</w:t>
      </w:r>
      <w:bookmarkEnd w:id="145"/>
      <w:bookmarkEnd w:id="146"/>
      <w:bookmarkEnd w:id="147"/>
      <w:bookmarkEnd w:id="148"/>
    </w:p>
    <w:p w14:paraId="118C4E41">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（一）响应文件</w:t>
      </w:r>
    </w:p>
    <w:p w14:paraId="47511E4A">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1.供应商应当按照</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的要求编制响应文件，并对</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提出的要求和条件作出实质性响应，响应文件原则上采用软面订本，同时应编制完整的页码、目录。</w:t>
      </w:r>
    </w:p>
    <w:p w14:paraId="6A16532E">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2.响应文件组成</w:t>
      </w:r>
    </w:p>
    <w:p w14:paraId="3515B17E">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响应文件由第七篇“响应文件编制要求”规定的部分和供应商所作的一切有效补充、修改和承诺等文件组成，供应商应按照第七篇“响应文件编制要求”规定的目录顺序组织编写和装订，也可在基本格式基础上对表格进行扩展，未规定格式的由供应商自定格式。</w:t>
      </w:r>
    </w:p>
    <w:p w14:paraId="13AFA4AA">
      <w:pPr>
        <w:spacing w:line="360" w:lineRule="auto"/>
        <w:ind w:firstLine="482" w:firstLineChars="200"/>
        <w:rPr>
          <w:rFonts w:hint="eastAsia" w:ascii="仿宋" w:hAnsi="仿宋" w:eastAsia="仿宋" w:cs="仿宋"/>
          <w:b/>
          <w:color w:val="auto"/>
          <w:sz w:val="24"/>
          <w:szCs w:val="24"/>
        </w:rPr>
      </w:pPr>
      <w:r>
        <w:rPr>
          <w:rFonts w:hint="eastAsia" w:ascii="仿宋" w:hAnsi="仿宋" w:eastAsia="仿宋" w:cs="仿宋"/>
          <w:b/>
          <w:color w:val="auto"/>
          <w:sz w:val="24"/>
          <w:szCs w:val="24"/>
        </w:rPr>
        <w:t>（二）联合体</w:t>
      </w:r>
    </w:p>
    <w:p w14:paraId="22C1E41C">
      <w:pPr>
        <w:spacing w:line="360" w:lineRule="auto"/>
        <w:ind w:firstLine="482" w:firstLineChars="200"/>
        <w:rPr>
          <w:rFonts w:hint="eastAsia" w:ascii="仿宋" w:hAnsi="仿宋" w:eastAsia="仿宋" w:cs="仿宋"/>
          <w:b/>
          <w:color w:val="auto"/>
          <w:sz w:val="24"/>
          <w:szCs w:val="24"/>
        </w:rPr>
      </w:pPr>
      <w:r>
        <w:rPr>
          <w:rFonts w:hint="eastAsia" w:ascii="仿宋" w:hAnsi="仿宋" w:eastAsia="仿宋" w:cs="仿宋"/>
          <w:b/>
          <w:color w:val="auto"/>
          <w:sz w:val="24"/>
          <w:szCs w:val="24"/>
        </w:rPr>
        <w:t>本项目不接受联合体</w:t>
      </w:r>
      <w:r>
        <w:rPr>
          <w:rFonts w:hint="eastAsia" w:ascii="仿宋" w:hAnsi="仿宋" w:eastAsia="仿宋" w:cs="仿宋"/>
          <w:b/>
          <w:color w:val="auto"/>
          <w:sz w:val="24"/>
          <w:szCs w:val="24"/>
          <w:lang w:eastAsia="zh-CN"/>
        </w:rPr>
        <w:t>询比</w:t>
      </w:r>
      <w:r>
        <w:rPr>
          <w:rFonts w:hint="eastAsia" w:ascii="仿宋" w:hAnsi="仿宋" w:eastAsia="仿宋" w:cs="仿宋"/>
          <w:b/>
          <w:color w:val="auto"/>
          <w:sz w:val="24"/>
          <w:szCs w:val="24"/>
        </w:rPr>
        <w:t>。</w:t>
      </w:r>
    </w:p>
    <w:p w14:paraId="4E93B7BF">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（三）</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有效期：响应文件及有关承诺文件有效期为提交响应文件截止时间起90天。</w:t>
      </w:r>
    </w:p>
    <w:p w14:paraId="3C75FC7F">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（四）修正错误</w:t>
      </w:r>
    </w:p>
    <w:p w14:paraId="3B5B3676">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1.若供应商所递交的响应文件或最后报价中的价格出现大写金额和小写金额不一致的错误，以大写金额修正为准。</w:t>
      </w:r>
    </w:p>
    <w:p w14:paraId="67F067D3">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w:t>
      </w:r>
      <w:r>
        <w:rPr>
          <w:rFonts w:hint="eastAsia" w:ascii="仿宋" w:hAnsi="仿宋" w:eastAsia="仿宋" w:cs="仿宋"/>
          <w:color w:val="auto"/>
          <w:sz w:val="24"/>
          <w:szCs w:val="24"/>
          <w:lang w:eastAsia="zh-CN"/>
        </w:rPr>
        <w:t>评审小组</w:t>
      </w:r>
      <w:r>
        <w:rPr>
          <w:rFonts w:hint="eastAsia" w:ascii="仿宋" w:hAnsi="仿宋" w:eastAsia="仿宋" w:cs="仿宋"/>
          <w:color w:val="auto"/>
          <w:sz w:val="24"/>
          <w:szCs w:val="24"/>
        </w:rPr>
        <w:t>按上述修正错误的原则及方法修正供应商的报价，供应商同意并签字确认后，修正后的报价对供应商具有约束作用。如果供应商不接受修正后的价格，将失去成为成交供应商的资格。</w:t>
      </w:r>
    </w:p>
    <w:p w14:paraId="14805E33">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（五）提交响应文件的份数和签署</w:t>
      </w:r>
    </w:p>
    <w:p w14:paraId="04AB4D1F">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1.响应文件一式四份，其中</w:t>
      </w:r>
      <w:r>
        <w:rPr>
          <w:rFonts w:hint="eastAsia" w:ascii="仿宋" w:hAnsi="仿宋" w:eastAsia="仿宋" w:cs="仿宋"/>
          <w:b/>
          <w:bCs/>
          <w:color w:val="auto"/>
          <w:sz w:val="24"/>
          <w:szCs w:val="24"/>
        </w:rPr>
        <w:t>正本一份，副本二份，电子文档一份</w:t>
      </w:r>
      <w:r>
        <w:rPr>
          <w:rFonts w:hint="eastAsia" w:ascii="仿宋" w:hAnsi="仿宋" w:eastAsia="仿宋" w:cs="仿宋"/>
          <w:color w:val="auto"/>
          <w:sz w:val="24"/>
          <w:szCs w:val="24"/>
        </w:rPr>
        <w:t>（电子文档内容应与纸质文件正本一致，如不一致以纸质文件正本为准。推荐采用光盘或U盘为电子文档载体）；副本可为正本的复印件，应与正本一致，如出现不一致情况以正本为准。</w:t>
      </w:r>
    </w:p>
    <w:p w14:paraId="2D0D2E61">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2.在响应文件正本中，</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第六篇响应文件编制要求中规定签字、盖章的地方必须按其规定签字、盖章。</w:t>
      </w:r>
    </w:p>
    <w:p w14:paraId="6F7F498D">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（六）响应文件的递交</w:t>
      </w:r>
    </w:p>
    <w:p w14:paraId="2B4590ED">
      <w:pPr>
        <w:pStyle w:val="7"/>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1.响应文件的密封与标记</w:t>
      </w:r>
    </w:p>
    <w:p w14:paraId="1DDB7BFC">
      <w:pPr>
        <w:pStyle w:val="7"/>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1.1响应文件的正本、副本以及电子文档均应密封送达</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地点，应在封套上注明</w:t>
      </w:r>
      <w:r>
        <w:rPr>
          <w:rFonts w:hint="eastAsia" w:ascii="方正仿宋_GBK" w:hAnsi="宋体" w:eastAsia="方正仿宋_GBK"/>
          <w:color w:val="auto"/>
          <w:sz w:val="24"/>
          <w:szCs w:val="24"/>
          <w:lang w:eastAsia="zh-CN"/>
        </w:rPr>
        <w:t>项目名称</w:t>
      </w:r>
      <w:r>
        <w:rPr>
          <w:rFonts w:hint="eastAsia" w:ascii="仿宋" w:hAnsi="仿宋" w:eastAsia="仿宋" w:cs="仿宋"/>
          <w:color w:val="auto"/>
          <w:sz w:val="24"/>
          <w:szCs w:val="24"/>
        </w:rPr>
        <w:t>、供应商名称。若正本、副本以及电子文档分别进行密封的，还应在封套上注明“正本”、“副本”、“电子文档”字样。</w:t>
      </w:r>
    </w:p>
    <w:p w14:paraId="4FCD55DB">
      <w:pPr>
        <w:pStyle w:val="7"/>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1.2封套的封口处应加盖供应商公章或由法定代表人授权代表签字。</w:t>
      </w:r>
    </w:p>
    <w:p w14:paraId="1E553CF4">
      <w:pPr>
        <w:pStyle w:val="7"/>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2.如果响应文件通过邮寄递交，供应商应将响应文件用内、外两层封套密封。</w:t>
      </w:r>
    </w:p>
    <w:p w14:paraId="40EB29C5">
      <w:pPr>
        <w:pStyle w:val="7"/>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2.1内层封套的封装与标记同 “1、”款规定。</w:t>
      </w:r>
    </w:p>
    <w:p w14:paraId="5861B979">
      <w:pPr>
        <w:pStyle w:val="7"/>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2.2外层封套装入“1、”款所述全部内封资料，并注明</w:t>
      </w:r>
      <w:r>
        <w:rPr>
          <w:rFonts w:hint="eastAsia" w:ascii="仿宋" w:hAnsi="仿宋" w:eastAsia="仿宋" w:cs="仿宋"/>
          <w:color w:val="auto"/>
          <w:sz w:val="24"/>
          <w:szCs w:val="24"/>
          <w:lang w:eastAsia="zh-CN"/>
        </w:rPr>
        <w:t>项目名称、</w:t>
      </w:r>
      <w:r>
        <w:rPr>
          <w:rFonts w:hint="eastAsia" w:ascii="仿宋" w:hAnsi="仿宋" w:eastAsia="仿宋" w:cs="仿宋"/>
          <w:color w:val="auto"/>
          <w:sz w:val="24"/>
          <w:szCs w:val="24"/>
        </w:rPr>
        <w:t>同时应写明供应商的名称、地址，以便将迟交的响应文件原封退还。</w:t>
      </w:r>
    </w:p>
    <w:p w14:paraId="3717D12E">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3.如果未按上述规定进行密封和标记，采购代理机构对响应文件误投、丢失或提前拆封不负责任。</w:t>
      </w:r>
    </w:p>
    <w:p w14:paraId="10D91949">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（七）供应商参与人员</w:t>
      </w:r>
    </w:p>
    <w:p w14:paraId="62F59CEF">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各个供应商应当派1-2名代表参与</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，至少1人应为法定代表人或具有法定代表人授权委托书的授权代表。</w:t>
      </w:r>
    </w:p>
    <w:p w14:paraId="35FC2044">
      <w:pPr>
        <w:pStyle w:val="4"/>
        <w:spacing w:before="0" w:after="0" w:line="360" w:lineRule="auto"/>
        <w:rPr>
          <w:rFonts w:hint="eastAsia" w:ascii="仿宋" w:hAnsi="仿宋" w:eastAsia="仿宋" w:cs="仿宋"/>
          <w:color w:val="auto"/>
          <w:sz w:val="24"/>
          <w:szCs w:val="24"/>
        </w:rPr>
      </w:pPr>
      <w:bookmarkStart w:id="149" w:name="_Toc13136"/>
      <w:r>
        <w:rPr>
          <w:rFonts w:hint="eastAsia" w:ascii="仿宋" w:hAnsi="仿宋" w:eastAsia="仿宋" w:cs="仿宋"/>
          <w:color w:val="auto"/>
          <w:sz w:val="24"/>
          <w:szCs w:val="24"/>
        </w:rPr>
        <w:t>四、成交供应商的确认和变更</w:t>
      </w:r>
      <w:bookmarkEnd w:id="149"/>
    </w:p>
    <w:p w14:paraId="6D758DF9">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（一）成交供应商的确认</w:t>
      </w:r>
    </w:p>
    <w:p w14:paraId="000B899E">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采购代理机构应当在评审结束后2个工作日内将评审报告送采购人确认。采购人应当在收到评审报告后5个工作日内，从评审报告提出的成交候选供应商中，按照排序由高到低的原则确定成交供应商，也可以书面授权</w:t>
      </w:r>
      <w:r>
        <w:rPr>
          <w:rFonts w:hint="eastAsia" w:ascii="仿宋" w:hAnsi="仿宋" w:eastAsia="仿宋" w:cs="仿宋"/>
          <w:color w:val="auto"/>
          <w:sz w:val="24"/>
          <w:szCs w:val="24"/>
          <w:lang w:eastAsia="zh-CN"/>
        </w:rPr>
        <w:t>评审小组</w:t>
      </w:r>
      <w:r>
        <w:rPr>
          <w:rFonts w:hint="eastAsia" w:ascii="仿宋" w:hAnsi="仿宋" w:eastAsia="仿宋" w:cs="仿宋"/>
          <w:color w:val="auto"/>
          <w:sz w:val="24"/>
          <w:szCs w:val="24"/>
        </w:rPr>
        <w:t>直接确定成交供应商。采购人逾期未确定成交供应商且不提出异议的，视为确定评审报告提出的排序第一的供应商为成交供应商。</w:t>
      </w:r>
    </w:p>
    <w:p w14:paraId="7C8EC8B7">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（二）成交供应商的变更</w:t>
      </w:r>
    </w:p>
    <w:p w14:paraId="4C474570">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成交供应商拒绝与采购人签订合同的，采购人可以按照评标报告推荐的成交候选供应商顺序，确定排名下一位的候选人为成交供应商，也可以重新开展政府采购活动。</w:t>
      </w:r>
    </w:p>
    <w:p w14:paraId="329799AC">
      <w:pPr>
        <w:pStyle w:val="4"/>
        <w:spacing w:before="0" w:after="0" w:line="360" w:lineRule="auto"/>
        <w:rPr>
          <w:rFonts w:hint="eastAsia" w:ascii="仿宋" w:hAnsi="仿宋" w:eastAsia="仿宋" w:cs="仿宋"/>
          <w:color w:val="auto"/>
          <w:sz w:val="24"/>
          <w:szCs w:val="24"/>
        </w:rPr>
      </w:pPr>
      <w:bookmarkStart w:id="150" w:name="_Toc102227321"/>
      <w:bookmarkStart w:id="151" w:name="_Toc342913395"/>
      <w:bookmarkStart w:id="152" w:name="_Toc13585"/>
      <w:r>
        <w:rPr>
          <w:rFonts w:hint="eastAsia" w:ascii="仿宋" w:hAnsi="仿宋" w:eastAsia="仿宋" w:cs="仿宋"/>
          <w:color w:val="auto"/>
          <w:sz w:val="24"/>
          <w:szCs w:val="24"/>
        </w:rPr>
        <w:t>五、成交通知</w:t>
      </w:r>
      <w:bookmarkEnd w:id="150"/>
      <w:bookmarkEnd w:id="151"/>
      <w:bookmarkEnd w:id="152"/>
    </w:p>
    <w:p w14:paraId="0DD48542">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（一）结果出来后三个工作日，采购代理机构将以书面形式发出《成交通知书》。《成交通知书》一经发出即发生法律效力。</w:t>
      </w:r>
    </w:p>
    <w:p w14:paraId="53CC1DBB">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（二）《成交通知书》将作为签订合同的依据。</w:t>
      </w:r>
    </w:p>
    <w:p w14:paraId="37126544">
      <w:pPr>
        <w:pStyle w:val="4"/>
        <w:spacing w:before="0" w:after="0" w:line="360" w:lineRule="auto"/>
        <w:rPr>
          <w:rFonts w:hint="eastAsia" w:ascii="仿宋" w:hAnsi="仿宋" w:eastAsia="仿宋" w:cs="仿宋"/>
          <w:color w:val="auto"/>
          <w:sz w:val="24"/>
          <w:szCs w:val="24"/>
        </w:rPr>
      </w:pPr>
      <w:bookmarkStart w:id="153" w:name="_Toc17456"/>
      <w:r>
        <w:rPr>
          <w:rFonts w:hint="eastAsia" w:ascii="仿宋" w:hAnsi="仿宋" w:eastAsia="仿宋" w:cs="仿宋"/>
          <w:color w:val="auto"/>
          <w:sz w:val="24"/>
          <w:szCs w:val="24"/>
          <w:lang w:val="en-US" w:eastAsia="zh-CN"/>
        </w:rPr>
        <w:t>六</w:t>
      </w:r>
      <w:r>
        <w:rPr>
          <w:rFonts w:hint="eastAsia" w:ascii="仿宋" w:hAnsi="仿宋" w:eastAsia="仿宋" w:cs="仿宋"/>
          <w:color w:val="auto"/>
          <w:sz w:val="24"/>
          <w:szCs w:val="24"/>
        </w:rPr>
        <w:t>、采购代理服务费</w:t>
      </w:r>
      <w:bookmarkEnd w:id="153"/>
    </w:p>
    <w:p w14:paraId="73AE7766">
      <w:pPr>
        <w:pStyle w:val="4"/>
        <w:spacing w:before="0" w:after="0" w:line="360" w:lineRule="auto"/>
        <w:ind w:firstLine="720" w:firstLineChars="300"/>
        <w:rPr>
          <w:rFonts w:hint="eastAsia" w:ascii="仿宋" w:hAnsi="仿宋" w:eastAsia="仿宋" w:cs="仿宋"/>
          <w:b w:val="0"/>
          <w:color w:val="auto"/>
          <w:kern w:val="2"/>
          <w:sz w:val="24"/>
          <w:szCs w:val="24"/>
          <w:lang w:val="en-US" w:eastAsia="zh-CN" w:bidi="ar-SA"/>
        </w:rPr>
      </w:pPr>
      <w:bookmarkStart w:id="154" w:name="_Toc838"/>
      <w:bookmarkStart w:id="155" w:name="_Toc2127"/>
      <w:bookmarkStart w:id="156" w:name="_Toc19437"/>
      <w:bookmarkStart w:id="157" w:name="_Toc32352"/>
      <w:bookmarkStart w:id="158" w:name="_Toc102227322"/>
      <w:bookmarkStart w:id="159" w:name="_Toc342913396"/>
      <w:bookmarkStart w:id="160" w:name="_Toc12789059"/>
      <w:bookmarkStart w:id="161" w:name="_Toc11641055"/>
      <w:r>
        <w:rPr>
          <w:rFonts w:hint="eastAsia" w:ascii="仿宋" w:hAnsi="仿宋" w:eastAsia="仿宋" w:cs="仿宋"/>
          <w:b w:val="0"/>
          <w:color w:val="auto"/>
          <w:kern w:val="2"/>
          <w:sz w:val="24"/>
          <w:szCs w:val="24"/>
          <w:lang w:val="en-US" w:eastAsia="zh-CN" w:bidi="ar-SA"/>
        </w:rPr>
        <w:t>成交供应商在领取成交通知书前向代理机构缴纳采购代理服务费，</w:t>
      </w:r>
      <w:bookmarkEnd w:id="154"/>
      <w:bookmarkEnd w:id="155"/>
      <w:bookmarkEnd w:id="156"/>
      <w:r>
        <w:rPr>
          <w:rFonts w:hint="eastAsia" w:ascii="仿宋" w:hAnsi="仿宋" w:eastAsia="仿宋" w:cs="仿宋"/>
          <w:b w:val="0"/>
          <w:color w:val="auto"/>
          <w:kern w:val="2"/>
          <w:sz w:val="24"/>
          <w:szCs w:val="24"/>
          <w:lang w:val="en-US" w:eastAsia="zh-CN" w:bidi="ar-SA"/>
        </w:rPr>
        <w:t>计算方式：参照计价格〔2002〕1980号和发改价格〔2011〕534号，计算基数暂按484690元，484690×1.50％=7270.35元，打7折5089.25元,后续以此价格再按中标折扣打折（同比例下浮）。</w:t>
      </w:r>
      <w:bookmarkEnd w:id="157"/>
    </w:p>
    <w:p w14:paraId="3C3D0849">
      <w:pPr>
        <w:pStyle w:val="4"/>
        <w:spacing w:before="0" w:after="0" w:line="360" w:lineRule="auto"/>
        <w:rPr>
          <w:rFonts w:hint="eastAsia" w:ascii="仿宋" w:hAnsi="仿宋" w:eastAsia="仿宋" w:cs="仿宋"/>
          <w:color w:val="auto"/>
          <w:sz w:val="24"/>
          <w:szCs w:val="24"/>
        </w:rPr>
      </w:pPr>
      <w:bookmarkStart w:id="162" w:name="_Toc27421"/>
      <w:r>
        <w:rPr>
          <w:rFonts w:hint="eastAsia" w:ascii="仿宋" w:hAnsi="仿宋" w:eastAsia="仿宋" w:cs="仿宋"/>
          <w:color w:val="auto"/>
          <w:sz w:val="24"/>
          <w:szCs w:val="24"/>
          <w:lang w:val="en-US" w:eastAsia="zh-CN"/>
        </w:rPr>
        <w:t>七</w:t>
      </w:r>
      <w:r>
        <w:rPr>
          <w:rFonts w:hint="eastAsia" w:ascii="仿宋" w:hAnsi="仿宋" w:eastAsia="仿宋" w:cs="仿宋"/>
          <w:color w:val="auto"/>
          <w:sz w:val="24"/>
          <w:szCs w:val="24"/>
        </w:rPr>
        <w:t>、签订</w:t>
      </w:r>
      <w:bookmarkEnd w:id="158"/>
      <w:r>
        <w:rPr>
          <w:rFonts w:hint="eastAsia" w:ascii="仿宋" w:hAnsi="仿宋" w:eastAsia="仿宋" w:cs="仿宋"/>
          <w:color w:val="auto"/>
          <w:sz w:val="24"/>
          <w:szCs w:val="24"/>
        </w:rPr>
        <w:t>合同</w:t>
      </w:r>
      <w:bookmarkEnd w:id="159"/>
      <w:bookmarkEnd w:id="162"/>
    </w:p>
    <w:p w14:paraId="5CBD144A">
      <w:pPr>
        <w:spacing w:line="360" w:lineRule="auto"/>
        <w:ind w:firstLine="360" w:firstLineChars="150"/>
        <w:rPr>
          <w:rFonts w:hint="eastAsia" w:ascii="仿宋" w:hAnsi="仿宋" w:eastAsia="仿宋" w:cs="仿宋"/>
          <w:color w:val="auto"/>
          <w:sz w:val="24"/>
          <w:szCs w:val="24"/>
        </w:rPr>
      </w:pPr>
      <w:r>
        <w:rPr>
          <w:rFonts w:hint="eastAsia" w:ascii="仿宋" w:hAnsi="仿宋" w:eastAsia="仿宋" w:cs="仿宋"/>
          <w:b w:val="0"/>
          <w:bCs w:val="0"/>
          <w:color w:val="auto"/>
          <w:sz w:val="24"/>
          <w:szCs w:val="24"/>
        </w:rPr>
        <w:t>（一）采购人应当自成交通知书发出之日起</w:t>
      </w:r>
      <w:r>
        <w:rPr>
          <w:rFonts w:hint="eastAsia" w:ascii="仿宋" w:hAnsi="仿宋" w:eastAsia="仿宋" w:cs="仿宋"/>
          <w:b w:val="0"/>
          <w:bCs w:val="0"/>
          <w:color w:val="auto"/>
          <w:sz w:val="24"/>
          <w:szCs w:val="24"/>
          <w:lang w:val="en-US" w:eastAsia="zh-CN"/>
        </w:rPr>
        <w:t>二</w:t>
      </w:r>
      <w:r>
        <w:rPr>
          <w:rFonts w:hint="eastAsia" w:ascii="仿宋" w:hAnsi="仿宋" w:eastAsia="仿宋" w:cs="仿宋"/>
          <w:b w:val="0"/>
          <w:bCs w:val="0"/>
          <w:color w:val="auto"/>
          <w:sz w:val="24"/>
          <w:szCs w:val="24"/>
        </w:rPr>
        <w:t>十日内，按照</w:t>
      </w:r>
      <w:r>
        <w:rPr>
          <w:rFonts w:hint="eastAsia" w:ascii="仿宋" w:hAnsi="仿宋" w:eastAsia="仿宋" w:cs="仿宋"/>
          <w:b w:val="0"/>
          <w:bCs w:val="0"/>
          <w:color w:val="auto"/>
          <w:sz w:val="24"/>
          <w:szCs w:val="24"/>
          <w:lang w:eastAsia="zh-CN"/>
        </w:rPr>
        <w:t>询比文件</w:t>
      </w:r>
      <w:r>
        <w:rPr>
          <w:rFonts w:hint="eastAsia" w:ascii="仿宋" w:hAnsi="仿宋" w:eastAsia="仿宋" w:cs="仿宋"/>
          <w:b w:val="0"/>
          <w:bCs w:val="0"/>
          <w:color w:val="auto"/>
          <w:sz w:val="24"/>
          <w:szCs w:val="24"/>
        </w:rPr>
        <w:t>和成交供应商响应文件的约定，与成交供应商签订书面合同。所签订的合同</w:t>
      </w:r>
      <w:r>
        <w:rPr>
          <w:rFonts w:hint="eastAsia" w:ascii="仿宋" w:hAnsi="仿宋" w:eastAsia="仿宋" w:cs="仿宋"/>
          <w:color w:val="auto"/>
          <w:sz w:val="24"/>
          <w:szCs w:val="24"/>
        </w:rPr>
        <w:t>不得对</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和供应商的响应文件作实质性修改。</w:t>
      </w:r>
    </w:p>
    <w:p w14:paraId="4A35EF5D">
      <w:pPr>
        <w:spacing w:line="360" w:lineRule="auto"/>
        <w:ind w:firstLine="360" w:firstLineChars="150"/>
        <w:rPr>
          <w:rFonts w:hint="eastAsia" w:ascii="仿宋" w:hAnsi="仿宋" w:eastAsia="仿宋" w:cs="仿宋"/>
          <w:color w:val="auto"/>
          <w:sz w:val="24"/>
          <w:szCs w:val="24"/>
        </w:rPr>
      </w:pPr>
      <w:r>
        <w:rPr>
          <w:rFonts w:hint="eastAsia" w:ascii="仿宋" w:hAnsi="仿宋" w:eastAsia="仿宋" w:cs="仿宋"/>
          <w:color w:val="auto"/>
          <w:sz w:val="24"/>
          <w:szCs w:val="24"/>
        </w:rPr>
        <w:t>（二）</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、供应商的响应文件及澄清文件等，均为签订</w:t>
      </w:r>
      <w:r>
        <w:rPr>
          <w:rFonts w:hint="eastAsia" w:ascii="仿宋" w:hAnsi="仿宋" w:eastAsia="仿宋" w:cs="仿宋"/>
          <w:color w:val="auto"/>
          <w:sz w:val="24"/>
          <w:szCs w:val="24"/>
          <w:lang w:eastAsia="zh-CN"/>
        </w:rPr>
        <w:t>采购合同</w:t>
      </w:r>
      <w:r>
        <w:rPr>
          <w:rFonts w:hint="eastAsia" w:ascii="仿宋" w:hAnsi="仿宋" w:eastAsia="仿宋" w:cs="仿宋"/>
          <w:color w:val="auto"/>
          <w:sz w:val="24"/>
          <w:szCs w:val="24"/>
        </w:rPr>
        <w:t>的依据。</w:t>
      </w:r>
    </w:p>
    <w:p w14:paraId="6514BF67">
      <w:pPr>
        <w:spacing w:line="360" w:lineRule="auto"/>
        <w:ind w:firstLine="360" w:firstLineChars="150"/>
        <w:rPr>
          <w:rFonts w:hint="eastAsia" w:ascii="仿宋" w:hAnsi="仿宋" w:eastAsia="仿宋" w:cs="仿宋"/>
          <w:color w:val="auto"/>
          <w:sz w:val="24"/>
          <w:szCs w:val="24"/>
        </w:rPr>
      </w:pPr>
      <w:r>
        <w:rPr>
          <w:rFonts w:hint="eastAsia" w:ascii="仿宋" w:hAnsi="仿宋" w:eastAsia="仿宋" w:cs="仿宋"/>
          <w:color w:val="auto"/>
          <w:sz w:val="24"/>
          <w:szCs w:val="24"/>
        </w:rPr>
        <w:t>（三）合同生效条款由供需双方约定，法律、行政法规规定应当办理批准、登记等手续后生效的合同，依照其规定。</w:t>
      </w:r>
    </w:p>
    <w:p w14:paraId="70104F74">
      <w:pPr>
        <w:spacing w:line="360" w:lineRule="auto"/>
        <w:ind w:firstLine="360" w:firstLineChars="150"/>
        <w:rPr>
          <w:rFonts w:hint="eastAsia" w:ascii="仿宋" w:hAnsi="仿宋" w:eastAsia="仿宋" w:cs="仿宋"/>
          <w:color w:val="auto"/>
          <w:sz w:val="24"/>
          <w:szCs w:val="24"/>
        </w:rPr>
      </w:pPr>
      <w:r>
        <w:rPr>
          <w:rFonts w:hint="eastAsia" w:ascii="仿宋" w:hAnsi="仿宋" w:eastAsia="仿宋" w:cs="仿宋"/>
          <w:color w:val="auto"/>
          <w:sz w:val="24"/>
          <w:szCs w:val="24"/>
        </w:rPr>
        <w:t>（四）合同原则上应按照《重庆市</w:t>
      </w:r>
      <w:r>
        <w:rPr>
          <w:rFonts w:hint="eastAsia" w:ascii="仿宋" w:hAnsi="仿宋" w:eastAsia="仿宋" w:cs="仿宋"/>
          <w:color w:val="auto"/>
          <w:sz w:val="24"/>
          <w:szCs w:val="24"/>
          <w:lang w:eastAsia="zh-CN"/>
        </w:rPr>
        <w:t>采购合同</w:t>
      </w:r>
      <w:r>
        <w:rPr>
          <w:rFonts w:hint="eastAsia" w:ascii="仿宋" w:hAnsi="仿宋" w:eastAsia="仿宋" w:cs="仿宋"/>
          <w:color w:val="auto"/>
          <w:sz w:val="24"/>
          <w:szCs w:val="24"/>
        </w:rPr>
        <w:t>》签订，相关单位要求适用合同通用格式版本的，应按其要求另行签订其他合同。</w:t>
      </w:r>
    </w:p>
    <w:p w14:paraId="78239031">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（五）采购人要求成交供应商提供履约保证金的，应当在</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中予以约定。成交供应商履约完毕后，采购人根据采购文件规定无息退还其履约保证金。</w:t>
      </w:r>
    </w:p>
    <w:p w14:paraId="0F122163">
      <w:pPr>
        <w:pStyle w:val="3"/>
        <w:spacing w:before="0" w:after="0" w:line="360" w:lineRule="auto"/>
        <w:jc w:val="center"/>
        <w:rPr>
          <w:rFonts w:hint="eastAsia" w:ascii="仿宋" w:hAnsi="仿宋" w:eastAsia="仿宋" w:cs="仿宋"/>
          <w:b w:val="0"/>
          <w:color w:val="auto"/>
          <w:sz w:val="36"/>
          <w:szCs w:val="30"/>
          <w:lang w:eastAsia="zh-CN"/>
        </w:rPr>
      </w:pPr>
      <w:bookmarkStart w:id="163" w:name="_Toc7471"/>
      <w:r>
        <w:rPr>
          <w:rFonts w:hint="eastAsia" w:ascii="仿宋" w:hAnsi="仿宋" w:eastAsia="仿宋" w:cs="仿宋"/>
          <w:b w:val="0"/>
          <w:color w:val="auto"/>
          <w:sz w:val="36"/>
          <w:szCs w:val="30"/>
        </w:rPr>
        <w:t xml:space="preserve">第六篇  </w:t>
      </w:r>
      <w:bookmarkEnd w:id="160"/>
      <w:bookmarkEnd w:id="161"/>
      <w:r>
        <w:rPr>
          <w:rFonts w:hint="eastAsia" w:ascii="仿宋" w:hAnsi="仿宋" w:eastAsia="仿宋" w:cs="仿宋"/>
          <w:b w:val="0"/>
          <w:color w:val="auto"/>
          <w:sz w:val="36"/>
          <w:szCs w:val="30"/>
          <w:lang w:eastAsia="zh-CN"/>
        </w:rPr>
        <w:t>采购合同</w:t>
      </w:r>
      <w:bookmarkEnd w:id="163"/>
    </w:p>
    <w:p w14:paraId="407BB507">
      <w:pPr>
        <w:tabs>
          <w:tab w:val="left" w:pos="9000"/>
        </w:tabs>
        <w:spacing w:line="360" w:lineRule="auto"/>
        <w:jc w:val="center"/>
        <w:rPr>
          <w:rFonts w:hint="eastAsia" w:ascii="仿宋" w:hAnsi="仿宋" w:eastAsia="仿宋" w:cs="仿宋"/>
          <w:color w:val="auto"/>
          <w:sz w:val="21"/>
          <w:szCs w:val="21"/>
        </w:rPr>
      </w:pPr>
    </w:p>
    <w:p w14:paraId="1CA8F8DD">
      <w:pPr>
        <w:tabs>
          <w:tab w:val="left" w:pos="9000"/>
        </w:tabs>
        <w:spacing w:line="360" w:lineRule="auto"/>
        <w:jc w:val="center"/>
        <w:rPr>
          <w:rFonts w:hint="eastAsia" w:ascii="仿宋" w:hAnsi="仿宋" w:eastAsia="仿宋" w:cs="仿宋"/>
          <w:color w:val="auto"/>
          <w:sz w:val="21"/>
          <w:szCs w:val="21"/>
        </w:rPr>
        <w:sectPr>
          <w:footerReference r:id="rId9" w:type="default"/>
          <w:footerReference r:id="rId10" w:type="even"/>
          <w:pgSz w:w="11907" w:h="16840"/>
          <w:pgMar w:top="1134" w:right="1191" w:bottom="1134" w:left="1304" w:header="964" w:footer="992" w:gutter="0"/>
          <w:pgNumType w:fmt="numberInDash"/>
          <w:cols w:space="720" w:num="1"/>
          <w:docGrid w:linePitch="312" w:charSpace="0"/>
        </w:sectPr>
      </w:pPr>
      <w:r>
        <w:rPr>
          <w:rFonts w:hint="eastAsia" w:ascii="仿宋" w:hAnsi="仿宋" w:eastAsia="仿宋" w:cs="仿宋"/>
          <w:b w:val="0"/>
          <w:color w:val="auto"/>
          <w:sz w:val="28"/>
          <w:szCs w:val="24"/>
          <w:lang w:eastAsia="zh-CN"/>
        </w:rPr>
        <w:t>根据项目情况自拟。</w:t>
      </w:r>
    </w:p>
    <w:p w14:paraId="224CD98E">
      <w:pPr>
        <w:pStyle w:val="3"/>
        <w:spacing w:before="0" w:after="0" w:line="360" w:lineRule="auto"/>
        <w:jc w:val="center"/>
        <w:rPr>
          <w:rFonts w:hint="eastAsia" w:ascii="仿宋" w:hAnsi="仿宋" w:eastAsia="仿宋" w:cs="仿宋"/>
          <w:b w:val="0"/>
          <w:color w:val="auto"/>
          <w:sz w:val="36"/>
          <w:szCs w:val="30"/>
        </w:rPr>
      </w:pPr>
      <w:bookmarkStart w:id="164" w:name="_Hlt41879464"/>
      <w:bookmarkEnd w:id="164"/>
      <w:bookmarkStart w:id="165" w:name="_Toc2672"/>
      <w:r>
        <w:rPr>
          <w:rFonts w:hint="eastAsia" w:ascii="仿宋" w:hAnsi="仿宋" w:eastAsia="仿宋" w:cs="仿宋"/>
          <w:b w:val="0"/>
          <w:color w:val="auto"/>
          <w:sz w:val="36"/>
          <w:szCs w:val="30"/>
        </w:rPr>
        <w:t>第七篇  响应文件编制要求</w:t>
      </w:r>
      <w:bookmarkEnd w:id="165"/>
    </w:p>
    <w:p w14:paraId="386DDEFE">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一、经济部分</w:t>
      </w:r>
    </w:p>
    <w:p w14:paraId="0BE249E3">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（一）报价函</w:t>
      </w:r>
    </w:p>
    <w:p w14:paraId="00DBCF29">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二、服务部分</w:t>
      </w:r>
    </w:p>
    <w:p w14:paraId="73A0014D">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（一）服务方案</w:t>
      </w:r>
    </w:p>
    <w:p w14:paraId="6C9F8D5D">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（二）服务响应偏离表</w:t>
      </w:r>
    </w:p>
    <w:p w14:paraId="74436C87">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三、商务部分</w:t>
      </w:r>
    </w:p>
    <w:p w14:paraId="77BBF3B5">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（一）商务要求响应情况：服务期及地点、报价要求、质量保证及售后服务等。</w:t>
      </w:r>
    </w:p>
    <w:p w14:paraId="7F733D4E">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（二）商务响应偏离表</w:t>
      </w:r>
    </w:p>
    <w:p w14:paraId="6438622F">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（三）商务部分评分资料</w:t>
      </w:r>
    </w:p>
    <w:p w14:paraId="67AF9489">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四、资格条件及其他</w:t>
      </w:r>
    </w:p>
    <w:p w14:paraId="731CF3DA">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（一）营业执照（副本）或事业单位法人证书（副本）复印件</w:t>
      </w:r>
    </w:p>
    <w:p w14:paraId="223F1289">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二</w:t>
      </w:r>
      <w:r>
        <w:rPr>
          <w:rFonts w:hint="eastAsia" w:ascii="仿宋" w:hAnsi="仿宋" w:eastAsia="仿宋" w:cs="仿宋"/>
          <w:color w:val="auto"/>
          <w:sz w:val="24"/>
          <w:szCs w:val="24"/>
        </w:rPr>
        <w:t>）法定代表人身份证明书（格式）</w:t>
      </w:r>
    </w:p>
    <w:p w14:paraId="58F64F95">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三</w:t>
      </w:r>
      <w:r>
        <w:rPr>
          <w:rFonts w:hint="eastAsia" w:ascii="仿宋" w:hAnsi="仿宋" w:eastAsia="仿宋" w:cs="仿宋"/>
          <w:color w:val="auto"/>
          <w:sz w:val="24"/>
          <w:szCs w:val="24"/>
        </w:rPr>
        <w:t>）法定代表人授权委托书（格式）</w:t>
      </w:r>
    </w:p>
    <w:p w14:paraId="1273A273">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四</w:t>
      </w: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基本资格条件承诺函</w:t>
      </w:r>
      <w:r>
        <w:rPr>
          <w:rFonts w:hint="eastAsia" w:ascii="仿宋" w:hAnsi="仿宋" w:eastAsia="仿宋" w:cs="仿宋"/>
          <w:color w:val="auto"/>
          <w:sz w:val="24"/>
          <w:szCs w:val="24"/>
        </w:rPr>
        <w:t>（格式）</w:t>
      </w:r>
    </w:p>
    <w:p w14:paraId="0B286575">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五</w:t>
      </w:r>
      <w:r>
        <w:rPr>
          <w:rFonts w:hint="eastAsia" w:ascii="仿宋" w:hAnsi="仿宋" w:eastAsia="仿宋" w:cs="仿宋"/>
          <w:color w:val="auto"/>
          <w:sz w:val="24"/>
          <w:szCs w:val="24"/>
        </w:rPr>
        <w:t>）特定资格条件证书或证明文件</w:t>
      </w:r>
    </w:p>
    <w:p w14:paraId="2AE0BFAB">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五、其他资料</w:t>
      </w:r>
    </w:p>
    <w:p w14:paraId="3C4AD2C3">
      <w:pPr>
        <w:snapToGrid w:val="0"/>
        <w:spacing w:line="360" w:lineRule="auto"/>
        <w:rPr>
          <w:rFonts w:hint="eastAsia" w:ascii="仿宋" w:hAnsi="仿宋" w:eastAsia="仿宋" w:cs="仿宋"/>
          <w:color w:val="auto"/>
          <w:sz w:val="24"/>
          <w:szCs w:val="24"/>
          <w:bdr w:val="single" w:color="auto" w:sz="4" w:space="0"/>
        </w:rPr>
        <w:sectPr>
          <w:pgSz w:w="11907" w:h="16840"/>
          <w:pgMar w:top="1134" w:right="1191" w:bottom="1134" w:left="1304" w:header="851" w:footer="992" w:gutter="0"/>
          <w:pgNumType w:fmt="numberInDash"/>
          <w:cols w:space="720" w:num="1"/>
          <w:docGrid w:linePitch="380" w:charSpace="-5735"/>
        </w:sectPr>
      </w:pPr>
      <w:r>
        <w:rPr>
          <w:rFonts w:hint="eastAsia" w:ascii="仿宋" w:hAnsi="仿宋" w:eastAsia="仿宋" w:cs="仿宋"/>
          <w:color w:val="auto"/>
          <w:sz w:val="24"/>
          <w:szCs w:val="24"/>
        </w:rPr>
        <w:t xml:space="preserve">  </w:t>
      </w:r>
      <w:r>
        <w:rPr>
          <w:rFonts w:hint="eastAsia" w:ascii="仿宋" w:hAnsi="仿宋" w:eastAsia="仿宋" w:cs="仿宋"/>
          <w:color w:val="auto"/>
          <w:sz w:val="24"/>
          <w:szCs w:val="24"/>
          <w:lang w:val="en-US" w:eastAsia="zh-CN"/>
        </w:rPr>
        <w:t xml:space="preserve"> </w:t>
      </w:r>
      <w:r>
        <w:rPr>
          <w:rFonts w:hint="eastAsia" w:ascii="仿宋" w:hAnsi="仿宋" w:eastAsia="仿宋" w:cs="仿宋"/>
          <w:color w:val="auto"/>
          <w:sz w:val="24"/>
          <w:szCs w:val="24"/>
        </w:rPr>
        <w:t xml:space="preserve"> （</w:t>
      </w:r>
      <w:r>
        <w:rPr>
          <w:rFonts w:hint="eastAsia" w:ascii="仿宋" w:hAnsi="仿宋" w:eastAsia="仿宋" w:cs="仿宋"/>
          <w:color w:val="auto"/>
          <w:sz w:val="24"/>
          <w:szCs w:val="24"/>
          <w:lang w:val="en-US" w:eastAsia="zh-CN"/>
        </w:rPr>
        <w:t>一</w:t>
      </w:r>
      <w:r>
        <w:rPr>
          <w:rFonts w:hint="eastAsia" w:ascii="仿宋" w:hAnsi="仿宋" w:eastAsia="仿宋" w:cs="仿宋"/>
          <w:color w:val="auto"/>
          <w:sz w:val="24"/>
          <w:szCs w:val="24"/>
        </w:rPr>
        <w:t>）其他与项目有关的资料</w:t>
      </w:r>
    </w:p>
    <w:p w14:paraId="4288E50B">
      <w:pPr>
        <w:pStyle w:val="4"/>
        <w:spacing w:before="0" w:after="0" w:line="360" w:lineRule="auto"/>
        <w:rPr>
          <w:rFonts w:hint="eastAsia" w:ascii="仿宋" w:hAnsi="仿宋" w:eastAsia="仿宋" w:cs="仿宋"/>
          <w:color w:val="auto"/>
          <w:sz w:val="24"/>
          <w:szCs w:val="24"/>
        </w:rPr>
      </w:pPr>
      <w:bookmarkStart w:id="166" w:name="_Toc16586"/>
      <w:bookmarkStart w:id="167" w:name="_Toc313888360"/>
      <w:bookmarkStart w:id="168" w:name="_Toc342913419"/>
      <w:bookmarkStart w:id="169" w:name="_Toc313008356"/>
      <w:bookmarkStart w:id="170" w:name="_Toc12789073"/>
      <w:bookmarkStart w:id="171" w:name="_Toc283382454"/>
      <w:r>
        <w:rPr>
          <w:rFonts w:hint="eastAsia" w:ascii="仿宋" w:hAnsi="仿宋" w:eastAsia="仿宋" w:cs="仿宋"/>
          <w:color w:val="auto"/>
          <w:sz w:val="24"/>
          <w:szCs w:val="24"/>
        </w:rPr>
        <w:t>一、经济部分</w:t>
      </w:r>
      <w:bookmarkEnd w:id="166"/>
      <w:bookmarkEnd w:id="167"/>
      <w:bookmarkEnd w:id="168"/>
      <w:bookmarkEnd w:id="169"/>
    </w:p>
    <w:bookmarkEnd w:id="170"/>
    <w:bookmarkEnd w:id="171"/>
    <w:p w14:paraId="03A4F112">
      <w:pPr>
        <w:tabs>
          <w:tab w:val="left" w:pos="6300"/>
        </w:tabs>
        <w:snapToGrid w:val="0"/>
        <w:spacing w:line="360" w:lineRule="auto"/>
        <w:ind w:firstLine="420" w:firstLineChars="200"/>
        <w:rPr>
          <w:rFonts w:hint="eastAsia" w:ascii="仿宋" w:hAnsi="仿宋" w:eastAsia="仿宋" w:cs="仿宋"/>
          <w:color w:val="auto"/>
          <w:szCs w:val="28"/>
        </w:rPr>
      </w:pPr>
      <w:r>
        <w:rPr>
          <w:rFonts w:hint="eastAsia" w:ascii="仿宋" w:hAnsi="仿宋" w:eastAsia="仿宋" w:cs="仿宋"/>
          <w:color w:val="auto"/>
          <w:szCs w:val="28"/>
        </w:rPr>
        <w:t>（一）报价函</w:t>
      </w:r>
    </w:p>
    <w:p w14:paraId="00AEEA6F">
      <w:pPr>
        <w:tabs>
          <w:tab w:val="left" w:pos="6300"/>
        </w:tabs>
        <w:snapToGrid w:val="0"/>
        <w:spacing w:line="360" w:lineRule="auto"/>
        <w:jc w:val="center"/>
        <w:outlineLvl w:val="0"/>
        <w:rPr>
          <w:rFonts w:hint="eastAsia" w:ascii="仿宋" w:hAnsi="仿宋" w:eastAsia="仿宋" w:cs="仿宋"/>
          <w:b/>
          <w:color w:val="auto"/>
          <w:szCs w:val="28"/>
        </w:rPr>
      </w:pPr>
      <w:r>
        <w:rPr>
          <w:rFonts w:hint="eastAsia" w:ascii="仿宋" w:hAnsi="仿宋" w:eastAsia="仿宋" w:cs="仿宋"/>
          <w:b/>
          <w:color w:val="auto"/>
          <w:szCs w:val="28"/>
        </w:rPr>
        <w:t>报价函</w:t>
      </w:r>
    </w:p>
    <w:p w14:paraId="3B323E50">
      <w:pPr>
        <w:tabs>
          <w:tab w:val="left" w:pos="6300"/>
        </w:tabs>
        <w:snapToGrid w:val="0"/>
        <w:spacing w:line="360" w:lineRule="auto"/>
        <w:rPr>
          <w:rFonts w:hint="eastAsia" w:ascii="仿宋" w:hAnsi="仿宋" w:eastAsia="仿宋" w:cs="仿宋"/>
          <w:color w:val="auto"/>
          <w:sz w:val="24"/>
          <w:szCs w:val="24"/>
        </w:rPr>
      </w:pPr>
      <w:r>
        <w:rPr>
          <w:rFonts w:hint="eastAsia" w:ascii="仿宋" w:hAnsi="仿宋" w:eastAsia="仿宋" w:cs="仿宋"/>
          <w:color w:val="auto"/>
          <w:sz w:val="24"/>
          <w:szCs w:val="24"/>
          <w:u w:val="single"/>
        </w:rPr>
        <w:t>（采购人名称）</w:t>
      </w:r>
      <w:r>
        <w:rPr>
          <w:rFonts w:hint="eastAsia" w:ascii="仿宋" w:hAnsi="仿宋" w:eastAsia="仿宋" w:cs="仿宋"/>
          <w:color w:val="auto"/>
          <w:sz w:val="24"/>
          <w:szCs w:val="24"/>
        </w:rPr>
        <w:t>：</w:t>
      </w:r>
    </w:p>
    <w:p w14:paraId="4A0EDF91">
      <w:pPr>
        <w:tabs>
          <w:tab w:val="left" w:pos="6300"/>
        </w:tabs>
        <w:snapToGrid w:val="0"/>
        <w:spacing w:line="312" w:lineRule="auto"/>
        <w:ind w:firstLine="480" w:firstLineChars="200"/>
        <w:rPr>
          <w:rFonts w:hint="eastAsia" w:ascii="方正仿宋_GBK" w:hAnsi="宋体" w:eastAsia="方正仿宋_GBK"/>
          <w:color w:val="auto"/>
          <w:sz w:val="24"/>
          <w:szCs w:val="24"/>
        </w:rPr>
      </w:pPr>
      <w:r>
        <w:rPr>
          <w:rFonts w:hint="eastAsia" w:ascii="方正仿宋_GBK" w:hAnsi="宋体" w:eastAsia="方正仿宋_GBK"/>
          <w:color w:val="auto"/>
          <w:sz w:val="24"/>
          <w:szCs w:val="24"/>
        </w:rPr>
        <w:t>我方收到</w:t>
      </w:r>
      <w:r>
        <w:rPr>
          <w:rFonts w:hint="eastAsia" w:ascii="方正仿宋_GBK" w:hAnsi="宋体" w:eastAsia="方正仿宋_GBK"/>
          <w:color w:val="auto"/>
          <w:sz w:val="24"/>
          <w:szCs w:val="24"/>
          <w:u w:val="single"/>
          <w:lang w:val="en-US" w:eastAsia="zh-CN"/>
        </w:rPr>
        <w:t xml:space="preserve">                   </w:t>
      </w:r>
      <w:r>
        <w:rPr>
          <w:rFonts w:hint="eastAsia" w:ascii="方正仿宋_GBK" w:hAnsi="宋体" w:eastAsia="方正仿宋_GBK"/>
          <w:color w:val="auto"/>
          <w:sz w:val="24"/>
          <w:szCs w:val="24"/>
        </w:rPr>
        <w:t>（项目名称）的</w:t>
      </w:r>
      <w:r>
        <w:rPr>
          <w:rFonts w:hint="eastAsia" w:ascii="方正仿宋_GBK" w:hAnsi="宋体" w:eastAsia="方正仿宋_GBK"/>
          <w:color w:val="auto"/>
          <w:sz w:val="24"/>
          <w:szCs w:val="24"/>
          <w:lang w:eastAsia="zh-CN"/>
        </w:rPr>
        <w:t>询比文件</w:t>
      </w:r>
      <w:r>
        <w:rPr>
          <w:rFonts w:hint="eastAsia" w:ascii="方正仿宋_GBK" w:hAnsi="宋体" w:eastAsia="方正仿宋_GBK"/>
          <w:color w:val="auto"/>
          <w:sz w:val="24"/>
          <w:szCs w:val="24"/>
        </w:rPr>
        <w:t>，经详细研究，决定参加该项目的</w:t>
      </w:r>
      <w:r>
        <w:rPr>
          <w:rFonts w:hint="eastAsia" w:ascii="方正仿宋_GBK" w:hAnsi="宋体" w:eastAsia="方正仿宋_GBK"/>
          <w:color w:val="auto"/>
          <w:sz w:val="24"/>
          <w:szCs w:val="24"/>
          <w:lang w:eastAsia="zh-CN"/>
        </w:rPr>
        <w:t>询比</w:t>
      </w:r>
      <w:r>
        <w:rPr>
          <w:rFonts w:hint="eastAsia" w:ascii="方正仿宋_GBK" w:hAnsi="宋体" w:eastAsia="方正仿宋_GBK"/>
          <w:color w:val="auto"/>
          <w:sz w:val="24"/>
          <w:szCs w:val="24"/>
        </w:rPr>
        <w:t>。</w:t>
      </w:r>
    </w:p>
    <w:p w14:paraId="12064C82">
      <w:pPr>
        <w:tabs>
          <w:tab w:val="left" w:pos="6300"/>
        </w:tabs>
        <w:snapToGrid w:val="0"/>
        <w:spacing w:line="360" w:lineRule="auto"/>
        <w:ind w:left="10" w:leftChars="5" w:firstLine="458" w:firstLineChars="191"/>
        <w:jc w:val="left"/>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rPr>
        <w:t>1.愿意按照</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中的一切要求，提供本项目的服务，报价</w:t>
      </w:r>
      <w:r>
        <w:rPr>
          <w:rFonts w:hint="eastAsia" w:ascii="仿宋" w:hAnsi="仿宋" w:eastAsia="仿宋" w:cs="仿宋"/>
          <w:color w:val="auto"/>
          <w:sz w:val="24"/>
          <w:szCs w:val="24"/>
          <w:lang w:val="en-US" w:eastAsia="zh-CN"/>
        </w:rPr>
        <w:t>折扣</w:t>
      </w:r>
      <w:r>
        <w:rPr>
          <w:rFonts w:hint="eastAsia" w:ascii="仿宋" w:hAnsi="仿宋" w:eastAsia="仿宋" w:cs="仿宋"/>
          <w:color w:val="auto"/>
          <w:sz w:val="24"/>
          <w:szCs w:val="24"/>
          <w:u w:val="single"/>
          <w:lang w:val="en-US" w:eastAsia="zh-CN"/>
        </w:rPr>
        <w:t xml:space="preserve">    </w:t>
      </w:r>
      <w:r>
        <w:rPr>
          <w:rFonts w:hint="eastAsia" w:ascii="仿宋" w:hAnsi="仿宋" w:eastAsia="仿宋" w:cs="仿宋"/>
          <w:color w:val="auto"/>
          <w:sz w:val="24"/>
          <w:szCs w:val="24"/>
          <w:lang w:val="en-US" w:eastAsia="zh-CN"/>
        </w:rPr>
        <w:t>%，</w:t>
      </w:r>
      <w:r>
        <w:rPr>
          <w:rFonts w:hint="eastAsia" w:ascii="仿宋" w:hAnsi="仿宋" w:eastAsia="仿宋" w:cs="仿宋"/>
          <w:color w:val="auto"/>
          <w:sz w:val="24"/>
          <w:szCs w:val="24"/>
        </w:rPr>
        <w:t>大写</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u w:val="single"/>
        </w:rPr>
        <w:t xml:space="preserve">         </w:t>
      </w:r>
      <w:r>
        <w:rPr>
          <w:rFonts w:hint="eastAsia" w:ascii="宋体" w:hAnsi="宋体" w:eastAsia="宋体" w:cs="宋体"/>
          <w:color w:val="auto"/>
          <w:sz w:val="24"/>
          <w:szCs w:val="24"/>
          <w:highlight w:val="none"/>
        </w:rPr>
        <w:t>。</w:t>
      </w:r>
    </w:p>
    <w:p w14:paraId="09C8663A">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2.我方现提交的响应文件为：响应文件正本</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份，副本</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份，电子文档</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份。</w:t>
      </w:r>
    </w:p>
    <w:p w14:paraId="3768C305">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3.我方承诺：本次</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的有效期为90天。</w:t>
      </w:r>
    </w:p>
    <w:p w14:paraId="48076B79">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4.我方完全理解和接受贵方</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的一切规定和要求及评审办法。</w:t>
      </w:r>
    </w:p>
    <w:p w14:paraId="2640AECB">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5.在整个</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过程中，我方若有违规行为，接受按照《中华人民共和国政府采购法》和《</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》之规定给予惩罚。</w:t>
      </w:r>
    </w:p>
    <w:p w14:paraId="75D71730">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6.我方若成为成交供应商，将按照最终</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结果签订合同，并且严格履行合同义务。本承诺函将成为合同不可分割的一部分，与合同具有同等的法律效力。</w:t>
      </w:r>
    </w:p>
    <w:p w14:paraId="6721D8D1">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7.如果我方成为成交供应商，保证在接到成交通知书后，向采购代理机构缴纳</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规定的采购代理服务费。</w:t>
      </w:r>
    </w:p>
    <w:p w14:paraId="24BD69C4">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供应商（公章）：</w:t>
      </w:r>
    </w:p>
    <w:p w14:paraId="40EFB429">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 xml:space="preserve">地址：  </w:t>
      </w:r>
    </w:p>
    <w:p w14:paraId="0EB1A548">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电话：                                             传真：</w:t>
      </w:r>
    </w:p>
    <w:p w14:paraId="6265304F">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网址：                                             邮编：</w:t>
      </w:r>
    </w:p>
    <w:p w14:paraId="35050AB9">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联系人：</w:t>
      </w:r>
    </w:p>
    <w:p w14:paraId="20443B0C">
      <w:pPr>
        <w:spacing w:line="360" w:lineRule="auto"/>
        <w:jc w:val="center"/>
        <w:rPr>
          <w:rFonts w:hint="eastAsia" w:ascii="仿宋" w:hAnsi="仿宋" w:eastAsia="仿宋" w:cs="仿宋"/>
          <w:color w:val="auto"/>
          <w:sz w:val="24"/>
          <w:szCs w:val="24"/>
        </w:rPr>
      </w:pPr>
      <w:r>
        <w:rPr>
          <w:rFonts w:hint="eastAsia" w:ascii="仿宋" w:hAnsi="仿宋" w:eastAsia="仿宋" w:cs="仿宋"/>
          <w:color w:val="auto"/>
          <w:sz w:val="24"/>
          <w:szCs w:val="24"/>
        </w:rPr>
        <w:t xml:space="preserve">                                                  年   月   日</w:t>
      </w:r>
    </w:p>
    <w:p w14:paraId="7280C6EA">
      <w:pPr>
        <w:spacing w:line="360" w:lineRule="auto"/>
        <w:jc w:val="center"/>
        <w:rPr>
          <w:rFonts w:hint="eastAsia" w:ascii="仿宋" w:hAnsi="仿宋" w:eastAsia="仿宋" w:cs="仿宋"/>
          <w:color w:val="auto"/>
          <w:szCs w:val="28"/>
        </w:rPr>
      </w:pPr>
    </w:p>
    <w:p w14:paraId="58519582">
      <w:pPr>
        <w:spacing w:line="360" w:lineRule="auto"/>
        <w:jc w:val="center"/>
        <w:rPr>
          <w:rFonts w:hint="eastAsia" w:ascii="仿宋" w:hAnsi="仿宋" w:eastAsia="仿宋" w:cs="仿宋"/>
          <w:color w:val="auto"/>
          <w:szCs w:val="28"/>
        </w:rPr>
      </w:pPr>
    </w:p>
    <w:p w14:paraId="22EE1574">
      <w:pPr>
        <w:snapToGrid w:val="0"/>
        <w:spacing w:line="360" w:lineRule="auto"/>
        <w:ind w:firstLine="480" w:firstLineChars="200"/>
        <w:rPr>
          <w:rFonts w:hint="eastAsia" w:ascii="仿宋" w:hAnsi="仿宋" w:eastAsia="仿宋" w:cs="仿宋"/>
          <w:color w:val="auto"/>
          <w:sz w:val="24"/>
          <w:szCs w:val="24"/>
        </w:rPr>
      </w:pPr>
    </w:p>
    <w:p w14:paraId="6AF006B0">
      <w:pPr>
        <w:snapToGrid w:val="0"/>
        <w:spacing w:line="360" w:lineRule="auto"/>
        <w:ind w:firstLine="480" w:firstLineChars="200"/>
        <w:rPr>
          <w:rFonts w:hint="eastAsia" w:ascii="仿宋" w:hAnsi="仿宋" w:eastAsia="仿宋" w:cs="仿宋"/>
          <w:color w:val="auto"/>
          <w:sz w:val="24"/>
          <w:szCs w:val="24"/>
        </w:rPr>
      </w:pPr>
    </w:p>
    <w:p w14:paraId="707E3E59">
      <w:pPr>
        <w:pStyle w:val="10"/>
        <w:rPr>
          <w:rFonts w:hint="eastAsia"/>
          <w:color w:val="auto"/>
        </w:rPr>
      </w:pPr>
    </w:p>
    <w:p w14:paraId="2ACC59DF">
      <w:pPr>
        <w:snapToGrid w:val="0"/>
        <w:spacing w:line="360" w:lineRule="auto"/>
        <w:ind w:firstLine="480" w:firstLineChars="200"/>
        <w:rPr>
          <w:rFonts w:hint="eastAsia" w:ascii="仿宋" w:hAnsi="仿宋" w:eastAsia="仿宋" w:cs="仿宋"/>
          <w:color w:val="auto"/>
          <w:sz w:val="24"/>
          <w:szCs w:val="24"/>
        </w:rPr>
      </w:pPr>
    </w:p>
    <w:p w14:paraId="128E2432">
      <w:pPr>
        <w:snapToGrid w:val="0"/>
        <w:spacing w:line="360" w:lineRule="auto"/>
        <w:ind w:firstLine="480" w:firstLineChars="200"/>
        <w:rPr>
          <w:rFonts w:hint="eastAsia" w:ascii="仿宋" w:hAnsi="仿宋" w:eastAsia="仿宋" w:cs="仿宋"/>
          <w:color w:val="auto"/>
          <w:sz w:val="24"/>
          <w:szCs w:val="24"/>
        </w:rPr>
      </w:pPr>
    </w:p>
    <w:p w14:paraId="13CE0DFD">
      <w:pPr>
        <w:pStyle w:val="4"/>
        <w:spacing w:before="0" w:after="0" w:line="360" w:lineRule="auto"/>
        <w:rPr>
          <w:rFonts w:hint="eastAsia" w:ascii="仿宋" w:hAnsi="仿宋" w:eastAsia="仿宋" w:cs="仿宋"/>
          <w:color w:val="auto"/>
          <w:sz w:val="24"/>
          <w:szCs w:val="24"/>
        </w:rPr>
      </w:pPr>
      <w:bookmarkStart w:id="172" w:name="_Toc342913420"/>
      <w:bookmarkStart w:id="173" w:name="_Toc313008357"/>
      <w:bookmarkStart w:id="174" w:name="_Toc313888361"/>
    </w:p>
    <w:p w14:paraId="4AD133AE">
      <w:pPr>
        <w:pStyle w:val="4"/>
        <w:spacing w:before="0" w:after="0" w:line="360" w:lineRule="auto"/>
        <w:rPr>
          <w:rFonts w:hint="eastAsia" w:ascii="仿宋" w:hAnsi="仿宋" w:eastAsia="仿宋" w:cs="仿宋"/>
          <w:color w:val="auto"/>
          <w:sz w:val="24"/>
          <w:szCs w:val="24"/>
        </w:rPr>
      </w:pPr>
      <w:bookmarkStart w:id="175" w:name="_Toc4552"/>
      <w:r>
        <w:rPr>
          <w:rFonts w:hint="eastAsia" w:ascii="仿宋" w:hAnsi="仿宋" w:eastAsia="仿宋" w:cs="仿宋"/>
          <w:color w:val="auto"/>
          <w:sz w:val="24"/>
          <w:szCs w:val="24"/>
        </w:rPr>
        <w:t>二、服务部</w:t>
      </w:r>
      <w:bookmarkEnd w:id="172"/>
      <w:bookmarkEnd w:id="173"/>
      <w:bookmarkEnd w:id="174"/>
      <w:r>
        <w:rPr>
          <w:rFonts w:hint="eastAsia" w:ascii="仿宋" w:hAnsi="仿宋" w:eastAsia="仿宋" w:cs="仿宋"/>
          <w:color w:val="auto"/>
          <w:sz w:val="24"/>
          <w:szCs w:val="24"/>
        </w:rPr>
        <w:t>分</w:t>
      </w:r>
      <w:bookmarkEnd w:id="175"/>
    </w:p>
    <w:p w14:paraId="3C3AB4D6">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一</w:t>
      </w:r>
      <w:r>
        <w:rPr>
          <w:rFonts w:hint="eastAsia" w:ascii="仿宋" w:hAnsi="仿宋" w:eastAsia="仿宋" w:cs="仿宋"/>
          <w:color w:val="auto"/>
          <w:sz w:val="24"/>
          <w:szCs w:val="24"/>
        </w:rPr>
        <w:t xml:space="preserve">）项目服务需求偏离表                          </w:t>
      </w:r>
    </w:p>
    <w:p w14:paraId="74AC3C38">
      <w:pPr>
        <w:pStyle w:val="8"/>
        <w:tabs>
          <w:tab w:val="left" w:pos="6300"/>
        </w:tabs>
        <w:snapToGrid w:val="0"/>
        <w:spacing w:line="360" w:lineRule="auto"/>
        <w:ind w:firstLine="480" w:firstLineChars="200"/>
        <w:outlineLvl w:val="0"/>
        <w:rPr>
          <w:rFonts w:hint="eastAsia" w:ascii="仿宋" w:hAnsi="仿宋" w:eastAsia="方正仿宋_GBK" w:cs="仿宋"/>
          <w:color w:val="auto"/>
          <w:sz w:val="24"/>
          <w:szCs w:val="24"/>
          <w:lang w:val="en-US" w:eastAsia="zh-CN"/>
        </w:rPr>
      </w:pPr>
      <w:r>
        <w:rPr>
          <w:rFonts w:hint="eastAsia" w:ascii="方正仿宋_GBK" w:hAnsi="宋体" w:eastAsia="方正仿宋_GBK"/>
          <w:color w:val="auto"/>
          <w:sz w:val="24"/>
          <w:szCs w:val="24"/>
        </w:rPr>
        <w:t>项目名称</w:t>
      </w:r>
      <w:r>
        <w:rPr>
          <w:rFonts w:hint="eastAsia" w:ascii="方正仿宋_GBK" w:hAnsi="宋体" w:eastAsia="方正仿宋_GBK"/>
          <w:color w:val="auto"/>
          <w:sz w:val="24"/>
          <w:szCs w:val="24"/>
          <w:lang w:val="en-US" w:eastAsia="zh-CN"/>
        </w:rPr>
        <w:t>:</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8"/>
        <w:gridCol w:w="2658"/>
        <w:gridCol w:w="2759"/>
        <w:gridCol w:w="2067"/>
      </w:tblGrid>
      <w:tr w14:paraId="4F273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138" w:type="dxa"/>
            <w:noWrap w:val="0"/>
            <w:vAlign w:val="center"/>
          </w:tcPr>
          <w:p w14:paraId="4539C2A4">
            <w:pPr>
              <w:tabs>
                <w:tab w:val="left" w:pos="6300"/>
              </w:tabs>
              <w:snapToGrid w:val="0"/>
              <w:spacing w:line="360" w:lineRule="auto"/>
              <w:jc w:val="center"/>
              <w:outlineLvl w:val="0"/>
              <w:rPr>
                <w:rFonts w:hint="eastAsia" w:ascii="仿宋" w:hAnsi="仿宋" w:eastAsia="仿宋" w:cs="仿宋"/>
                <w:color w:val="auto"/>
                <w:sz w:val="24"/>
                <w:szCs w:val="24"/>
              </w:rPr>
            </w:pPr>
            <w:r>
              <w:rPr>
                <w:rFonts w:hint="eastAsia" w:ascii="仿宋" w:hAnsi="仿宋" w:eastAsia="仿宋" w:cs="仿宋"/>
                <w:color w:val="auto"/>
                <w:sz w:val="24"/>
                <w:szCs w:val="24"/>
              </w:rPr>
              <w:t>序号</w:t>
            </w:r>
          </w:p>
        </w:tc>
        <w:tc>
          <w:tcPr>
            <w:tcW w:w="2658" w:type="dxa"/>
            <w:noWrap w:val="0"/>
            <w:vAlign w:val="center"/>
          </w:tcPr>
          <w:p w14:paraId="7E06DB9C">
            <w:pPr>
              <w:tabs>
                <w:tab w:val="left" w:pos="6300"/>
              </w:tabs>
              <w:snapToGrid w:val="0"/>
              <w:spacing w:line="360" w:lineRule="auto"/>
              <w:jc w:val="center"/>
              <w:outlineLvl w:val="0"/>
              <w:rPr>
                <w:rFonts w:hint="eastAsia" w:ascii="仿宋" w:hAnsi="仿宋" w:eastAsia="仿宋" w:cs="仿宋"/>
                <w:color w:val="auto"/>
                <w:sz w:val="24"/>
                <w:szCs w:val="24"/>
              </w:rPr>
            </w:pPr>
            <w:r>
              <w:rPr>
                <w:rFonts w:hint="eastAsia" w:ascii="仿宋" w:hAnsi="仿宋" w:eastAsia="仿宋" w:cs="仿宋"/>
                <w:color w:val="auto"/>
                <w:sz w:val="24"/>
                <w:szCs w:val="24"/>
              </w:rPr>
              <w:t>采购需求</w:t>
            </w:r>
          </w:p>
        </w:tc>
        <w:tc>
          <w:tcPr>
            <w:tcW w:w="2759" w:type="dxa"/>
            <w:noWrap w:val="0"/>
            <w:vAlign w:val="center"/>
          </w:tcPr>
          <w:p w14:paraId="2BC9E5CC">
            <w:pPr>
              <w:tabs>
                <w:tab w:val="left" w:pos="6300"/>
              </w:tabs>
              <w:snapToGrid w:val="0"/>
              <w:spacing w:line="360" w:lineRule="auto"/>
              <w:jc w:val="center"/>
              <w:outlineLvl w:val="0"/>
              <w:rPr>
                <w:rFonts w:hint="eastAsia" w:ascii="仿宋" w:hAnsi="仿宋" w:eastAsia="仿宋" w:cs="仿宋"/>
                <w:color w:val="auto"/>
                <w:sz w:val="24"/>
                <w:szCs w:val="24"/>
              </w:rPr>
            </w:pPr>
            <w:r>
              <w:rPr>
                <w:rFonts w:hint="eastAsia" w:ascii="仿宋" w:hAnsi="仿宋" w:eastAsia="仿宋" w:cs="仿宋"/>
                <w:color w:val="auto"/>
                <w:sz w:val="24"/>
                <w:szCs w:val="24"/>
              </w:rPr>
              <w:t>响应情况</w:t>
            </w:r>
          </w:p>
        </w:tc>
        <w:tc>
          <w:tcPr>
            <w:tcW w:w="2067" w:type="dxa"/>
            <w:noWrap w:val="0"/>
            <w:vAlign w:val="center"/>
          </w:tcPr>
          <w:p w14:paraId="51A7AB4B">
            <w:pPr>
              <w:tabs>
                <w:tab w:val="left" w:pos="6300"/>
              </w:tabs>
              <w:snapToGrid w:val="0"/>
              <w:spacing w:line="360" w:lineRule="auto"/>
              <w:jc w:val="center"/>
              <w:outlineLvl w:val="0"/>
              <w:rPr>
                <w:rFonts w:hint="eastAsia" w:ascii="仿宋" w:hAnsi="仿宋" w:eastAsia="仿宋" w:cs="仿宋"/>
                <w:color w:val="auto"/>
                <w:sz w:val="24"/>
                <w:szCs w:val="24"/>
              </w:rPr>
            </w:pPr>
            <w:r>
              <w:rPr>
                <w:rFonts w:hint="eastAsia" w:ascii="仿宋" w:hAnsi="仿宋" w:eastAsia="仿宋" w:cs="仿宋"/>
                <w:color w:val="auto"/>
                <w:sz w:val="24"/>
                <w:szCs w:val="24"/>
              </w:rPr>
              <w:t>差异说明</w:t>
            </w:r>
          </w:p>
        </w:tc>
      </w:tr>
      <w:tr w14:paraId="64EB46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0138C571">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54151E1C">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5C93B1AB">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79D6DCEE">
            <w:pPr>
              <w:tabs>
                <w:tab w:val="left" w:pos="6300"/>
              </w:tabs>
              <w:snapToGrid w:val="0"/>
              <w:spacing w:line="360" w:lineRule="auto"/>
              <w:jc w:val="center"/>
              <w:outlineLvl w:val="0"/>
              <w:rPr>
                <w:rFonts w:hint="eastAsia" w:ascii="仿宋" w:hAnsi="仿宋" w:eastAsia="仿宋" w:cs="仿宋"/>
                <w:color w:val="auto"/>
                <w:sz w:val="24"/>
                <w:szCs w:val="24"/>
              </w:rPr>
            </w:pPr>
          </w:p>
        </w:tc>
      </w:tr>
      <w:tr w14:paraId="64E3BE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364656AB">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0CE695DA">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5C684E46">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5DDD7300">
            <w:pPr>
              <w:tabs>
                <w:tab w:val="left" w:pos="6300"/>
              </w:tabs>
              <w:snapToGrid w:val="0"/>
              <w:spacing w:line="360" w:lineRule="auto"/>
              <w:jc w:val="center"/>
              <w:outlineLvl w:val="0"/>
              <w:rPr>
                <w:rFonts w:hint="eastAsia" w:ascii="仿宋" w:hAnsi="仿宋" w:eastAsia="仿宋" w:cs="仿宋"/>
                <w:color w:val="auto"/>
                <w:sz w:val="24"/>
                <w:szCs w:val="24"/>
              </w:rPr>
            </w:pPr>
          </w:p>
        </w:tc>
      </w:tr>
      <w:tr w14:paraId="3BC69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7B677059">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616E2365">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3E48742B">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6DC84E0D">
            <w:pPr>
              <w:tabs>
                <w:tab w:val="left" w:pos="6300"/>
              </w:tabs>
              <w:snapToGrid w:val="0"/>
              <w:spacing w:line="360" w:lineRule="auto"/>
              <w:jc w:val="center"/>
              <w:outlineLvl w:val="0"/>
              <w:rPr>
                <w:rFonts w:hint="eastAsia" w:ascii="仿宋" w:hAnsi="仿宋" w:eastAsia="仿宋" w:cs="仿宋"/>
                <w:color w:val="auto"/>
                <w:sz w:val="24"/>
                <w:szCs w:val="24"/>
              </w:rPr>
            </w:pPr>
          </w:p>
        </w:tc>
      </w:tr>
      <w:tr w14:paraId="258F1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6BFC451F">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6582DC87">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496CBCDB">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2EC598E3">
            <w:pPr>
              <w:tabs>
                <w:tab w:val="left" w:pos="6300"/>
              </w:tabs>
              <w:snapToGrid w:val="0"/>
              <w:spacing w:line="360" w:lineRule="auto"/>
              <w:jc w:val="center"/>
              <w:outlineLvl w:val="0"/>
              <w:rPr>
                <w:rFonts w:hint="eastAsia" w:ascii="仿宋" w:hAnsi="仿宋" w:eastAsia="仿宋" w:cs="仿宋"/>
                <w:color w:val="auto"/>
                <w:sz w:val="24"/>
                <w:szCs w:val="24"/>
              </w:rPr>
            </w:pPr>
          </w:p>
        </w:tc>
      </w:tr>
      <w:tr w14:paraId="51955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15B1B8E6">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2D49558A">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2B2F0C64">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1F6B5C1E">
            <w:pPr>
              <w:tabs>
                <w:tab w:val="left" w:pos="6300"/>
              </w:tabs>
              <w:snapToGrid w:val="0"/>
              <w:spacing w:line="360" w:lineRule="auto"/>
              <w:jc w:val="center"/>
              <w:outlineLvl w:val="0"/>
              <w:rPr>
                <w:rFonts w:hint="eastAsia" w:ascii="仿宋" w:hAnsi="仿宋" w:eastAsia="仿宋" w:cs="仿宋"/>
                <w:color w:val="auto"/>
                <w:sz w:val="24"/>
                <w:szCs w:val="24"/>
              </w:rPr>
            </w:pPr>
          </w:p>
        </w:tc>
      </w:tr>
      <w:tr w14:paraId="59987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4B2013B7">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1FA9C6FE">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79BA61D9">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79900274">
            <w:pPr>
              <w:tabs>
                <w:tab w:val="left" w:pos="6300"/>
              </w:tabs>
              <w:snapToGrid w:val="0"/>
              <w:spacing w:line="360" w:lineRule="auto"/>
              <w:jc w:val="center"/>
              <w:outlineLvl w:val="0"/>
              <w:rPr>
                <w:rFonts w:hint="eastAsia" w:ascii="仿宋" w:hAnsi="仿宋" w:eastAsia="仿宋" w:cs="仿宋"/>
                <w:color w:val="auto"/>
                <w:sz w:val="24"/>
                <w:szCs w:val="24"/>
              </w:rPr>
            </w:pPr>
          </w:p>
        </w:tc>
      </w:tr>
      <w:tr w14:paraId="61B18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7D9AEE35">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5E58CC52">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53507589">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121C46EC">
            <w:pPr>
              <w:tabs>
                <w:tab w:val="left" w:pos="6300"/>
              </w:tabs>
              <w:snapToGrid w:val="0"/>
              <w:spacing w:line="360" w:lineRule="auto"/>
              <w:jc w:val="center"/>
              <w:outlineLvl w:val="0"/>
              <w:rPr>
                <w:rFonts w:hint="eastAsia" w:ascii="仿宋" w:hAnsi="仿宋" w:eastAsia="仿宋" w:cs="仿宋"/>
                <w:color w:val="auto"/>
                <w:sz w:val="24"/>
                <w:szCs w:val="24"/>
              </w:rPr>
            </w:pPr>
          </w:p>
        </w:tc>
      </w:tr>
      <w:tr w14:paraId="4CFF6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2A47B033">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5C010C93">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01B5AB3F">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505E587F">
            <w:pPr>
              <w:tabs>
                <w:tab w:val="left" w:pos="6300"/>
              </w:tabs>
              <w:snapToGrid w:val="0"/>
              <w:spacing w:line="360" w:lineRule="auto"/>
              <w:jc w:val="center"/>
              <w:outlineLvl w:val="0"/>
              <w:rPr>
                <w:rFonts w:hint="eastAsia" w:ascii="仿宋" w:hAnsi="仿宋" w:eastAsia="仿宋" w:cs="仿宋"/>
                <w:color w:val="auto"/>
                <w:sz w:val="24"/>
                <w:szCs w:val="24"/>
              </w:rPr>
            </w:pPr>
          </w:p>
        </w:tc>
      </w:tr>
      <w:tr w14:paraId="05EF2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1183C5FE">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6AC0ADA4">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42F1B6F1">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36496702">
            <w:pPr>
              <w:tabs>
                <w:tab w:val="left" w:pos="6300"/>
              </w:tabs>
              <w:snapToGrid w:val="0"/>
              <w:spacing w:line="360" w:lineRule="auto"/>
              <w:jc w:val="center"/>
              <w:outlineLvl w:val="0"/>
              <w:rPr>
                <w:rFonts w:hint="eastAsia" w:ascii="仿宋" w:hAnsi="仿宋" w:eastAsia="仿宋" w:cs="仿宋"/>
                <w:color w:val="auto"/>
                <w:sz w:val="24"/>
                <w:szCs w:val="24"/>
              </w:rPr>
            </w:pPr>
          </w:p>
        </w:tc>
      </w:tr>
      <w:tr w14:paraId="2FAB0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4B8D1FD9">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10662237">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7410E4D0">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53242142">
            <w:pPr>
              <w:tabs>
                <w:tab w:val="left" w:pos="6300"/>
              </w:tabs>
              <w:snapToGrid w:val="0"/>
              <w:spacing w:line="360" w:lineRule="auto"/>
              <w:jc w:val="center"/>
              <w:outlineLvl w:val="0"/>
              <w:rPr>
                <w:rFonts w:hint="eastAsia" w:ascii="仿宋" w:hAnsi="仿宋" w:eastAsia="仿宋" w:cs="仿宋"/>
                <w:color w:val="auto"/>
                <w:sz w:val="24"/>
                <w:szCs w:val="24"/>
              </w:rPr>
            </w:pPr>
          </w:p>
        </w:tc>
      </w:tr>
    </w:tbl>
    <w:p w14:paraId="1C9DE496">
      <w:pPr>
        <w:spacing w:line="360" w:lineRule="auto"/>
        <w:ind w:firstLine="600" w:firstLineChars="250"/>
        <w:rPr>
          <w:rFonts w:hint="eastAsia" w:ascii="仿宋" w:hAnsi="仿宋" w:eastAsia="仿宋" w:cs="仿宋"/>
          <w:color w:val="auto"/>
          <w:sz w:val="24"/>
          <w:szCs w:val="24"/>
        </w:rPr>
      </w:pPr>
      <w:r>
        <w:rPr>
          <w:rFonts w:hint="eastAsia" w:ascii="仿宋" w:hAnsi="仿宋" w:eastAsia="仿宋" w:cs="仿宋"/>
          <w:color w:val="auto"/>
          <w:sz w:val="24"/>
          <w:szCs w:val="24"/>
        </w:rPr>
        <w:t>供应商：                                      法定代表人授权代表：</w:t>
      </w:r>
    </w:p>
    <w:p w14:paraId="377366EB">
      <w:pPr>
        <w:spacing w:line="360" w:lineRule="auto"/>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p>
    <w:p w14:paraId="6E3B1070">
      <w:pPr>
        <w:spacing w:line="360" w:lineRule="auto"/>
        <w:ind w:firstLine="720" w:firstLineChars="300"/>
        <w:rPr>
          <w:rFonts w:hint="eastAsia" w:ascii="仿宋" w:hAnsi="仿宋" w:eastAsia="仿宋" w:cs="仿宋"/>
          <w:color w:val="auto"/>
          <w:sz w:val="24"/>
          <w:szCs w:val="24"/>
        </w:rPr>
      </w:pPr>
      <w:r>
        <w:rPr>
          <w:rFonts w:hint="eastAsia" w:ascii="仿宋" w:hAnsi="仿宋" w:eastAsia="仿宋" w:cs="仿宋"/>
          <w:color w:val="auto"/>
          <w:sz w:val="24"/>
          <w:szCs w:val="24"/>
        </w:rPr>
        <w:t>（供应商公章）                               （签字或盖章）</w:t>
      </w:r>
    </w:p>
    <w:p w14:paraId="74B033F3">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 xml:space="preserve">                                              年     月     日</w:t>
      </w:r>
    </w:p>
    <w:p w14:paraId="1B7107E1">
      <w:pPr>
        <w:tabs>
          <w:tab w:val="left" w:pos="6300"/>
        </w:tabs>
        <w:snapToGrid w:val="0"/>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注：</w:t>
      </w:r>
      <w:r>
        <w:rPr>
          <w:rFonts w:hint="eastAsia" w:ascii="仿宋" w:hAnsi="仿宋" w:eastAsia="仿宋" w:cs="仿宋"/>
          <w:color w:val="auto"/>
          <w:sz w:val="24"/>
          <w:szCs w:val="24"/>
          <w:lang w:eastAsia="zh-CN"/>
        </w:rPr>
        <w:t>根据所投分包号要求按以下要求进行比较和响应。</w:t>
      </w:r>
    </w:p>
    <w:p w14:paraId="0387870B">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1.本表即为对本项目“第二篇  项目服务需求”中所列服务要求进行比较和响应；</w:t>
      </w:r>
    </w:p>
    <w:p w14:paraId="50F449A4">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2.该表必须按照</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要求逐条如实填写，根据响应情况在“差异说明”项填写正偏离或负偏离及原因，完全符合的填写“无差异”；</w:t>
      </w:r>
    </w:p>
    <w:p w14:paraId="13F6E5CA">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3.该表可扩展，并逐页签字或盖章；</w:t>
      </w:r>
    </w:p>
    <w:p w14:paraId="2D292994">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4.可附相关支撑材料。（格式自定）</w:t>
      </w:r>
    </w:p>
    <w:p w14:paraId="75A5B4A6">
      <w:pPr>
        <w:spacing w:line="360" w:lineRule="auto"/>
        <w:rPr>
          <w:rFonts w:hint="eastAsia" w:ascii="仿宋" w:hAnsi="仿宋" w:eastAsia="仿宋" w:cs="仿宋"/>
          <w:color w:val="auto"/>
        </w:rPr>
      </w:pPr>
      <w:r>
        <w:rPr>
          <w:rFonts w:hint="eastAsia" w:ascii="仿宋" w:hAnsi="仿宋" w:eastAsia="仿宋" w:cs="仿宋"/>
          <w:b w:val="0"/>
          <w:color w:val="auto"/>
        </w:rPr>
        <w:br w:type="page"/>
      </w:r>
      <w:r>
        <w:rPr>
          <w:rFonts w:hint="eastAsia" w:ascii="仿宋" w:hAnsi="仿宋" w:eastAsia="仿宋" w:cs="仿宋"/>
          <w:b w:val="0"/>
          <w:color w:val="auto"/>
          <w:lang w:eastAsia="zh-CN"/>
        </w:rPr>
        <w:t>（二）</w:t>
      </w:r>
      <w:r>
        <w:rPr>
          <w:rFonts w:hint="eastAsia" w:ascii="仿宋" w:hAnsi="仿宋" w:eastAsia="仿宋" w:cs="仿宋"/>
          <w:color w:val="auto"/>
          <w:lang w:eastAsia="zh-CN"/>
        </w:rPr>
        <w:t>服务方案</w:t>
      </w:r>
      <w:r>
        <w:rPr>
          <w:rFonts w:hint="eastAsia" w:ascii="仿宋" w:hAnsi="仿宋" w:eastAsia="仿宋" w:cs="仿宋"/>
          <w:color w:val="auto"/>
          <w:sz w:val="24"/>
          <w:szCs w:val="24"/>
          <w:highlight w:val="none"/>
          <w:lang w:eastAsia="zh-CN"/>
        </w:rPr>
        <w:t>（格式自定）</w:t>
      </w:r>
    </w:p>
    <w:p w14:paraId="1A8585B7">
      <w:pPr>
        <w:pStyle w:val="4"/>
        <w:spacing w:before="0" w:after="0" w:line="360" w:lineRule="auto"/>
        <w:rPr>
          <w:rFonts w:hint="eastAsia" w:ascii="仿宋" w:hAnsi="仿宋" w:eastAsia="仿宋" w:cs="仿宋"/>
          <w:color w:val="auto"/>
          <w:sz w:val="24"/>
          <w:szCs w:val="24"/>
        </w:rPr>
      </w:pPr>
      <w:r>
        <w:rPr>
          <w:rFonts w:hint="eastAsia" w:ascii="仿宋" w:hAnsi="仿宋" w:eastAsia="仿宋" w:cs="仿宋"/>
          <w:color w:val="auto"/>
          <w:szCs w:val="24"/>
        </w:rPr>
        <w:br w:type="page"/>
      </w:r>
      <w:bookmarkStart w:id="176" w:name="_Toc342913421"/>
      <w:bookmarkStart w:id="177" w:name="_Toc313008358"/>
      <w:bookmarkStart w:id="178" w:name="_Toc5918"/>
      <w:bookmarkStart w:id="179" w:name="_Toc313888362"/>
      <w:r>
        <w:rPr>
          <w:rFonts w:hint="eastAsia" w:ascii="仿宋" w:hAnsi="仿宋" w:eastAsia="仿宋" w:cs="仿宋"/>
          <w:color w:val="auto"/>
          <w:sz w:val="24"/>
          <w:szCs w:val="24"/>
        </w:rPr>
        <w:t>三、商务部分</w:t>
      </w:r>
      <w:bookmarkEnd w:id="176"/>
      <w:bookmarkEnd w:id="177"/>
      <w:bookmarkEnd w:id="178"/>
      <w:bookmarkEnd w:id="179"/>
    </w:p>
    <w:p w14:paraId="0785B442">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一</w:t>
      </w:r>
      <w:r>
        <w:rPr>
          <w:rFonts w:hint="eastAsia" w:ascii="仿宋" w:hAnsi="仿宋" w:eastAsia="仿宋" w:cs="仿宋"/>
          <w:color w:val="auto"/>
          <w:sz w:val="24"/>
          <w:szCs w:val="24"/>
        </w:rPr>
        <w:t>）项目商务需求偏离表</w:t>
      </w:r>
    </w:p>
    <w:p w14:paraId="5079ADCC">
      <w:pPr>
        <w:snapToGrid w:val="0"/>
        <w:spacing w:line="360" w:lineRule="auto"/>
        <w:jc w:val="center"/>
        <w:rPr>
          <w:rFonts w:hint="eastAsia" w:ascii="仿宋" w:hAnsi="仿宋" w:eastAsia="仿宋" w:cs="仿宋"/>
          <w:b/>
          <w:color w:val="auto"/>
          <w:sz w:val="24"/>
          <w:szCs w:val="24"/>
        </w:rPr>
      </w:pPr>
      <w:r>
        <w:rPr>
          <w:rFonts w:hint="eastAsia" w:ascii="仿宋" w:hAnsi="仿宋" w:eastAsia="仿宋" w:cs="仿宋"/>
          <w:b/>
          <w:color w:val="auto"/>
          <w:sz w:val="24"/>
          <w:szCs w:val="24"/>
        </w:rPr>
        <w:t>商务响应偏离表</w:t>
      </w:r>
    </w:p>
    <w:p w14:paraId="1FE36AEA">
      <w:pPr>
        <w:snapToGrid w:val="0"/>
        <w:spacing w:line="360" w:lineRule="auto"/>
        <w:ind w:firstLine="360" w:firstLineChars="150"/>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r>
        <w:rPr>
          <w:rFonts w:hint="eastAsia" w:ascii="方正仿宋_GBK" w:hAnsi="宋体" w:eastAsia="方正仿宋_GBK"/>
          <w:color w:val="auto"/>
          <w:sz w:val="24"/>
          <w:szCs w:val="24"/>
        </w:rPr>
        <w:t>项目名称：</w:t>
      </w:r>
    </w:p>
    <w:tbl>
      <w:tblPr>
        <w:tblStyle w:val="15"/>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10"/>
        <w:gridCol w:w="3179"/>
        <w:gridCol w:w="2434"/>
        <w:gridCol w:w="2355"/>
      </w:tblGrid>
      <w:tr w14:paraId="6D01C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trPr>
        <w:tc>
          <w:tcPr>
            <w:tcW w:w="1510" w:type="dxa"/>
            <w:noWrap w:val="0"/>
            <w:vAlign w:val="center"/>
          </w:tcPr>
          <w:p w14:paraId="3146A72E">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序号</w:t>
            </w:r>
          </w:p>
        </w:tc>
        <w:tc>
          <w:tcPr>
            <w:tcW w:w="3179" w:type="dxa"/>
            <w:noWrap w:val="0"/>
            <w:vAlign w:val="center"/>
          </w:tcPr>
          <w:p w14:paraId="1F85A70B">
            <w:pPr>
              <w:tabs>
                <w:tab w:val="left" w:pos="6300"/>
              </w:tabs>
              <w:snapToGrid w:val="0"/>
              <w:spacing w:line="360" w:lineRule="auto"/>
              <w:jc w:val="center"/>
              <w:outlineLvl w:val="0"/>
              <w:rPr>
                <w:rFonts w:hint="eastAsia" w:ascii="仿宋" w:hAnsi="仿宋" w:eastAsia="仿宋" w:cs="仿宋"/>
                <w:color w:val="auto"/>
                <w:sz w:val="24"/>
                <w:szCs w:val="24"/>
              </w:rPr>
            </w:pP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项目商务需求</w:t>
            </w:r>
          </w:p>
        </w:tc>
        <w:tc>
          <w:tcPr>
            <w:tcW w:w="2434" w:type="dxa"/>
            <w:noWrap w:val="0"/>
            <w:vAlign w:val="center"/>
          </w:tcPr>
          <w:p w14:paraId="35C7223F">
            <w:pPr>
              <w:tabs>
                <w:tab w:val="left" w:pos="6300"/>
              </w:tabs>
              <w:snapToGrid w:val="0"/>
              <w:spacing w:line="360" w:lineRule="auto"/>
              <w:jc w:val="center"/>
              <w:outlineLvl w:val="0"/>
              <w:rPr>
                <w:rFonts w:hint="eastAsia" w:ascii="仿宋" w:hAnsi="仿宋" w:eastAsia="仿宋" w:cs="仿宋"/>
                <w:color w:val="auto"/>
                <w:sz w:val="24"/>
                <w:szCs w:val="24"/>
              </w:rPr>
            </w:pPr>
            <w:r>
              <w:rPr>
                <w:rFonts w:hint="eastAsia" w:ascii="仿宋" w:hAnsi="仿宋" w:eastAsia="仿宋" w:cs="仿宋"/>
                <w:color w:val="auto"/>
                <w:sz w:val="24"/>
                <w:szCs w:val="24"/>
              </w:rPr>
              <w:t>响应情况</w:t>
            </w:r>
          </w:p>
        </w:tc>
        <w:tc>
          <w:tcPr>
            <w:tcW w:w="2355" w:type="dxa"/>
            <w:noWrap w:val="0"/>
            <w:vAlign w:val="center"/>
          </w:tcPr>
          <w:p w14:paraId="0C5DB1D0">
            <w:pPr>
              <w:tabs>
                <w:tab w:val="left" w:pos="6300"/>
              </w:tabs>
              <w:snapToGrid w:val="0"/>
              <w:spacing w:line="360" w:lineRule="auto"/>
              <w:jc w:val="center"/>
              <w:outlineLvl w:val="0"/>
              <w:rPr>
                <w:rFonts w:hint="eastAsia" w:ascii="仿宋" w:hAnsi="仿宋" w:eastAsia="仿宋" w:cs="仿宋"/>
                <w:color w:val="auto"/>
                <w:sz w:val="24"/>
                <w:szCs w:val="24"/>
              </w:rPr>
            </w:pPr>
            <w:r>
              <w:rPr>
                <w:rFonts w:hint="eastAsia" w:ascii="仿宋" w:hAnsi="仿宋" w:eastAsia="仿宋" w:cs="仿宋"/>
                <w:color w:val="auto"/>
                <w:sz w:val="24"/>
                <w:szCs w:val="24"/>
              </w:rPr>
              <w:t>差异说明</w:t>
            </w:r>
          </w:p>
        </w:tc>
      </w:tr>
      <w:tr w14:paraId="78501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1510" w:type="dxa"/>
            <w:noWrap w:val="0"/>
            <w:vAlign w:val="center"/>
          </w:tcPr>
          <w:p w14:paraId="0C4A3CDF">
            <w:pPr>
              <w:tabs>
                <w:tab w:val="left" w:pos="6300"/>
              </w:tabs>
              <w:snapToGrid w:val="0"/>
              <w:spacing w:line="360" w:lineRule="auto"/>
              <w:jc w:val="center"/>
              <w:outlineLvl w:val="0"/>
              <w:rPr>
                <w:rFonts w:hint="eastAsia" w:ascii="仿宋" w:hAnsi="仿宋" w:eastAsia="仿宋" w:cs="仿宋"/>
                <w:color w:val="auto"/>
                <w:sz w:val="24"/>
                <w:szCs w:val="24"/>
              </w:rPr>
            </w:pPr>
          </w:p>
        </w:tc>
        <w:tc>
          <w:tcPr>
            <w:tcW w:w="3179" w:type="dxa"/>
            <w:noWrap w:val="0"/>
            <w:vAlign w:val="center"/>
          </w:tcPr>
          <w:p w14:paraId="3CE4B76C">
            <w:pPr>
              <w:tabs>
                <w:tab w:val="left" w:pos="6300"/>
              </w:tabs>
              <w:snapToGrid w:val="0"/>
              <w:spacing w:line="360" w:lineRule="auto"/>
              <w:jc w:val="center"/>
              <w:outlineLvl w:val="0"/>
              <w:rPr>
                <w:rFonts w:hint="eastAsia" w:ascii="仿宋" w:hAnsi="仿宋" w:eastAsia="仿宋" w:cs="仿宋"/>
                <w:color w:val="auto"/>
                <w:sz w:val="24"/>
                <w:szCs w:val="24"/>
              </w:rPr>
            </w:pPr>
          </w:p>
        </w:tc>
        <w:tc>
          <w:tcPr>
            <w:tcW w:w="2434" w:type="dxa"/>
            <w:noWrap w:val="0"/>
            <w:vAlign w:val="center"/>
          </w:tcPr>
          <w:p w14:paraId="73C6C3C4">
            <w:pPr>
              <w:tabs>
                <w:tab w:val="left" w:pos="6300"/>
              </w:tabs>
              <w:snapToGrid w:val="0"/>
              <w:spacing w:line="360" w:lineRule="auto"/>
              <w:jc w:val="center"/>
              <w:outlineLvl w:val="0"/>
              <w:rPr>
                <w:rFonts w:hint="eastAsia" w:ascii="仿宋" w:hAnsi="仿宋" w:eastAsia="仿宋" w:cs="仿宋"/>
                <w:color w:val="auto"/>
                <w:sz w:val="24"/>
                <w:szCs w:val="24"/>
              </w:rPr>
            </w:pPr>
          </w:p>
        </w:tc>
        <w:tc>
          <w:tcPr>
            <w:tcW w:w="2355" w:type="dxa"/>
            <w:noWrap w:val="0"/>
            <w:vAlign w:val="center"/>
          </w:tcPr>
          <w:p w14:paraId="0A09A70F">
            <w:pPr>
              <w:tabs>
                <w:tab w:val="left" w:pos="6300"/>
              </w:tabs>
              <w:snapToGrid w:val="0"/>
              <w:spacing w:line="360" w:lineRule="auto"/>
              <w:jc w:val="center"/>
              <w:outlineLvl w:val="0"/>
              <w:rPr>
                <w:rFonts w:hint="eastAsia" w:ascii="仿宋" w:hAnsi="仿宋" w:eastAsia="仿宋" w:cs="仿宋"/>
                <w:color w:val="auto"/>
                <w:sz w:val="24"/>
                <w:szCs w:val="24"/>
              </w:rPr>
            </w:pPr>
          </w:p>
        </w:tc>
      </w:tr>
      <w:tr w14:paraId="620B4E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1510" w:type="dxa"/>
            <w:noWrap w:val="0"/>
            <w:vAlign w:val="center"/>
          </w:tcPr>
          <w:p w14:paraId="03D0D597">
            <w:pPr>
              <w:tabs>
                <w:tab w:val="left" w:pos="6300"/>
              </w:tabs>
              <w:snapToGrid w:val="0"/>
              <w:spacing w:line="360" w:lineRule="auto"/>
              <w:jc w:val="center"/>
              <w:outlineLvl w:val="0"/>
              <w:rPr>
                <w:rFonts w:hint="eastAsia" w:ascii="仿宋" w:hAnsi="仿宋" w:eastAsia="仿宋" w:cs="仿宋"/>
                <w:color w:val="auto"/>
                <w:sz w:val="24"/>
                <w:szCs w:val="24"/>
              </w:rPr>
            </w:pPr>
          </w:p>
        </w:tc>
        <w:tc>
          <w:tcPr>
            <w:tcW w:w="3179" w:type="dxa"/>
            <w:noWrap w:val="0"/>
            <w:vAlign w:val="center"/>
          </w:tcPr>
          <w:p w14:paraId="59635684">
            <w:pPr>
              <w:tabs>
                <w:tab w:val="left" w:pos="6300"/>
              </w:tabs>
              <w:snapToGrid w:val="0"/>
              <w:spacing w:line="360" w:lineRule="auto"/>
              <w:jc w:val="center"/>
              <w:outlineLvl w:val="0"/>
              <w:rPr>
                <w:rFonts w:hint="eastAsia" w:ascii="仿宋" w:hAnsi="仿宋" w:eastAsia="仿宋" w:cs="仿宋"/>
                <w:color w:val="auto"/>
                <w:sz w:val="24"/>
                <w:szCs w:val="24"/>
              </w:rPr>
            </w:pPr>
          </w:p>
        </w:tc>
        <w:tc>
          <w:tcPr>
            <w:tcW w:w="2434" w:type="dxa"/>
            <w:noWrap w:val="0"/>
            <w:vAlign w:val="center"/>
          </w:tcPr>
          <w:p w14:paraId="0AFB6480">
            <w:pPr>
              <w:tabs>
                <w:tab w:val="left" w:pos="6300"/>
              </w:tabs>
              <w:snapToGrid w:val="0"/>
              <w:spacing w:line="360" w:lineRule="auto"/>
              <w:jc w:val="center"/>
              <w:outlineLvl w:val="0"/>
              <w:rPr>
                <w:rFonts w:hint="eastAsia" w:ascii="仿宋" w:hAnsi="仿宋" w:eastAsia="仿宋" w:cs="仿宋"/>
                <w:color w:val="auto"/>
                <w:sz w:val="24"/>
                <w:szCs w:val="24"/>
              </w:rPr>
            </w:pPr>
          </w:p>
        </w:tc>
        <w:tc>
          <w:tcPr>
            <w:tcW w:w="2355" w:type="dxa"/>
            <w:noWrap w:val="0"/>
            <w:vAlign w:val="center"/>
          </w:tcPr>
          <w:p w14:paraId="207CE5B4">
            <w:pPr>
              <w:tabs>
                <w:tab w:val="left" w:pos="6300"/>
              </w:tabs>
              <w:snapToGrid w:val="0"/>
              <w:spacing w:line="360" w:lineRule="auto"/>
              <w:jc w:val="center"/>
              <w:outlineLvl w:val="0"/>
              <w:rPr>
                <w:rFonts w:hint="eastAsia" w:ascii="仿宋" w:hAnsi="仿宋" w:eastAsia="仿宋" w:cs="仿宋"/>
                <w:color w:val="auto"/>
                <w:sz w:val="24"/>
                <w:szCs w:val="24"/>
              </w:rPr>
            </w:pPr>
          </w:p>
        </w:tc>
      </w:tr>
      <w:tr w14:paraId="3CD4A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1510" w:type="dxa"/>
            <w:noWrap w:val="0"/>
            <w:vAlign w:val="center"/>
          </w:tcPr>
          <w:p w14:paraId="3A5E393E">
            <w:pPr>
              <w:tabs>
                <w:tab w:val="left" w:pos="6300"/>
              </w:tabs>
              <w:snapToGrid w:val="0"/>
              <w:spacing w:line="360" w:lineRule="auto"/>
              <w:jc w:val="center"/>
              <w:outlineLvl w:val="0"/>
              <w:rPr>
                <w:rFonts w:hint="eastAsia" w:ascii="仿宋" w:hAnsi="仿宋" w:eastAsia="仿宋" w:cs="仿宋"/>
                <w:color w:val="auto"/>
                <w:sz w:val="24"/>
                <w:szCs w:val="24"/>
              </w:rPr>
            </w:pPr>
          </w:p>
        </w:tc>
        <w:tc>
          <w:tcPr>
            <w:tcW w:w="3179" w:type="dxa"/>
            <w:noWrap w:val="0"/>
            <w:vAlign w:val="center"/>
          </w:tcPr>
          <w:p w14:paraId="1C220AE7">
            <w:pPr>
              <w:tabs>
                <w:tab w:val="left" w:pos="6300"/>
              </w:tabs>
              <w:snapToGrid w:val="0"/>
              <w:spacing w:line="360" w:lineRule="auto"/>
              <w:jc w:val="center"/>
              <w:outlineLvl w:val="0"/>
              <w:rPr>
                <w:rFonts w:hint="eastAsia" w:ascii="仿宋" w:hAnsi="仿宋" w:eastAsia="仿宋" w:cs="仿宋"/>
                <w:color w:val="auto"/>
                <w:sz w:val="24"/>
                <w:szCs w:val="24"/>
              </w:rPr>
            </w:pPr>
          </w:p>
        </w:tc>
        <w:tc>
          <w:tcPr>
            <w:tcW w:w="2434" w:type="dxa"/>
            <w:noWrap w:val="0"/>
            <w:vAlign w:val="center"/>
          </w:tcPr>
          <w:p w14:paraId="4D696F7E">
            <w:pPr>
              <w:tabs>
                <w:tab w:val="left" w:pos="6300"/>
              </w:tabs>
              <w:snapToGrid w:val="0"/>
              <w:spacing w:line="360" w:lineRule="auto"/>
              <w:jc w:val="center"/>
              <w:outlineLvl w:val="0"/>
              <w:rPr>
                <w:rFonts w:hint="eastAsia" w:ascii="仿宋" w:hAnsi="仿宋" w:eastAsia="仿宋" w:cs="仿宋"/>
                <w:color w:val="auto"/>
                <w:sz w:val="24"/>
                <w:szCs w:val="24"/>
              </w:rPr>
            </w:pPr>
          </w:p>
        </w:tc>
        <w:tc>
          <w:tcPr>
            <w:tcW w:w="2355" w:type="dxa"/>
            <w:noWrap w:val="0"/>
            <w:vAlign w:val="center"/>
          </w:tcPr>
          <w:p w14:paraId="50F585DB">
            <w:pPr>
              <w:tabs>
                <w:tab w:val="left" w:pos="6300"/>
              </w:tabs>
              <w:snapToGrid w:val="0"/>
              <w:spacing w:line="360" w:lineRule="auto"/>
              <w:jc w:val="center"/>
              <w:outlineLvl w:val="0"/>
              <w:rPr>
                <w:rFonts w:hint="eastAsia" w:ascii="仿宋" w:hAnsi="仿宋" w:eastAsia="仿宋" w:cs="仿宋"/>
                <w:color w:val="auto"/>
                <w:sz w:val="24"/>
                <w:szCs w:val="24"/>
              </w:rPr>
            </w:pPr>
          </w:p>
        </w:tc>
      </w:tr>
      <w:tr w14:paraId="44A6A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1510" w:type="dxa"/>
            <w:noWrap w:val="0"/>
            <w:vAlign w:val="center"/>
          </w:tcPr>
          <w:p w14:paraId="235DE62A">
            <w:pPr>
              <w:tabs>
                <w:tab w:val="left" w:pos="6300"/>
              </w:tabs>
              <w:snapToGrid w:val="0"/>
              <w:spacing w:line="360" w:lineRule="auto"/>
              <w:jc w:val="center"/>
              <w:outlineLvl w:val="0"/>
              <w:rPr>
                <w:rFonts w:hint="eastAsia" w:ascii="仿宋" w:hAnsi="仿宋" w:eastAsia="仿宋" w:cs="仿宋"/>
                <w:color w:val="auto"/>
                <w:sz w:val="24"/>
                <w:szCs w:val="24"/>
              </w:rPr>
            </w:pPr>
          </w:p>
        </w:tc>
        <w:tc>
          <w:tcPr>
            <w:tcW w:w="3179" w:type="dxa"/>
            <w:noWrap w:val="0"/>
            <w:vAlign w:val="center"/>
          </w:tcPr>
          <w:p w14:paraId="1017FB5E">
            <w:pPr>
              <w:tabs>
                <w:tab w:val="left" w:pos="6300"/>
              </w:tabs>
              <w:snapToGrid w:val="0"/>
              <w:spacing w:line="360" w:lineRule="auto"/>
              <w:jc w:val="center"/>
              <w:outlineLvl w:val="0"/>
              <w:rPr>
                <w:rFonts w:hint="eastAsia" w:ascii="仿宋" w:hAnsi="仿宋" w:eastAsia="仿宋" w:cs="仿宋"/>
                <w:color w:val="auto"/>
                <w:sz w:val="24"/>
                <w:szCs w:val="24"/>
              </w:rPr>
            </w:pPr>
          </w:p>
        </w:tc>
        <w:tc>
          <w:tcPr>
            <w:tcW w:w="2434" w:type="dxa"/>
            <w:noWrap w:val="0"/>
            <w:vAlign w:val="center"/>
          </w:tcPr>
          <w:p w14:paraId="7BC02DBA">
            <w:pPr>
              <w:tabs>
                <w:tab w:val="left" w:pos="6300"/>
              </w:tabs>
              <w:snapToGrid w:val="0"/>
              <w:spacing w:line="360" w:lineRule="auto"/>
              <w:jc w:val="center"/>
              <w:outlineLvl w:val="0"/>
              <w:rPr>
                <w:rFonts w:hint="eastAsia" w:ascii="仿宋" w:hAnsi="仿宋" w:eastAsia="仿宋" w:cs="仿宋"/>
                <w:color w:val="auto"/>
                <w:sz w:val="24"/>
                <w:szCs w:val="24"/>
              </w:rPr>
            </w:pPr>
          </w:p>
        </w:tc>
        <w:tc>
          <w:tcPr>
            <w:tcW w:w="2355" w:type="dxa"/>
            <w:noWrap w:val="0"/>
            <w:vAlign w:val="center"/>
          </w:tcPr>
          <w:p w14:paraId="5F63409F">
            <w:pPr>
              <w:tabs>
                <w:tab w:val="left" w:pos="6300"/>
              </w:tabs>
              <w:snapToGrid w:val="0"/>
              <w:spacing w:line="360" w:lineRule="auto"/>
              <w:jc w:val="center"/>
              <w:outlineLvl w:val="0"/>
              <w:rPr>
                <w:rFonts w:hint="eastAsia" w:ascii="仿宋" w:hAnsi="仿宋" w:eastAsia="仿宋" w:cs="仿宋"/>
                <w:color w:val="auto"/>
                <w:sz w:val="24"/>
                <w:szCs w:val="24"/>
              </w:rPr>
            </w:pPr>
          </w:p>
        </w:tc>
      </w:tr>
      <w:tr w14:paraId="13DE5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1510" w:type="dxa"/>
            <w:noWrap w:val="0"/>
            <w:vAlign w:val="center"/>
          </w:tcPr>
          <w:p w14:paraId="5354A27B">
            <w:pPr>
              <w:tabs>
                <w:tab w:val="left" w:pos="6300"/>
              </w:tabs>
              <w:snapToGrid w:val="0"/>
              <w:spacing w:line="360" w:lineRule="auto"/>
              <w:jc w:val="center"/>
              <w:outlineLvl w:val="0"/>
              <w:rPr>
                <w:rFonts w:hint="eastAsia" w:ascii="仿宋" w:hAnsi="仿宋" w:eastAsia="仿宋" w:cs="仿宋"/>
                <w:color w:val="auto"/>
                <w:sz w:val="24"/>
                <w:szCs w:val="24"/>
              </w:rPr>
            </w:pPr>
          </w:p>
        </w:tc>
        <w:tc>
          <w:tcPr>
            <w:tcW w:w="3179" w:type="dxa"/>
            <w:noWrap w:val="0"/>
            <w:vAlign w:val="center"/>
          </w:tcPr>
          <w:p w14:paraId="4ED8A666">
            <w:pPr>
              <w:tabs>
                <w:tab w:val="left" w:pos="6300"/>
              </w:tabs>
              <w:snapToGrid w:val="0"/>
              <w:spacing w:line="360" w:lineRule="auto"/>
              <w:jc w:val="center"/>
              <w:outlineLvl w:val="0"/>
              <w:rPr>
                <w:rFonts w:hint="eastAsia" w:ascii="仿宋" w:hAnsi="仿宋" w:eastAsia="仿宋" w:cs="仿宋"/>
                <w:color w:val="auto"/>
                <w:sz w:val="24"/>
                <w:szCs w:val="24"/>
              </w:rPr>
            </w:pPr>
          </w:p>
        </w:tc>
        <w:tc>
          <w:tcPr>
            <w:tcW w:w="2434" w:type="dxa"/>
            <w:noWrap w:val="0"/>
            <w:vAlign w:val="center"/>
          </w:tcPr>
          <w:p w14:paraId="6A4E39E7">
            <w:pPr>
              <w:tabs>
                <w:tab w:val="left" w:pos="6300"/>
              </w:tabs>
              <w:snapToGrid w:val="0"/>
              <w:spacing w:line="360" w:lineRule="auto"/>
              <w:jc w:val="center"/>
              <w:outlineLvl w:val="0"/>
              <w:rPr>
                <w:rFonts w:hint="eastAsia" w:ascii="仿宋" w:hAnsi="仿宋" w:eastAsia="仿宋" w:cs="仿宋"/>
                <w:color w:val="auto"/>
                <w:sz w:val="24"/>
                <w:szCs w:val="24"/>
              </w:rPr>
            </w:pPr>
          </w:p>
        </w:tc>
        <w:tc>
          <w:tcPr>
            <w:tcW w:w="2355" w:type="dxa"/>
            <w:noWrap w:val="0"/>
            <w:vAlign w:val="center"/>
          </w:tcPr>
          <w:p w14:paraId="36FC655D">
            <w:pPr>
              <w:tabs>
                <w:tab w:val="left" w:pos="6300"/>
              </w:tabs>
              <w:snapToGrid w:val="0"/>
              <w:spacing w:line="360" w:lineRule="auto"/>
              <w:jc w:val="center"/>
              <w:outlineLvl w:val="0"/>
              <w:rPr>
                <w:rFonts w:hint="eastAsia" w:ascii="仿宋" w:hAnsi="仿宋" w:eastAsia="仿宋" w:cs="仿宋"/>
                <w:color w:val="auto"/>
                <w:sz w:val="24"/>
                <w:szCs w:val="24"/>
              </w:rPr>
            </w:pPr>
          </w:p>
        </w:tc>
      </w:tr>
      <w:tr w14:paraId="1AC77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1510" w:type="dxa"/>
            <w:noWrap w:val="0"/>
            <w:vAlign w:val="center"/>
          </w:tcPr>
          <w:p w14:paraId="49CDEC24">
            <w:pPr>
              <w:tabs>
                <w:tab w:val="left" w:pos="6300"/>
              </w:tabs>
              <w:snapToGrid w:val="0"/>
              <w:spacing w:line="360" w:lineRule="auto"/>
              <w:jc w:val="center"/>
              <w:outlineLvl w:val="0"/>
              <w:rPr>
                <w:rFonts w:hint="eastAsia" w:ascii="仿宋" w:hAnsi="仿宋" w:eastAsia="仿宋" w:cs="仿宋"/>
                <w:color w:val="auto"/>
                <w:sz w:val="24"/>
                <w:szCs w:val="24"/>
              </w:rPr>
            </w:pPr>
          </w:p>
        </w:tc>
        <w:tc>
          <w:tcPr>
            <w:tcW w:w="3179" w:type="dxa"/>
            <w:noWrap w:val="0"/>
            <w:vAlign w:val="center"/>
          </w:tcPr>
          <w:p w14:paraId="4681919E">
            <w:pPr>
              <w:tabs>
                <w:tab w:val="left" w:pos="6300"/>
              </w:tabs>
              <w:snapToGrid w:val="0"/>
              <w:spacing w:line="360" w:lineRule="auto"/>
              <w:jc w:val="center"/>
              <w:outlineLvl w:val="0"/>
              <w:rPr>
                <w:rFonts w:hint="eastAsia" w:ascii="仿宋" w:hAnsi="仿宋" w:eastAsia="仿宋" w:cs="仿宋"/>
                <w:color w:val="auto"/>
                <w:sz w:val="24"/>
                <w:szCs w:val="24"/>
              </w:rPr>
            </w:pPr>
          </w:p>
        </w:tc>
        <w:tc>
          <w:tcPr>
            <w:tcW w:w="2434" w:type="dxa"/>
            <w:noWrap w:val="0"/>
            <w:vAlign w:val="center"/>
          </w:tcPr>
          <w:p w14:paraId="0B2C15FF">
            <w:pPr>
              <w:tabs>
                <w:tab w:val="left" w:pos="6300"/>
              </w:tabs>
              <w:snapToGrid w:val="0"/>
              <w:spacing w:line="360" w:lineRule="auto"/>
              <w:jc w:val="center"/>
              <w:outlineLvl w:val="0"/>
              <w:rPr>
                <w:rFonts w:hint="eastAsia" w:ascii="仿宋" w:hAnsi="仿宋" w:eastAsia="仿宋" w:cs="仿宋"/>
                <w:color w:val="auto"/>
                <w:sz w:val="24"/>
                <w:szCs w:val="24"/>
              </w:rPr>
            </w:pPr>
          </w:p>
        </w:tc>
        <w:tc>
          <w:tcPr>
            <w:tcW w:w="2355" w:type="dxa"/>
            <w:noWrap w:val="0"/>
            <w:vAlign w:val="center"/>
          </w:tcPr>
          <w:p w14:paraId="3F52823D">
            <w:pPr>
              <w:tabs>
                <w:tab w:val="left" w:pos="6300"/>
              </w:tabs>
              <w:snapToGrid w:val="0"/>
              <w:spacing w:line="360" w:lineRule="auto"/>
              <w:jc w:val="center"/>
              <w:outlineLvl w:val="0"/>
              <w:rPr>
                <w:rFonts w:hint="eastAsia" w:ascii="仿宋" w:hAnsi="仿宋" w:eastAsia="仿宋" w:cs="仿宋"/>
                <w:color w:val="auto"/>
                <w:sz w:val="24"/>
                <w:szCs w:val="24"/>
              </w:rPr>
            </w:pPr>
          </w:p>
        </w:tc>
      </w:tr>
    </w:tbl>
    <w:p w14:paraId="5FD5A593">
      <w:pPr>
        <w:snapToGrid w:val="0"/>
        <w:spacing w:line="360" w:lineRule="auto"/>
        <w:ind w:firstLine="465"/>
        <w:rPr>
          <w:rFonts w:hint="eastAsia" w:ascii="仿宋" w:hAnsi="仿宋" w:eastAsia="仿宋" w:cs="仿宋"/>
          <w:color w:val="auto"/>
          <w:sz w:val="24"/>
          <w:szCs w:val="24"/>
        </w:rPr>
      </w:pPr>
    </w:p>
    <w:p w14:paraId="4D909C8C">
      <w:pPr>
        <w:spacing w:line="360" w:lineRule="auto"/>
        <w:ind w:firstLine="600" w:firstLineChars="250"/>
        <w:rPr>
          <w:rFonts w:hint="eastAsia" w:ascii="仿宋" w:hAnsi="仿宋" w:eastAsia="仿宋" w:cs="仿宋"/>
          <w:color w:val="auto"/>
          <w:sz w:val="24"/>
          <w:szCs w:val="24"/>
        </w:rPr>
      </w:pPr>
      <w:r>
        <w:rPr>
          <w:rFonts w:hint="eastAsia" w:ascii="仿宋" w:hAnsi="仿宋" w:eastAsia="仿宋" w:cs="仿宋"/>
          <w:color w:val="auto"/>
          <w:sz w:val="24"/>
          <w:szCs w:val="24"/>
        </w:rPr>
        <w:t>供应商：                                      法定代表人授权代表：</w:t>
      </w:r>
    </w:p>
    <w:p w14:paraId="473BCD93">
      <w:pPr>
        <w:spacing w:line="360" w:lineRule="auto"/>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p>
    <w:p w14:paraId="21D6603D">
      <w:pPr>
        <w:spacing w:line="360" w:lineRule="auto"/>
        <w:ind w:firstLine="360" w:firstLineChars="150"/>
        <w:rPr>
          <w:rFonts w:hint="eastAsia" w:ascii="仿宋" w:hAnsi="仿宋" w:eastAsia="仿宋" w:cs="仿宋"/>
          <w:color w:val="auto"/>
          <w:sz w:val="24"/>
          <w:szCs w:val="24"/>
        </w:rPr>
      </w:pPr>
      <w:r>
        <w:rPr>
          <w:rFonts w:hint="eastAsia" w:ascii="仿宋" w:hAnsi="仿宋" w:eastAsia="仿宋" w:cs="仿宋"/>
          <w:color w:val="auto"/>
          <w:sz w:val="24"/>
          <w:szCs w:val="24"/>
        </w:rPr>
        <w:t>（供应商公章）                                 （签字或盖章）</w:t>
      </w:r>
    </w:p>
    <w:p w14:paraId="4E5D7D3F">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 xml:space="preserve">                                            年     月     日</w:t>
      </w:r>
    </w:p>
    <w:p w14:paraId="06C76238">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注：</w:t>
      </w:r>
    </w:p>
    <w:p w14:paraId="6279F6FB">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1.本表即为对本项目“第三篇 项目商务需求”中所列服务要求进行比较和响应；</w:t>
      </w:r>
    </w:p>
    <w:p w14:paraId="3807314D">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2.该表必须按照</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要求逐条如实填写，根据响应情况在“差异说明”项填写正偏离或负偏离及原因，完全符合的填写“无</w:t>
      </w:r>
      <w:r>
        <w:rPr>
          <w:rFonts w:hint="eastAsia" w:ascii="仿宋" w:hAnsi="仿宋" w:eastAsia="仿宋" w:cs="仿宋"/>
          <w:color w:val="auto"/>
          <w:sz w:val="24"/>
          <w:szCs w:val="24"/>
          <w:lang w:eastAsia="zh-CN"/>
        </w:rPr>
        <w:t>偏离</w:t>
      </w:r>
      <w:r>
        <w:rPr>
          <w:rFonts w:hint="eastAsia" w:ascii="仿宋" w:hAnsi="仿宋" w:eastAsia="仿宋" w:cs="仿宋"/>
          <w:color w:val="auto"/>
          <w:sz w:val="24"/>
          <w:szCs w:val="24"/>
        </w:rPr>
        <w:t>”；</w:t>
      </w:r>
    </w:p>
    <w:p w14:paraId="042A56D0">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3.该表可扩展，并逐页签字或盖章。</w:t>
      </w:r>
    </w:p>
    <w:p w14:paraId="06FCD7A3">
      <w:pPr>
        <w:snapToGrid w:val="0"/>
        <w:spacing w:line="360" w:lineRule="auto"/>
        <w:ind w:firstLine="480" w:firstLineChars="200"/>
        <w:rPr>
          <w:rFonts w:hint="eastAsia" w:ascii="仿宋" w:hAnsi="仿宋" w:eastAsia="仿宋" w:cs="仿宋"/>
          <w:color w:val="auto"/>
          <w:sz w:val="24"/>
          <w:szCs w:val="24"/>
        </w:rPr>
      </w:pPr>
    </w:p>
    <w:p w14:paraId="797263AD">
      <w:pPr>
        <w:snapToGrid w:val="0"/>
        <w:spacing w:line="360" w:lineRule="auto"/>
        <w:ind w:firstLine="480" w:firstLineChars="200"/>
        <w:rPr>
          <w:rFonts w:hint="eastAsia" w:ascii="仿宋" w:hAnsi="仿宋" w:eastAsia="仿宋" w:cs="仿宋"/>
          <w:color w:val="auto"/>
          <w:sz w:val="24"/>
          <w:szCs w:val="24"/>
        </w:rPr>
      </w:pPr>
    </w:p>
    <w:p w14:paraId="42F7D574">
      <w:pPr>
        <w:snapToGrid w:val="0"/>
        <w:spacing w:line="360" w:lineRule="auto"/>
        <w:ind w:firstLine="480" w:firstLineChars="200"/>
        <w:rPr>
          <w:rFonts w:hint="eastAsia" w:ascii="仿宋" w:hAnsi="仿宋" w:eastAsia="仿宋" w:cs="仿宋"/>
          <w:color w:val="auto"/>
          <w:sz w:val="24"/>
          <w:szCs w:val="24"/>
        </w:rPr>
      </w:pPr>
    </w:p>
    <w:p w14:paraId="13101D7E">
      <w:pPr>
        <w:snapToGrid w:val="0"/>
        <w:spacing w:line="360" w:lineRule="auto"/>
        <w:ind w:firstLine="480" w:firstLineChars="200"/>
        <w:rPr>
          <w:rFonts w:hint="eastAsia" w:ascii="仿宋" w:hAnsi="仿宋" w:eastAsia="仿宋" w:cs="仿宋"/>
          <w:color w:val="auto"/>
          <w:sz w:val="24"/>
          <w:szCs w:val="24"/>
        </w:rPr>
      </w:pPr>
    </w:p>
    <w:p w14:paraId="2AB7FA53">
      <w:pPr>
        <w:snapToGrid w:val="0"/>
        <w:spacing w:line="360" w:lineRule="auto"/>
        <w:ind w:firstLine="480" w:firstLineChars="200"/>
        <w:rPr>
          <w:rFonts w:hint="eastAsia" w:ascii="仿宋" w:hAnsi="仿宋" w:eastAsia="仿宋" w:cs="仿宋"/>
          <w:color w:val="auto"/>
          <w:sz w:val="24"/>
          <w:szCs w:val="24"/>
        </w:rPr>
      </w:pPr>
    </w:p>
    <w:p w14:paraId="73651F46">
      <w:pPr>
        <w:snapToGrid w:val="0"/>
        <w:spacing w:line="360" w:lineRule="auto"/>
        <w:ind w:firstLine="480" w:firstLineChars="200"/>
        <w:rPr>
          <w:rFonts w:hint="eastAsia" w:ascii="仿宋" w:hAnsi="仿宋" w:eastAsia="仿宋" w:cs="仿宋"/>
          <w:color w:val="auto"/>
          <w:sz w:val="24"/>
          <w:szCs w:val="24"/>
        </w:rPr>
      </w:pPr>
    </w:p>
    <w:p w14:paraId="4990D213">
      <w:pPr>
        <w:snapToGrid w:val="0"/>
        <w:spacing w:line="360" w:lineRule="auto"/>
        <w:ind w:firstLine="480" w:firstLineChars="200"/>
        <w:rPr>
          <w:rFonts w:hint="eastAsia" w:ascii="仿宋" w:hAnsi="仿宋" w:eastAsia="仿宋" w:cs="仿宋"/>
          <w:b/>
          <w:color w:val="auto"/>
        </w:rPr>
        <w:sectPr>
          <w:headerReference r:id="rId11" w:type="default"/>
          <w:pgSz w:w="11907" w:h="16840"/>
          <w:pgMar w:top="1134" w:right="1191" w:bottom="1134" w:left="1304" w:header="851" w:footer="992" w:gutter="0"/>
          <w:pgNumType w:fmt="numberInDash"/>
          <w:cols w:space="720" w:num="1"/>
          <w:docGrid w:linePitch="380" w:charSpace="-5735"/>
        </w:sectPr>
      </w:pP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二</w:t>
      </w:r>
      <w:r>
        <w:rPr>
          <w:rFonts w:hint="eastAsia" w:ascii="仿宋" w:hAnsi="仿宋" w:eastAsia="仿宋" w:cs="仿宋"/>
          <w:color w:val="auto"/>
          <w:sz w:val="24"/>
          <w:szCs w:val="24"/>
        </w:rPr>
        <w:t>）</w:t>
      </w:r>
      <w:r>
        <w:rPr>
          <w:rFonts w:hint="eastAsia" w:ascii="仿宋" w:hAnsi="仿宋" w:eastAsia="仿宋" w:cs="仿宋"/>
          <w:color w:val="auto"/>
          <w:sz w:val="24"/>
          <w:szCs w:val="24"/>
          <w:highlight w:val="none"/>
        </w:rPr>
        <w:t>其它资料（格式自定）</w:t>
      </w:r>
    </w:p>
    <w:p w14:paraId="1321CFF4">
      <w:pPr>
        <w:pStyle w:val="4"/>
        <w:spacing w:before="0" w:after="0" w:line="360" w:lineRule="auto"/>
        <w:rPr>
          <w:rFonts w:hint="eastAsia" w:ascii="仿宋" w:hAnsi="仿宋" w:eastAsia="仿宋" w:cs="仿宋"/>
          <w:color w:val="auto"/>
          <w:sz w:val="24"/>
          <w:szCs w:val="24"/>
        </w:rPr>
      </w:pPr>
      <w:bookmarkStart w:id="180" w:name="_Toc24792"/>
      <w:bookmarkStart w:id="181" w:name="_Toc313008359"/>
      <w:bookmarkStart w:id="182" w:name="_Toc342913422"/>
      <w:bookmarkStart w:id="183" w:name="_Toc313888363"/>
      <w:r>
        <w:rPr>
          <w:rFonts w:hint="eastAsia" w:ascii="仿宋" w:hAnsi="仿宋" w:eastAsia="仿宋" w:cs="仿宋"/>
          <w:color w:val="auto"/>
          <w:sz w:val="24"/>
          <w:szCs w:val="24"/>
        </w:rPr>
        <w:t>四、资格条件及其他</w:t>
      </w:r>
      <w:bookmarkEnd w:id="180"/>
      <w:bookmarkEnd w:id="181"/>
      <w:bookmarkEnd w:id="182"/>
      <w:bookmarkEnd w:id="183"/>
    </w:p>
    <w:p w14:paraId="5B157A4C">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（一）</w:t>
      </w:r>
      <w:r>
        <w:rPr>
          <w:rFonts w:hint="eastAsia" w:ascii="仿宋" w:hAnsi="仿宋" w:eastAsia="仿宋" w:cs="仿宋"/>
          <w:color w:val="auto"/>
          <w:sz w:val="24"/>
          <w:highlight w:val="none"/>
        </w:rPr>
        <w:t>法人营业执照（副本）或事业单位法人证书（副本）或个体工商户营业执照或有效的自然人身份证明或社会团体法人登记证书复印件</w:t>
      </w:r>
    </w:p>
    <w:p w14:paraId="5172597E">
      <w:pPr>
        <w:tabs>
          <w:tab w:val="left" w:pos="6300"/>
        </w:tabs>
        <w:snapToGrid w:val="0"/>
        <w:spacing w:line="360" w:lineRule="auto"/>
        <w:ind w:firstLine="570"/>
        <w:rPr>
          <w:rFonts w:hint="eastAsia" w:ascii="仿宋" w:hAnsi="仿宋" w:eastAsia="仿宋" w:cs="仿宋"/>
          <w:color w:val="auto"/>
        </w:rPr>
      </w:pPr>
    </w:p>
    <w:p w14:paraId="6513B19F">
      <w:pPr>
        <w:tabs>
          <w:tab w:val="left" w:pos="6300"/>
        </w:tabs>
        <w:snapToGrid w:val="0"/>
        <w:spacing w:line="360" w:lineRule="auto"/>
        <w:ind w:firstLine="570"/>
        <w:rPr>
          <w:rFonts w:hint="eastAsia" w:ascii="仿宋" w:hAnsi="仿宋" w:eastAsia="仿宋" w:cs="仿宋"/>
          <w:color w:val="auto"/>
        </w:rPr>
      </w:pPr>
    </w:p>
    <w:p w14:paraId="2DCE965C">
      <w:pPr>
        <w:tabs>
          <w:tab w:val="left" w:pos="6300"/>
        </w:tabs>
        <w:snapToGrid w:val="0"/>
        <w:spacing w:line="360" w:lineRule="auto"/>
        <w:ind w:firstLine="570"/>
        <w:rPr>
          <w:rFonts w:hint="eastAsia" w:ascii="仿宋" w:hAnsi="仿宋" w:eastAsia="仿宋" w:cs="仿宋"/>
          <w:color w:val="auto"/>
        </w:rPr>
      </w:pPr>
    </w:p>
    <w:p w14:paraId="709FCDB3">
      <w:pPr>
        <w:widowControl/>
        <w:spacing w:line="360" w:lineRule="auto"/>
        <w:ind w:firstLine="420" w:firstLineChars="200"/>
        <w:jc w:val="left"/>
        <w:rPr>
          <w:rFonts w:hint="eastAsia" w:ascii="仿宋" w:hAnsi="仿宋" w:eastAsia="仿宋" w:cs="仿宋"/>
          <w:color w:val="auto"/>
          <w:sz w:val="24"/>
          <w:szCs w:val="24"/>
        </w:rPr>
      </w:pPr>
      <w:r>
        <w:rPr>
          <w:rFonts w:hint="eastAsia" w:ascii="仿宋" w:hAnsi="仿宋" w:eastAsia="仿宋" w:cs="仿宋"/>
          <w:color w:val="auto"/>
        </w:rPr>
        <w:br w:type="page"/>
      </w: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二</w:t>
      </w:r>
      <w:r>
        <w:rPr>
          <w:rFonts w:hint="eastAsia" w:ascii="仿宋" w:hAnsi="仿宋" w:eastAsia="仿宋" w:cs="仿宋"/>
          <w:color w:val="auto"/>
          <w:sz w:val="24"/>
          <w:szCs w:val="24"/>
        </w:rPr>
        <w:t>）法定代表人身份证明书（格式）</w:t>
      </w:r>
    </w:p>
    <w:p w14:paraId="7C579948">
      <w:pPr>
        <w:tabs>
          <w:tab w:val="left" w:pos="6300"/>
        </w:tabs>
        <w:snapToGrid w:val="0"/>
        <w:spacing w:line="360" w:lineRule="auto"/>
        <w:ind w:firstLine="570"/>
        <w:rPr>
          <w:rFonts w:hint="eastAsia" w:ascii="仿宋" w:hAnsi="仿宋" w:eastAsia="仿宋" w:cs="仿宋"/>
          <w:color w:val="auto"/>
          <w:sz w:val="24"/>
          <w:szCs w:val="24"/>
        </w:rPr>
      </w:pPr>
    </w:p>
    <w:p w14:paraId="1D12E0FD">
      <w:pPr>
        <w:tabs>
          <w:tab w:val="left" w:pos="6300"/>
        </w:tabs>
        <w:snapToGrid w:val="0"/>
        <w:spacing w:line="360" w:lineRule="auto"/>
        <w:ind w:firstLine="570"/>
        <w:rPr>
          <w:rFonts w:hint="eastAsia" w:ascii="仿宋" w:hAnsi="仿宋" w:eastAsia="仿宋" w:cs="仿宋"/>
          <w:color w:val="auto"/>
          <w:sz w:val="24"/>
          <w:szCs w:val="24"/>
        </w:rPr>
      </w:pPr>
      <w:r>
        <w:rPr>
          <w:rFonts w:hint="eastAsia" w:ascii="方正仿宋_GBK" w:hAnsi="宋体" w:eastAsia="方正仿宋_GBK"/>
          <w:color w:val="auto"/>
          <w:sz w:val="24"/>
          <w:szCs w:val="24"/>
          <w:lang w:eastAsia="zh-CN"/>
        </w:rPr>
        <w:t>项目名称</w:t>
      </w:r>
      <w:r>
        <w:rPr>
          <w:rFonts w:hint="eastAsia" w:ascii="方正仿宋_GBK" w:hAnsi="宋体" w:eastAsia="方正仿宋_GBK"/>
          <w:color w:val="auto"/>
          <w:sz w:val="24"/>
          <w:szCs w:val="24"/>
        </w:rPr>
        <w:t>：</w:t>
      </w:r>
      <w:r>
        <w:rPr>
          <w:rFonts w:hint="eastAsia" w:ascii="仿宋" w:hAnsi="仿宋" w:eastAsia="仿宋" w:cs="仿宋"/>
          <w:color w:val="auto"/>
          <w:sz w:val="24"/>
          <w:szCs w:val="24"/>
          <w:u w:val="single"/>
        </w:rPr>
        <w:t xml:space="preserve">                                                </w:t>
      </w:r>
    </w:p>
    <w:p w14:paraId="4EF41026">
      <w:pPr>
        <w:tabs>
          <w:tab w:val="left" w:pos="6300"/>
        </w:tabs>
        <w:snapToGrid w:val="0"/>
        <w:spacing w:line="360" w:lineRule="auto"/>
        <w:ind w:firstLine="570"/>
        <w:rPr>
          <w:rFonts w:hint="eastAsia" w:ascii="仿宋" w:hAnsi="仿宋" w:eastAsia="仿宋" w:cs="仿宋"/>
          <w:color w:val="auto"/>
          <w:sz w:val="24"/>
          <w:szCs w:val="24"/>
        </w:rPr>
      </w:pPr>
    </w:p>
    <w:p w14:paraId="3D7959DA">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致：</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（采购人名称）：</w:t>
      </w:r>
    </w:p>
    <w:p w14:paraId="0A8F5741">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（法定代表人姓名）在</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（供应商名称）任</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（职务名称）职务，是（供应商名称）</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的法定代表人。</w:t>
      </w:r>
    </w:p>
    <w:p w14:paraId="63EFDA13">
      <w:pPr>
        <w:tabs>
          <w:tab w:val="left" w:pos="6300"/>
        </w:tabs>
        <w:snapToGrid w:val="0"/>
        <w:spacing w:line="360" w:lineRule="auto"/>
        <w:ind w:firstLine="570"/>
        <w:rPr>
          <w:rFonts w:hint="eastAsia" w:ascii="仿宋" w:hAnsi="仿宋" w:eastAsia="仿宋" w:cs="仿宋"/>
          <w:color w:val="auto"/>
          <w:sz w:val="24"/>
          <w:szCs w:val="24"/>
        </w:rPr>
      </w:pPr>
    </w:p>
    <w:p w14:paraId="06D6C073">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特此证明。</w:t>
      </w:r>
    </w:p>
    <w:p w14:paraId="671E97FD">
      <w:pPr>
        <w:tabs>
          <w:tab w:val="left" w:pos="6300"/>
        </w:tabs>
        <w:snapToGrid w:val="0"/>
        <w:spacing w:line="360" w:lineRule="auto"/>
        <w:ind w:firstLine="570"/>
        <w:rPr>
          <w:rFonts w:hint="eastAsia" w:ascii="仿宋" w:hAnsi="仿宋" w:eastAsia="仿宋" w:cs="仿宋"/>
          <w:color w:val="auto"/>
          <w:sz w:val="24"/>
          <w:szCs w:val="24"/>
        </w:rPr>
      </w:pPr>
    </w:p>
    <w:p w14:paraId="38136DF2">
      <w:pPr>
        <w:tabs>
          <w:tab w:val="left" w:pos="6300"/>
        </w:tabs>
        <w:snapToGrid w:val="0"/>
        <w:spacing w:line="360" w:lineRule="auto"/>
        <w:ind w:firstLine="570"/>
        <w:rPr>
          <w:rFonts w:hint="eastAsia" w:ascii="仿宋" w:hAnsi="仿宋" w:eastAsia="仿宋" w:cs="仿宋"/>
          <w:color w:val="auto"/>
          <w:sz w:val="24"/>
          <w:szCs w:val="24"/>
        </w:rPr>
      </w:pPr>
    </w:p>
    <w:p w14:paraId="3B85B7A5">
      <w:pPr>
        <w:tabs>
          <w:tab w:val="left" w:pos="6300"/>
        </w:tabs>
        <w:snapToGrid w:val="0"/>
        <w:spacing w:line="360" w:lineRule="auto"/>
        <w:ind w:firstLine="570"/>
        <w:rPr>
          <w:rFonts w:hint="eastAsia" w:ascii="仿宋" w:hAnsi="仿宋" w:eastAsia="仿宋" w:cs="仿宋"/>
          <w:color w:val="auto"/>
          <w:sz w:val="24"/>
          <w:szCs w:val="24"/>
        </w:rPr>
      </w:pPr>
    </w:p>
    <w:p w14:paraId="0EBB5548">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 xml:space="preserve">                                             （供应商公章）</w:t>
      </w:r>
    </w:p>
    <w:p w14:paraId="08A27100">
      <w:pPr>
        <w:tabs>
          <w:tab w:val="left" w:pos="6300"/>
        </w:tabs>
        <w:snapToGrid w:val="0"/>
        <w:spacing w:line="360" w:lineRule="auto"/>
        <w:ind w:firstLine="570"/>
        <w:rPr>
          <w:rFonts w:hint="eastAsia" w:ascii="仿宋" w:hAnsi="仿宋" w:eastAsia="仿宋" w:cs="仿宋"/>
          <w:color w:val="auto"/>
          <w:sz w:val="24"/>
          <w:szCs w:val="24"/>
        </w:rPr>
      </w:pPr>
    </w:p>
    <w:p w14:paraId="0FF213EB">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 xml:space="preserve">                                             年   月   日</w:t>
      </w:r>
    </w:p>
    <w:p w14:paraId="20F863AB">
      <w:pPr>
        <w:tabs>
          <w:tab w:val="left" w:pos="6300"/>
        </w:tabs>
        <w:snapToGrid w:val="0"/>
        <w:spacing w:line="360" w:lineRule="auto"/>
        <w:ind w:firstLine="570"/>
        <w:rPr>
          <w:rFonts w:hint="eastAsia" w:ascii="仿宋" w:hAnsi="仿宋" w:eastAsia="仿宋" w:cs="仿宋"/>
          <w:color w:val="auto"/>
          <w:sz w:val="24"/>
          <w:szCs w:val="24"/>
        </w:rPr>
      </w:pPr>
    </w:p>
    <w:p w14:paraId="3B5FA57A">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（附：法定代表人身份证正反面复印件）</w:t>
      </w:r>
    </w:p>
    <w:p w14:paraId="02DE7DA0">
      <w:pPr>
        <w:tabs>
          <w:tab w:val="left" w:pos="6300"/>
        </w:tabs>
        <w:snapToGrid w:val="0"/>
        <w:spacing w:line="360" w:lineRule="auto"/>
        <w:ind w:firstLine="570"/>
        <w:rPr>
          <w:rFonts w:hint="eastAsia" w:ascii="仿宋" w:hAnsi="仿宋" w:eastAsia="仿宋" w:cs="仿宋"/>
          <w:color w:val="auto"/>
          <w:sz w:val="24"/>
        </w:rPr>
      </w:pPr>
    </w:p>
    <w:p w14:paraId="4866ACBE">
      <w:pPr>
        <w:tabs>
          <w:tab w:val="left" w:pos="6300"/>
        </w:tabs>
        <w:snapToGrid w:val="0"/>
        <w:spacing w:line="360" w:lineRule="auto"/>
        <w:ind w:firstLine="570"/>
        <w:rPr>
          <w:rFonts w:hint="eastAsia" w:ascii="仿宋" w:hAnsi="仿宋" w:eastAsia="仿宋" w:cs="仿宋"/>
          <w:color w:val="auto"/>
          <w:sz w:val="24"/>
        </w:rPr>
      </w:pPr>
    </w:p>
    <w:p w14:paraId="781870E4">
      <w:pPr>
        <w:tabs>
          <w:tab w:val="left" w:pos="6300"/>
        </w:tabs>
        <w:snapToGrid w:val="0"/>
        <w:spacing w:line="360" w:lineRule="auto"/>
        <w:ind w:firstLine="570"/>
        <w:rPr>
          <w:rFonts w:hint="eastAsia" w:ascii="仿宋" w:hAnsi="仿宋" w:eastAsia="仿宋" w:cs="仿宋"/>
          <w:color w:val="auto"/>
          <w:sz w:val="24"/>
        </w:rPr>
      </w:pPr>
    </w:p>
    <w:p w14:paraId="2EDF93C8">
      <w:pPr>
        <w:tabs>
          <w:tab w:val="left" w:pos="6300"/>
        </w:tabs>
        <w:snapToGrid w:val="0"/>
        <w:spacing w:line="360" w:lineRule="auto"/>
        <w:ind w:firstLine="570"/>
        <w:rPr>
          <w:rFonts w:hint="eastAsia" w:ascii="仿宋" w:hAnsi="仿宋" w:eastAsia="仿宋" w:cs="仿宋"/>
          <w:color w:val="auto"/>
          <w:sz w:val="24"/>
        </w:rPr>
      </w:pPr>
    </w:p>
    <w:p w14:paraId="62618B83">
      <w:pPr>
        <w:tabs>
          <w:tab w:val="left" w:pos="6300"/>
        </w:tabs>
        <w:snapToGrid w:val="0"/>
        <w:spacing w:line="360" w:lineRule="auto"/>
        <w:ind w:firstLine="570"/>
        <w:rPr>
          <w:rFonts w:hint="eastAsia" w:ascii="仿宋" w:hAnsi="仿宋" w:eastAsia="仿宋" w:cs="仿宋"/>
          <w:color w:val="auto"/>
          <w:sz w:val="24"/>
        </w:rPr>
      </w:pPr>
    </w:p>
    <w:p w14:paraId="6516A4EA">
      <w:pPr>
        <w:tabs>
          <w:tab w:val="left" w:pos="6300"/>
        </w:tabs>
        <w:snapToGrid w:val="0"/>
        <w:spacing w:line="360" w:lineRule="auto"/>
        <w:ind w:firstLine="570"/>
        <w:rPr>
          <w:rFonts w:hint="eastAsia" w:ascii="仿宋" w:hAnsi="仿宋" w:eastAsia="仿宋" w:cs="仿宋"/>
          <w:color w:val="auto"/>
          <w:sz w:val="24"/>
        </w:rPr>
      </w:pPr>
    </w:p>
    <w:p w14:paraId="64A938A3">
      <w:pPr>
        <w:tabs>
          <w:tab w:val="left" w:pos="6300"/>
        </w:tabs>
        <w:snapToGrid w:val="0"/>
        <w:spacing w:line="360" w:lineRule="auto"/>
        <w:ind w:firstLine="570"/>
        <w:rPr>
          <w:rFonts w:hint="eastAsia" w:ascii="仿宋" w:hAnsi="仿宋" w:eastAsia="仿宋" w:cs="仿宋"/>
          <w:color w:val="auto"/>
        </w:rPr>
      </w:pPr>
      <w:r>
        <w:rPr>
          <w:rFonts w:hint="eastAsia" w:ascii="仿宋" w:hAnsi="仿宋" w:eastAsia="仿宋" w:cs="仿宋"/>
          <w:color w:val="auto"/>
        </w:rPr>
        <w:br w:type="column"/>
      </w: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三</w:t>
      </w:r>
      <w:r>
        <w:rPr>
          <w:rFonts w:hint="eastAsia" w:ascii="仿宋" w:hAnsi="仿宋" w:eastAsia="仿宋" w:cs="仿宋"/>
          <w:color w:val="auto"/>
          <w:sz w:val="24"/>
          <w:szCs w:val="24"/>
        </w:rPr>
        <w:t>）法定代表人授权委托书（格式）</w:t>
      </w:r>
    </w:p>
    <w:p w14:paraId="05A5C8BE">
      <w:pPr>
        <w:tabs>
          <w:tab w:val="left" w:pos="6300"/>
        </w:tabs>
        <w:snapToGrid w:val="0"/>
        <w:spacing w:line="360" w:lineRule="auto"/>
        <w:ind w:firstLine="570"/>
        <w:rPr>
          <w:rFonts w:hint="eastAsia" w:ascii="仿宋" w:hAnsi="仿宋" w:eastAsia="仿宋" w:cs="仿宋"/>
          <w:color w:val="auto"/>
          <w:sz w:val="24"/>
        </w:rPr>
      </w:pPr>
      <w:r>
        <w:rPr>
          <w:rFonts w:hint="eastAsia" w:ascii="仿宋" w:hAnsi="仿宋" w:eastAsia="仿宋" w:cs="仿宋"/>
          <w:color w:val="auto"/>
          <w:sz w:val="24"/>
        </w:rPr>
        <w:t xml:space="preserve">    </w:t>
      </w:r>
    </w:p>
    <w:p w14:paraId="0D17ECE2">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方正仿宋_GBK" w:hAnsi="宋体" w:eastAsia="方正仿宋_GBK"/>
          <w:color w:val="auto"/>
          <w:sz w:val="24"/>
          <w:szCs w:val="24"/>
          <w:lang w:eastAsia="zh-CN"/>
        </w:rPr>
        <w:t>项目名称</w:t>
      </w:r>
      <w:r>
        <w:rPr>
          <w:rFonts w:hint="eastAsia" w:ascii="方正仿宋_GBK" w:hAnsi="宋体" w:eastAsia="方正仿宋_GBK"/>
          <w:color w:val="auto"/>
          <w:sz w:val="24"/>
          <w:szCs w:val="24"/>
        </w:rPr>
        <w:t>：</w:t>
      </w:r>
      <w:r>
        <w:rPr>
          <w:rFonts w:hint="eastAsia" w:ascii="仿宋" w:hAnsi="仿宋" w:eastAsia="仿宋" w:cs="仿宋"/>
          <w:color w:val="auto"/>
          <w:sz w:val="24"/>
          <w:u w:val="single"/>
        </w:rPr>
        <w:t xml:space="preserve">                                                </w:t>
      </w:r>
    </w:p>
    <w:p w14:paraId="79059858">
      <w:pPr>
        <w:tabs>
          <w:tab w:val="left" w:pos="6300"/>
        </w:tabs>
        <w:snapToGrid w:val="0"/>
        <w:spacing w:line="360" w:lineRule="auto"/>
        <w:ind w:firstLine="570"/>
        <w:rPr>
          <w:rFonts w:hint="eastAsia" w:ascii="仿宋" w:hAnsi="仿宋" w:eastAsia="仿宋" w:cs="仿宋"/>
          <w:color w:val="auto"/>
          <w:sz w:val="24"/>
        </w:rPr>
      </w:pPr>
    </w:p>
    <w:p w14:paraId="505C7D5C">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致：</w:t>
      </w:r>
      <w:r>
        <w:rPr>
          <w:rFonts w:hint="eastAsia" w:ascii="仿宋" w:hAnsi="仿宋" w:eastAsia="仿宋" w:cs="仿宋"/>
          <w:color w:val="auto"/>
          <w:sz w:val="24"/>
          <w:u w:val="single"/>
        </w:rPr>
        <w:t xml:space="preserve">                     </w:t>
      </w:r>
      <w:r>
        <w:rPr>
          <w:rFonts w:hint="eastAsia" w:ascii="仿宋" w:hAnsi="仿宋" w:eastAsia="仿宋" w:cs="仿宋"/>
          <w:color w:val="auto"/>
          <w:sz w:val="24"/>
        </w:rPr>
        <w:t>（采购人名称）：</w:t>
      </w:r>
    </w:p>
    <w:p w14:paraId="23626D3C">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u w:val="single"/>
        </w:rPr>
        <w:t xml:space="preserve">            </w:t>
      </w:r>
      <w:r>
        <w:rPr>
          <w:rFonts w:hint="eastAsia" w:ascii="仿宋" w:hAnsi="仿宋" w:eastAsia="仿宋" w:cs="仿宋"/>
          <w:color w:val="auto"/>
          <w:sz w:val="24"/>
        </w:rPr>
        <w:t>（供应商法定代表人名称）是</w:t>
      </w:r>
      <w:r>
        <w:rPr>
          <w:rFonts w:hint="eastAsia" w:ascii="仿宋" w:hAnsi="仿宋" w:eastAsia="仿宋" w:cs="仿宋"/>
          <w:color w:val="auto"/>
          <w:sz w:val="24"/>
          <w:u w:val="single"/>
        </w:rPr>
        <w:t xml:space="preserve">                    </w:t>
      </w:r>
      <w:r>
        <w:rPr>
          <w:rFonts w:hint="eastAsia" w:ascii="仿宋" w:hAnsi="仿宋" w:eastAsia="仿宋" w:cs="仿宋"/>
          <w:color w:val="auto"/>
          <w:sz w:val="24"/>
        </w:rPr>
        <w:t>（供应商名称）的法定代表人，特授权</w:t>
      </w:r>
      <w:r>
        <w:rPr>
          <w:rFonts w:hint="eastAsia" w:ascii="仿宋" w:hAnsi="仿宋" w:eastAsia="仿宋" w:cs="仿宋"/>
          <w:color w:val="auto"/>
          <w:sz w:val="24"/>
          <w:u w:val="single"/>
        </w:rPr>
        <w:t xml:space="preserve">          </w:t>
      </w:r>
      <w:r>
        <w:rPr>
          <w:rFonts w:hint="eastAsia" w:ascii="仿宋" w:hAnsi="仿宋" w:eastAsia="仿宋" w:cs="仿宋"/>
          <w:color w:val="auto"/>
          <w:sz w:val="24"/>
        </w:rPr>
        <w:t>（被授权人姓名及身份证代码）代表我单位全权办理上述项目的</w:t>
      </w:r>
      <w:r>
        <w:rPr>
          <w:rFonts w:hint="eastAsia" w:ascii="仿宋" w:hAnsi="仿宋" w:eastAsia="仿宋" w:cs="仿宋"/>
          <w:color w:val="auto"/>
          <w:sz w:val="24"/>
          <w:lang w:eastAsia="zh-CN"/>
        </w:rPr>
        <w:t>询比</w:t>
      </w:r>
      <w:r>
        <w:rPr>
          <w:rFonts w:hint="eastAsia" w:ascii="仿宋" w:hAnsi="仿宋" w:eastAsia="仿宋" w:cs="仿宋"/>
          <w:color w:val="auto"/>
          <w:sz w:val="24"/>
        </w:rPr>
        <w:t>、签约等具体工作，并签署全部有关文件、协议及合同。</w:t>
      </w:r>
    </w:p>
    <w:p w14:paraId="46721658">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我单位对被授权人的签字负全部责任。</w:t>
      </w:r>
    </w:p>
    <w:p w14:paraId="23E89679">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在撤消授权的书面通知以前，本授权书一直有效。被授权人在授权书有效期内签署的所有文件不因授权的撤消而失效。</w:t>
      </w:r>
    </w:p>
    <w:p w14:paraId="35C82723">
      <w:pPr>
        <w:tabs>
          <w:tab w:val="left" w:pos="6300"/>
        </w:tabs>
        <w:snapToGrid w:val="0"/>
        <w:spacing w:line="360" w:lineRule="auto"/>
        <w:ind w:firstLine="570"/>
        <w:rPr>
          <w:rFonts w:hint="eastAsia" w:ascii="仿宋" w:hAnsi="仿宋" w:eastAsia="仿宋" w:cs="仿宋"/>
          <w:color w:val="auto"/>
          <w:sz w:val="24"/>
        </w:rPr>
      </w:pPr>
    </w:p>
    <w:p w14:paraId="6B1C5A5D">
      <w:pPr>
        <w:tabs>
          <w:tab w:val="left" w:pos="6300"/>
        </w:tabs>
        <w:snapToGrid w:val="0"/>
        <w:spacing w:line="360" w:lineRule="auto"/>
        <w:ind w:firstLine="570"/>
        <w:rPr>
          <w:rFonts w:hint="eastAsia" w:ascii="仿宋" w:hAnsi="仿宋" w:eastAsia="仿宋" w:cs="仿宋"/>
          <w:color w:val="auto"/>
          <w:sz w:val="24"/>
        </w:rPr>
      </w:pPr>
    </w:p>
    <w:p w14:paraId="6B56399D">
      <w:pPr>
        <w:tabs>
          <w:tab w:val="left" w:pos="6300"/>
        </w:tabs>
        <w:snapToGrid w:val="0"/>
        <w:spacing w:line="360" w:lineRule="auto"/>
        <w:ind w:firstLine="570"/>
        <w:rPr>
          <w:rFonts w:hint="eastAsia" w:ascii="仿宋" w:hAnsi="仿宋" w:eastAsia="仿宋" w:cs="仿宋"/>
          <w:color w:val="auto"/>
          <w:sz w:val="24"/>
        </w:rPr>
      </w:pPr>
      <w:r>
        <w:rPr>
          <w:rFonts w:hint="eastAsia" w:ascii="仿宋" w:hAnsi="仿宋" w:eastAsia="仿宋" w:cs="仿宋"/>
          <w:color w:val="auto"/>
          <w:sz w:val="24"/>
        </w:rPr>
        <w:t>被授权人：                                 供应商法定代表人：</w:t>
      </w:r>
    </w:p>
    <w:p w14:paraId="75988B1E">
      <w:pPr>
        <w:tabs>
          <w:tab w:val="left" w:pos="6300"/>
        </w:tabs>
        <w:snapToGrid w:val="0"/>
        <w:spacing w:line="360" w:lineRule="auto"/>
        <w:ind w:firstLine="570"/>
        <w:rPr>
          <w:rFonts w:hint="eastAsia" w:ascii="仿宋" w:hAnsi="仿宋" w:eastAsia="仿宋" w:cs="仿宋"/>
          <w:color w:val="auto"/>
          <w:sz w:val="24"/>
          <w:szCs w:val="28"/>
        </w:rPr>
      </w:pPr>
      <w:r>
        <w:rPr>
          <w:rFonts w:hint="eastAsia" w:ascii="仿宋" w:hAnsi="仿宋" w:eastAsia="仿宋" w:cs="仿宋"/>
          <w:color w:val="auto"/>
          <w:sz w:val="24"/>
          <w:szCs w:val="28"/>
        </w:rPr>
        <w:t>（签字或盖章）                                （签字或盖章）</w:t>
      </w:r>
    </w:p>
    <w:p w14:paraId="32D05F03">
      <w:pPr>
        <w:tabs>
          <w:tab w:val="left" w:pos="6300"/>
        </w:tabs>
        <w:snapToGrid w:val="0"/>
        <w:spacing w:line="360" w:lineRule="auto"/>
        <w:ind w:firstLine="570"/>
        <w:rPr>
          <w:rFonts w:hint="eastAsia" w:ascii="仿宋" w:hAnsi="仿宋" w:eastAsia="仿宋" w:cs="仿宋"/>
          <w:color w:val="auto"/>
          <w:sz w:val="24"/>
          <w:szCs w:val="28"/>
        </w:rPr>
      </w:pPr>
    </w:p>
    <w:p w14:paraId="1D4F0D57">
      <w:pPr>
        <w:tabs>
          <w:tab w:val="left" w:pos="6300"/>
        </w:tabs>
        <w:snapToGrid w:val="0"/>
        <w:spacing w:line="360" w:lineRule="auto"/>
        <w:ind w:firstLine="570"/>
        <w:rPr>
          <w:rFonts w:hint="eastAsia" w:ascii="仿宋" w:hAnsi="仿宋" w:eastAsia="仿宋" w:cs="仿宋"/>
          <w:color w:val="auto"/>
          <w:sz w:val="24"/>
        </w:rPr>
      </w:pPr>
    </w:p>
    <w:p w14:paraId="7852D83E">
      <w:pPr>
        <w:tabs>
          <w:tab w:val="left" w:pos="6300"/>
        </w:tabs>
        <w:snapToGrid w:val="0"/>
        <w:spacing w:line="360" w:lineRule="auto"/>
        <w:ind w:firstLine="570"/>
        <w:rPr>
          <w:rFonts w:hint="eastAsia" w:ascii="仿宋" w:hAnsi="仿宋" w:eastAsia="仿宋" w:cs="仿宋"/>
          <w:color w:val="auto"/>
          <w:sz w:val="24"/>
        </w:rPr>
      </w:pPr>
      <w:r>
        <w:rPr>
          <w:rFonts w:hint="eastAsia" w:ascii="仿宋" w:hAnsi="仿宋" w:eastAsia="仿宋" w:cs="仿宋"/>
          <w:color w:val="auto"/>
          <w:sz w:val="24"/>
        </w:rPr>
        <w:t>（附：被授权人身份证正反面复印件）</w:t>
      </w:r>
    </w:p>
    <w:p w14:paraId="3B8E76F9">
      <w:pPr>
        <w:tabs>
          <w:tab w:val="left" w:pos="6300"/>
        </w:tabs>
        <w:snapToGrid w:val="0"/>
        <w:spacing w:line="360" w:lineRule="auto"/>
        <w:ind w:firstLine="570"/>
        <w:rPr>
          <w:rFonts w:hint="eastAsia" w:ascii="仿宋" w:hAnsi="仿宋" w:eastAsia="仿宋" w:cs="仿宋"/>
          <w:color w:val="auto"/>
          <w:sz w:val="24"/>
        </w:rPr>
      </w:pPr>
      <w:r>
        <w:rPr>
          <w:rFonts w:hint="eastAsia" w:ascii="仿宋" w:hAnsi="仿宋" w:eastAsia="仿宋" w:cs="仿宋"/>
          <w:color w:val="auto"/>
          <w:sz w:val="24"/>
        </w:rPr>
        <w:t xml:space="preserve">                                          </w:t>
      </w:r>
    </w:p>
    <w:p w14:paraId="567A9F9C">
      <w:pPr>
        <w:tabs>
          <w:tab w:val="left" w:pos="6300"/>
        </w:tabs>
        <w:snapToGrid w:val="0"/>
        <w:spacing w:line="360" w:lineRule="auto"/>
        <w:ind w:firstLine="570"/>
        <w:rPr>
          <w:rFonts w:hint="eastAsia" w:ascii="仿宋" w:hAnsi="仿宋" w:eastAsia="仿宋" w:cs="仿宋"/>
          <w:color w:val="auto"/>
          <w:sz w:val="24"/>
        </w:rPr>
      </w:pPr>
    </w:p>
    <w:p w14:paraId="091220AB">
      <w:pPr>
        <w:tabs>
          <w:tab w:val="left" w:pos="6300"/>
        </w:tabs>
        <w:snapToGrid w:val="0"/>
        <w:spacing w:line="360" w:lineRule="auto"/>
        <w:ind w:firstLine="570"/>
        <w:rPr>
          <w:rFonts w:hint="eastAsia" w:ascii="仿宋" w:hAnsi="仿宋" w:eastAsia="仿宋" w:cs="仿宋"/>
          <w:color w:val="auto"/>
          <w:sz w:val="24"/>
        </w:rPr>
      </w:pPr>
    </w:p>
    <w:p w14:paraId="4140DE3F">
      <w:pPr>
        <w:tabs>
          <w:tab w:val="left" w:pos="6300"/>
        </w:tabs>
        <w:snapToGrid w:val="0"/>
        <w:spacing w:line="360" w:lineRule="auto"/>
        <w:ind w:right="480" w:firstLine="570"/>
        <w:jc w:val="right"/>
        <w:rPr>
          <w:rFonts w:hint="eastAsia" w:ascii="仿宋" w:hAnsi="仿宋" w:eastAsia="仿宋" w:cs="仿宋"/>
          <w:color w:val="auto"/>
          <w:sz w:val="24"/>
        </w:rPr>
      </w:pPr>
      <w:r>
        <w:rPr>
          <w:rFonts w:hint="eastAsia" w:ascii="仿宋" w:hAnsi="仿宋" w:eastAsia="仿宋" w:cs="仿宋"/>
          <w:color w:val="auto"/>
          <w:sz w:val="24"/>
        </w:rPr>
        <w:t>（供应商公章）</w:t>
      </w:r>
    </w:p>
    <w:p w14:paraId="6C3B5535">
      <w:pPr>
        <w:tabs>
          <w:tab w:val="left" w:pos="6300"/>
        </w:tabs>
        <w:snapToGrid w:val="0"/>
        <w:spacing w:line="360" w:lineRule="auto"/>
        <w:ind w:right="480" w:firstLine="570"/>
        <w:jc w:val="right"/>
        <w:rPr>
          <w:rFonts w:hint="eastAsia" w:ascii="仿宋" w:hAnsi="仿宋" w:eastAsia="仿宋" w:cs="仿宋"/>
          <w:color w:val="auto"/>
          <w:sz w:val="24"/>
        </w:rPr>
      </w:pPr>
      <w:r>
        <w:rPr>
          <w:rFonts w:hint="eastAsia" w:ascii="仿宋" w:hAnsi="仿宋" w:eastAsia="仿宋" w:cs="仿宋"/>
          <w:color w:val="auto"/>
          <w:sz w:val="24"/>
        </w:rPr>
        <w:t>年   月   日</w:t>
      </w:r>
    </w:p>
    <w:p w14:paraId="0DE8A894">
      <w:pPr>
        <w:tabs>
          <w:tab w:val="left" w:pos="6300"/>
        </w:tabs>
        <w:snapToGrid w:val="0"/>
        <w:spacing w:line="360" w:lineRule="auto"/>
        <w:ind w:firstLine="570"/>
        <w:rPr>
          <w:rFonts w:hint="eastAsia" w:ascii="仿宋" w:hAnsi="仿宋" w:eastAsia="仿宋" w:cs="仿宋"/>
          <w:color w:val="auto"/>
        </w:rPr>
      </w:pPr>
      <w:r>
        <w:rPr>
          <w:rFonts w:hint="eastAsia" w:ascii="仿宋" w:hAnsi="仿宋" w:eastAsia="仿宋" w:cs="仿宋"/>
          <w:color w:val="auto"/>
        </w:rPr>
        <w:br w:type="column"/>
      </w: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四</w:t>
      </w: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基本资格条件承诺函</w:t>
      </w:r>
      <w:r>
        <w:rPr>
          <w:rFonts w:hint="eastAsia" w:ascii="仿宋" w:hAnsi="仿宋" w:eastAsia="仿宋" w:cs="仿宋"/>
          <w:color w:val="auto"/>
          <w:sz w:val="24"/>
          <w:szCs w:val="24"/>
        </w:rPr>
        <w:t>（格式）</w:t>
      </w:r>
    </w:p>
    <w:p w14:paraId="036C4E45">
      <w:pPr>
        <w:tabs>
          <w:tab w:val="left" w:pos="6300"/>
        </w:tabs>
        <w:snapToGrid w:val="0"/>
        <w:spacing w:line="360" w:lineRule="auto"/>
        <w:rPr>
          <w:rFonts w:hint="eastAsia" w:ascii="仿宋" w:hAnsi="仿宋" w:eastAsia="仿宋" w:cs="仿宋"/>
          <w:color w:val="auto"/>
        </w:rPr>
      </w:pPr>
    </w:p>
    <w:p w14:paraId="25F80995">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 xml:space="preserve">致 </w:t>
      </w:r>
      <w:r>
        <w:rPr>
          <w:rFonts w:hint="eastAsia" w:ascii="仿宋" w:hAnsi="仿宋" w:eastAsia="仿宋" w:cs="仿宋"/>
          <w:color w:val="auto"/>
          <w:sz w:val="24"/>
          <w:u w:val="single"/>
          <w:lang w:eastAsia="zh-CN"/>
        </w:rPr>
        <w:t>重庆大足石刻国际文化旅游集团有限公司</w:t>
      </w:r>
      <w:r>
        <w:rPr>
          <w:rFonts w:hint="eastAsia" w:ascii="仿宋" w:hAnsi="仿宋" w:eastAsia="仿宋" w:cs="仿宋"/>
          <w:color w:val="auto"/>
          <w:sz w:val="24"/>
        </w:rPr>
        <w:t>：</w:t>
      </w:r>
    </w:p>
    <w:p w14:paraId="6A37C9B0">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u w:val="single"/>
        </w:rPr>
        <w:t xml:space="preserve">                  （供应商名称）</w:t>
      </w:r>
      <w:r>
        <w:rPr>
          <w:rFonts w:hint="eastAsia" w:ascii="仿宋" w:hAnsi="仿宋" w:eastAsia="仿宋" w:cs="仿宋"/>
          <w:color w:val="auto"/>
          <w:sz w:val="24"/>
        </w:rPr>
        <w:t>郑重承诺：</w:t>
      </w:r>
    </w:p>
    <w:p w14:paraId="0D9231E6">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1.我方具有良好的商业信誉和健全的财务会计制度，具有履行合同所必需的设备和专业技术能力，具</w:t>
      </w:r>
      <w:r>
        <w:rPr>
          <w:rFonts w:hint="eastAsia" w:ascii="仿宋" w:hAnsi="仿宋" w:eastAsia="仿宋" w:cs="仿宋"/>
          <w:color w:val="auto"/>
          <w:sz w:val="24"/>
          <w:lang w:val="zh-CN"/>
        </w:rPr>
        <w:t>有依法缴纳税收和社会保障金的良好记录</w:t>
      </w:r>
      <w:r>
        <w:rPr>
          <w:rFonts w:hint="eastAsia" w:ascii="仿宋" w:hAnsi="仿宋" w:eastAsia="仿宋" w:cs="仿宋"/>
          <w:color w:val="auto"/>
          <w:sz w:val="24"/>
        </w:rPr>
        <w:t>，参加本项目采购活动前三年内无重大违法活动记录。</w:t>
      </w:r>
    </w:p>
    <w:p w14:paraId="0CBC0622">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2.我方未列入在信用中国网站（www.creditchina.gov.cn）“失信被执行人”、“重大税收违法案件当事人名单”中，也未列入中国政府采购网（www.ccgp.gov.cn）“政府采购严重违法失信行为记录名单”中。</w:t>
      </w:r>
    </w:p>
    <w:p w14:paraId="05CA4C1D">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3.我方在采购项目评审（评标）环节结束后，随时接受采购人、采购代理机构的检查验证，配合提供相关证明材料，证明符合《中华人民共和国政府采购法》规定的供应商基本资格条件。</w:t>
      </w:r>
    </w:p>
    <w:p w14:paraId="35BF0DD6">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我方对以上承诺负全部法律责任。</w:t>
      </w:r>
    </w:p>
    <w:p w14:paraId="26DFB6EC">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特此承诺。</w:t>
      </w:r>
    </w:p>
    <w:p w14:paraId="5AE8B5B6">
      <w:pPr>
        <w:tabs>
          <w:tab w:val="left" w:pos="6300"/>
        </w:tabs>
        <w:snapToGrid w:val="0"/>
        <w:spacing w:line="360" w:lineRule="auto"/>
        <w:ind w:firstLine="480" w:firstLineChars="200"/>
        <w:rPr>
          <w:rFonts w:hint="eastAsia" w:ascii="仿宋" w:hAnsi="仿宋" w:eastAsia="仿宋" w:cs="仿宋"/>
          <w:color w:val="auto"/>
          <w:sz w:val="24"/>
        </w:rPr>
      </w:pPr>
    </w:p>
    <w:p w14:paraId="71F48523">
      <w:pPr>
        <w:tabs>
          <w:tab w:val="left" w:pos="6300"/>
        </w:tabs>
        <w:snapToGrid w:val="0"/>
        <w:spacing w:line="360" w:lineRule="auto"/>
        <w:ind w:firstLine="480" w:firstLineChars="200"/>
        <w:jc w:val="right"/>
        <w:rPr>
          <w:rFonts w:hint="eastAsia" w:ascii="仿宋" w:hAnsi="仿宋" w:eastAsia="仿宋" w:cs="仿宋"/>
          <w:color w:val="auto"/>
          <w:sz w:val="24"/>
        </w:rPr>
      </w:pPr>
      <w:r>
        <w:rPr>
          <w:rFonts w:hint="eastAsia" w:ascii="仿宋" w:hAnsi="仿宋" w:eastAsia="仿宋" w:cs="仿宋"/>
          <w:color w:val="auto"/>
          <w:sz w:val="24"/>
        </w:rPr>
        <w:t>（供应商公章）</w:t>
      </w:r>
    </w:p>
    <w:p w14:paraId="27B61904">
      <w:pPr>
        <w:tabs>
          <w:tab w:val="left" w:pos="6300"/>
        </w:tabs>
        <w:snapToGrid w:val="0"/>
        <w:spacing w:line="360" w:lineRule="auto"/>
        <w:ind w:firstLine="480" w:firstLineChars="200"/>
        <w:jc w:val="right"/>
        <w:rPr>
          <w:rFonts w:hint="eastAsia" w:ascii="仿宋" w:hAnsi="仿宋" w:eastAsia="仿宋" w:cs="仿宋"/>
          <w:color w:val="auto"/>
          <w:sz w:val="24"/>
        </w:rPr>
      </w:pPr>
      <w:r>
        <w:rPr>
          <w:rFonts w:hint="eastAsia" w:ascii="仿宋" w:hAnsi="仿宋" w:eastAsia="仿宋" w:cs="仿宋"/>
          <w:color w:val="auto"/>
          <w:sz w:val="24"/>
        </w:rPr>
        <w:t>年   月   日</w:t>
      </w:r>
    </w:p>
    <w:p w14:paraId="52FB635B">
      <w:pPr>
        <w:tabs>
          <w:tab w:val="left" w:pos="6300"/>
        </w:tabs>
        <w:snapToGrid w:val="0"/>
        <w:spacing w:line="360" w:lineRule="auto"/>
        <w:ind w:firstLine="570"/>
        <w:rPr>
          <w:rFonts w:hint="eastAsia" w:ascii="仿宋" w:hAnsi="仿宋" w:eastAsia="仿宋" w:cs="仿宋"/>
          <w:color w:val="auto"/>
          <w:sz w:val="24"/>
          <w:szCs w:val="24"/>
        </w:rPr>
      </w:pPr>
    </w:p>
    <w:p w14:paraId="1FD53604">
      <w:pPr>
        <w:tabs>
          <w:tab w:val="left" w:pos="6300"/>
        </w:tabs>
        <w:snapToGrid w:val="0"/>
        <w:spacing w:line="360" w:lineRule="auto"/>
        <w:ind w:right="480"/>
        <w:jc w:val="both"/>
        <w:rPr>
          <w:rFonts w:hint="eastAsia" w:ascii="仿宋" w:hAnsi="仿宋" w:eastAsia="仿宋" w:cs="仿宋"/>
          <w:color w:val="auto"/>
          <w:sz w:val="24"/>
          <w:szCs w:val="24"/>
        </w:rPr>
      </w:pPr>
      <w:r>
        <w:rPr>
          <w:rFonts w:hint="eastAsia" w:ascii="仿宋" w:hAnsi="仿宋" w:eastAsia="仿宋" w:cs="仿宋"/>
          <w:color w:val="auto"/>
        </w:rPr>
        <w:br w:type="page"/>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五</w:t>
      </w:r>
      <w:r>
        <w:rPr>
          <w:rFonts w:hint="eastAsia" w:ascii="仿宋" w:hAnsi="仿宋" w:eastAsia="仿宋" w:cs="仿宋"/>
          <w:color w:val="auto"/>
          <w:sz w:val="24"/>
          <w:szCs w:val="24"/>
          <w:lang w:eastAsia="zh-CN"/>
        </w:rPr>
        <w:t>）特定资格条件证书或证明文件</w:t>
      </w:r>
    </w:p>
    <w:p w14:paraId="797A7E2F">
      <w:pPr>
        <w:pStyle w:val="4"/>
        <w:spacing w:before="0" w:after="0" w:line="360" w:lineRule="auto"/>
        <w:rPr>
          <w:rFonts w:hint="eastAsia" w:ascii="仿宋" w:hAnsi="仿宋" w:eastAsia="仿宋" w:cs="仿宋"/>
          <w:color w:val="auto"/>
          <w:sz w:val="24"/>
          <w:szCs w:val="24"/>
        </w:rPr>
      </w:pPr>
      <w:bookmarkStart w:id="184" w:name="_Toc14422"/>
      <w:r>
        <w:rPr>
          <w:rFonts w:hint="eastAsia" w:ascii="仿宋" w:hAnsi="仿宋" w:eastAsia="仿宋" w:cs="仿宋"/>
          <w:b w:val="0"/>
          <w:color w:val="auto"/>
          <w:sz w:val="28"/>
        </w:rPr>
        <w:br w:type="page"/>
      </w:r>
      <w:bookmarkStart w:id="185" w:name="_Toc28259"/>
      <w:r>
        <w:rPr>
          <w:rFonts w:hint="eastAsia" w:ascii="仿宋" w:hAnsi="仿宋" w:eastAsia="仿宋" w:cs="仿宋"/>
          <w:color w:val="auto"/>
          <w:sz w:val="24"/>
          <w:szCs w:val="24"/>
        </w:rPr>
        <w:t>五、其他资料</w:t>
      </w:r>
      <w:bookmarkEnd w:id="184"/>
      <w:bookmarkEnd w:id="185"/>
    </w:p>
    <w:p w14:paraId="66D0DFC3">
      <w:pPr>
        <w:spacing w:line="360" w:lineRule="auto"/>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一</w:t>
      </w:r>
      <w:r>
        <w:rPr>
          <w:rFonts w:hint="eastAsia" w:ascii="仿宋" w:hAnsi="仿宋" w:eastAsia="仿宋" w:cs="仿宋"/>
          <w:color w:val="auto"/>
          <w:sz w:val="24"/>
          <w:szCs w:val="24"/>
        </w:rPr>
        <w:t>）其他与项目有关的资料</w:t>
      </w:r>
    </w:p>
    <w:p w14:paraId="0D6AC5E8">
      <w:pPr>
        <w:spacing w:line="360" w:lineRule="auto"/>
        <w:ind w:firstLine="480" w:firstLineChars="200"/>
        <w:rPr>
          <w:rFonts w:hint="eastAsia" w:ascii="仿宋" w:hAnsi="仿宋" w:eastAsia="仿宋" w:cs="仿宋"/>
          <w:color w:val="auto"/>
          <w:sz w:val="24"/>
          <w:szCs w:val="24"/>
        </w:rPr>
      </w:pPr>
    </w:p>
    <w:p w14:paraId="7DDC0A03">
      <w:pPr>
        <w:spacing w:line="360" w:lineRule="auto"/>
        <w:ind w:firstLine="480" w:firstLineChars="200"/>
        <w:jc w:val="center"/>
        <w:rPr>
          <w:rFonts w:hint="eastAsia" w:ascii="仿宋" w:hAnsi="仿宋" w:eastAsia="仿宋" w:cs="仿宋"/>
          <w:color w:val="auto"/>
          <w:sz w:val="24"/>
          <w:szCs w:val="24"/>
        </w:rPr>
      </w:pPr>
    </w:p>
    <w:p w14:paraId="4B81F17A">
      <w:pPr>
        <w:spacing w:line="360" w:lineRule="auto"/>
        <w:ind w:firstLine="480" w:firstLineChars="200"/>
        <w:jc w:val="center"/>
        <w:rPr>
          <w:rFonts w:hint="eastAsia" w:ascii="仿宋" w:hAnsi="仿宋" w:eastAsia="仿宋" w:cs="仿宋"/>
          <w:color w:val="auto"/>
          <w:sz w:val="24"/>
          <w:szCs w:val="24"/>
        </w:rPr>
      </w:pPr>
    </w:p>
    <w:p w14:paraId="774D18DE">
      <w:pPr>
        <w:spacing w:line="360" w:lineRule="auto"/>
        <w:ind w:firstLine="480" w:firstLineChars="200"/>
        <w:jc w:val="center"/>
        <w:rPr>
          <w:rFonts w:hint="eastAsia" w:ascii="仿宋" w:hAnsi="仿宋" w:eastAsia="仿宋" w:cs="仿宋"/>
          <w:color w:val="auto"/>
          <w:sz w:val="24"/>
          <w:szCs w:val="24"/>
        </w:rPr>
      </w:pPr>
    </w:p>
    <w:p w14:paraId="0E920307">
      <w:pPr>
        <w:spacing w:line="360" w:lineRule="auto"/>
        <w:ind w:firstLine="480" w:firstLineChars="200"/>
        <w:jc w:val="center"/>
        <w:rPr>
          <w:rFonts w:hint="eastAsia" w:ascii="仿宋" w:hAnsi="仿宋" w:eastAsia="仿宋" w:cs="仿宋"/>
          <w:color w:val="auto"/>
          <w:sz w:val="24"/>
          <w:szCs w:val="24"/>
        </w:rPr>
      </w:pPr>
    </w:p>
    <w:p w14:paraId="1C67889B">
      <w:pPr>
        <w:spacing w:line="360" w:lineRule="auto"/>
        <w:ind w:firstLine="480" w:firstLineChars="200"/>
        <w:jc w:val="center"/>
        <w:rPr>
          <w:rFonts w:hint="eastAsia" w:ascii="仿宋" w:hAnsi="仿宋" w:eastAsia="仿宋" w:cs="仿宋"/>
          <w:color w:val="auto"/>
          <w:sz w:val="24"/>
          <w:szCs w:val="24"/>
        </w:rPr>
      </w:pPr>
    </w:p>
    <w:p w14:paraId="5DC5255B">
      <w:pPr>
        <w:spacing w:line="360" w:lineRule="auto"/>
        <w:ind w:firstLine="480" w:firstLineChars="200"/>
        <w:jc w:val="center"/>
        <w:rPr>
          <w:rFonts w:hint="eastAsia" w:ascii="仿宋" w:hAnsi="仿宋" w:eastAsia="仿宋" w:cs="仿宋"/>
          <w:color w:val="auto"/>
          <w:sz w:val="24"/>
          <w:szCs w:val="24"/>
        </w:rPr>
      </w:pPr>
    </w:p>
    <w:p w14:paraId="07B0A0DE">
      <w:pPr>
        <w:spacing w:line="360" w:lineRule="auto"/>
        <w:ind w:firstLine="480" w:firstLineChars="200"/>
        <w:jc w:val="center"/>
        <w:rPr>
          <w:rFonts w:hint="eastAsia" w:ascii="仿宋" w:hAnsi="仿宋" w:eastAsia="仿宋" w:cs="仿宋"/>
          <w:color w:val="auto"/>
          <w:sz w:val="24"/>
          <w:szCs w:val="24"/>
        </w:rPr>
      </w:pPr>
    </w:p>
    <w:p w14:paraId="2574CA17">
      <w:pPr>
        <w:spacing w:line="360" w:lineRule="auto"/>
        <w:ind w:firstLine="480" w:firstLineChars="200"/>
        <w:jc w:val="center"/>
        <w:rPr>
          <w:rFonts w:hint="eastAsia" w:ascii="仿宋" w:hAnsi="仿宋" w:eastAsia="仿宋" w:cs="仿宋"/>
          <w:color w:val="auto"/>
          <w:sz w:val="24"/>
          <w:szCs w:val="24"/>
        </w:rPr>
      </w:pPr>
    </w:p>
    <w:p w14:paraId="6CFC6679">
      <w:pPr>
        <w:spacing w:line="360" w:lineRule="auto"/>
        <w:ind w:firstLine="480" w:firstLineChars="200"/>
        <w:jc w:val="center"/>
        <w:rPr>
          <w:rFonts w:hint="eastAsia" w:ascii="仿宋" w:hAnsi="仿宋" w:eastAsia="仿宋" w:cs="仿宋"/>
          <w:color w:val="auto"/>
          <w:sz w:val="24"/>
          <w:szCs w:val="24"/>
        </w:rPr>
      </w:pPr>
    </w:p>
    <w:p w14:paraId="7CAFBF71">
      <w:pPr>
        <w:spacing w:line="360" w:lineRule="auto"/>
        <w:ind w:firstLine="480" w:firstLineChars="200"/>
        <w:jc w:val="center"/>
        <w:rPr>
          <w:rFonts w:hint="eastAsia" w:ascii="仿宋" w:hAnsi="仿宋" w:eastAsia="仿宋" w:cs="仿宋"/>
          <w:color w:val="auto"/>
          <w:sz w:val="24"/>
          <w:szCs w:val="24"/>
        </w:rPr>
      </w:pPr>
    </w:p>
    <w:p w14:paraId="61F0C3F2">
      <w:pPr>
        <w:spacing w:line="360" w:lineRule="auto"/>
        <w:ind w:firstLine="480" w:firstLineChars="200"/>
        <w:jc w:val="center"/>
        <w:rPr>
          <w:rFonts w:hint="eastAsia" w:ascii="仿宋" w:hAnsi="仿宋" w:eastAsia="仿宋" w:cs="仿宋"/>
          <w:color w:val="auto"/>
          <w:sz w:val="24"/>
          <w:szCs w:val="24"/>
        </w:rPr>
      </w:pPr>
    </w:p>
    <w:p w14:paraId="7DDE14AA">
      <w:pPr>
        <w:spacing w:line="360" w:lineRule="auto"/>
        <w:ind w:firstLine="480" w:firstLineChars="200"/>
        <w:jc w:val="center"/>
        <w:rPr>
          <w:rFonts w:hint="eastAsia" w:ascii="仿宋" w:hAnsi="仿宋" w:eastAsia="仿宋" w:cs="仿宋"/>
          <w:color w:val="auto"/>
          <w:sz w:val="24"/>
          <w:szCs w:val="24"/>
        </w:rPr>
      </w:pPr>
    </w:p>
    <w:p w14:paraId="1B884855">
      <w:pPr>
        <w:spacing w:line="360" w:lineRule="auto"/>
        <w:ind w:firstLine="480" w:firstLineChars="200"/>
        <w:jc w:val="center"/>
        <w:rPr>
          <w:rFonts w:hint="eastAsia" w:ascii="仿宋" w:hAnsi="仿宋" w:eastAsia="仿宋" w:cs="仿宋"/>
          <w:color w:val="auto"/>
          <w:sz w:val="24"/>
          <w:szCs w:val="24"/>
        </w:rPr>
      </w:pPr>
    </w:p>
    <w:p w14:paraId="7C104170">
      <w:pPr>
        <w:spacing w:line="360" w:lineRule="auto"/>
        <w:ind w:firstLine="480" w:firstLineChars="200"/>
        <w:jc w:val="center"/>
        <w:rPr>
          <w:rFonts w:hint="eastAsia" w:ascii="仿宋" w:hAnsi="仿宋" w:eastAsia="仿宋" w:cs="仿宋"/>
          <w:color w:val="auto"/>
          <w:sz w:val="24"/>
          <w:szCs w:val="24"/>
        </w:rPr>
      </w:pPr>
    </w:p>
    <w:p w14:paraId="6FFE7AD0">
      <w:pPr>
        <w:spacing w:line="360" w:lineRule="auto"/>
        <w:ind w:firstLine="480" w:firstLineChars="200"/>
        <w:jc w:val="center"/>
        <w:rPr>
          <w:rFonts w:hint="eastAsia" w:ascii="仿宋" w:hAnsi="仿宋" w:eastAsia="仿宋" w:cs="仿宋"/>
          <w:color w:val="auto"/>
          <w:sz w:val="24"/>
          <w:szCs w:val="24"/>
        </w:rPr>
      </w:pPr>
    </w:p>
    <w:p w14:paraId="032C390B">
      <w:pPr>
        <w:spacing w:line="360" w:lineRule="auto"/>
        <w:ind w:firstLine="480" w:firstLineChars="200"/>
        <w:jc w:val="center"/>
        <w:rPr>
          <w:rFonts w:hint="eastAsia" w:ascii="仿宋" w:hAnsi="仿宋" w:eastAsia="仿宋" w:cs="仿宋"/>
          <w:color w:val="auto"/>
          <w:sz w:val="24"/>
          <w:szCs w:val="24"/>
        </w:rPr>
      </w:pPr>
      <w:r>
        <w:rPr>
          <w:rFonts w:hint="eastAsia" w:ascii="仿宋" w:hAnsi="仿宋" w:eastAsia="仿宋" w:cs="仿宋"/>
          <w:color w:val="auto"/>
          <w:sz w:val="24"/>
          <w:szCs w:val="24"/>
        </w:rPr>
        <w:t>（结束）</w:t>
      </w:r>
    </w:p>
    <w:p w14:paraId="22B833C3">
      <w:pPr>
        <w:pStyle w:val="5"/>
        <w:spacing w:line="360" w:lineRule="auto"/>
        <w:rPr>
          <w:rFonts w:hint="eastAsia" w:ascii="仿宋" w:hAnsi="仿宋" w:eastAsia="仿宋" w:cs="仿宋"/>
          <w:color w:val="auto"/>
        </w:rPr>
      </w:pPr>
    </w:p>
    <w:p w14:paraId="6F9855CA">
      <w:pPr>
        <w:pStyle w:val="5"/>
        <w:spacing w:line="360" w:lineRule="auto"/>
        <w:rPr>
          <w:rFonts w:hint="eastAsia" w:ascii="仿宋" w:hAnsi="仿宋" w:eastAsia="仿宋" w:cs="仿宋"/>
          <w:color w:val="auto"/>
        </w:rPr>
      </w:pPr>
    </w:p>
    <w:p w14:paraId="0647BF18">
      <w:pPr>
        <w:pStyle w:val="5"/>
        <w:spacing w:line="360" w:lineRule="auto"/>
        <w:rPr>
          <w:rFonts w:hint="eastAsia" w:ascii="仿宋" w:hAnsi="仿宋" w:eastAsia="仿宋" w:cs="仿宋"/>
          <w:color w:val="auto"/>
        </w:rPr>
      </w:pPr>
    </w:p>
    <w:p w14:paraId="4A2FD4DE">
      <w:pPr>
        <w:spacing w:line="360" w:lineRule="auto"/>
        <w:rPr>
          <w:rFonts w:hint="eastAsia" w:ascii="仿宋" w:hAnsi="仿宋" w:eastAsia="仿宋" w:cs="仿宋"/>
          <w:color w:val="auto"/>
        </w:rPr>
      </w:pPr>
    </w:p>
    <w:p w14:paraId="673D1184">
      <w:pPr>
        <w:pStyle w:val="5"/>
        <w:spacing w:line="360" w:lineRule="auto"/>
        <w:rPr>
          <w:rFonts w:hint="eastAsia" w:ascii="仿宋" w:hAnsi="仿宋" w:eastAsia="仿宋" w:cs="仿宋"/>
          <w:color w:val="auto"/>
        </w:rPr>
      </w:pPr>
    </w:p>
    <w:p w14:paraId="3988DC64">
      <w:pPr>
        <w:spacing w:line="360" w:lineRule="auto"/>
        <w:rPr>
          <w:rFonts w:hint="eastAsia" w:ascii="仿宋" w:hAnsi="仿宋" w:eastAsia="仿宋" w:cs="仿宋"/>
          <w:color w:val="auto"/>
        </w:rPr>
      </w:pPr>
    </w:p>
    <w:p w14:paraId="56836FBA">
      <w:pPr>
        <w:spacing w:line="360" w:lineRule="auto"/>
        <w:rPr>
          <w:rFonts w:hint="eastAsia" w:ascii="仿宋" w:hAnsi="仿宋" w:eastAsia="仿宋" w:cs="仿宋"/>
          <w:color w:val="auto"/>
        </w:rPr>
      </w:pPr>
    </w:p>
    <w:p w14:paraId="03C7031F">
      <w:pPr>
        <w:pStyle w:val="5"/>
        <w:spacing w:line="360" w:lineRule="auto"/>
        <w:rPr>
          <w:rFonts w:hint="eastAsia" w:ascii="仿宋" w:hAnsi="仿宋" w:eastAsia="仿宋" w:cs="仿宋"/>
          <w:color w:val="auto"/>
        </w:rPr>
      </w:pPr>
    </w:p>
    <w:p w14:paraId="3B9879C6">
      <w:pPr>
        <w:pStyle w:val="5"/>
        <w:spacing w:line="360" w:lineRule="auto"/>
        <w:rPr>
          <w:rFonts w:hint="eastAsia" w:ascii="仿宋" w:hAnsi="仿宋" w:eastAsia="仿宋" w:cs="仿宋"/>
          <w:color w:val="auto"/>
        </w:rPr>
      </w:pPr>
    </w:p>
    <w:p w14:paraId="514A2A65">
      <w:pPr>
        <w:spacing w:line="360" w:lineRule="auto"/>
        <w:jc w:val="center"/>
        <w:rPr>
          <w:rFonts w:hint="eastAsia" w:ascii="仿宋" w:hAnsi="仿宋" w:eastAsia="仿宋" w:cs="仿宋"/>
          <w:b/>
          <w:bCs/>
          <w:color w:val="auto"/>
          <w:sz w:val="44"/>
          <w:szCs w:val="44"/>
        </w:rPr>
      </w:pPr>
      <w:bookmarkStart w:id="186" w:name="_Toc28290"/>
      <w:bookmarkStart w:id="187" w:name="_Toc477027621"/>
      <w:r>
        <w:rPr>
          <w:rFonts w:hint="eastAsia" w:ascii="仿宋" w:hAnsi="仿宋" w:eastAsia="仿宋" w:cs="仿宋"/>
          <w:b/>
          <w:bCs/>
          <w:color w:val="auto"/>
          <w:sz w:val="44"/>
          <w:szCs w:val="44"/>
        </w:rPr>
        <w:t xml:space="preserve">  附件一：发售登记表</w:t>
      </w:r>
    </w:p>
    <w:bookmarkEnd w:id="186"/>
    <w:bookmarkEnd w:id="187"/>
    <w:tbl>
      <w:tblPr>
        <w:tblStyle w:val="15"/>
        <w:tblpPr w:leftFromText="180" w:rightFromText="180" w:vertAnchor="text" w:horzAnchor="page" w:tblpX="1495" w:tblpY="490"/>
        <w:tblOverlap w:val="never"/>
        <w:tblW w:w="0" w:type="auto"/>
        <w:tblInd w:w="0" w:type="dxa"/>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32"/>
        <w:gridCol w:w="2391"/>
        <w:gridCol w:w="1051"/>
        <w:gridCol w:w="3965"/>
      </w:tblGrid>
      <w:tr w14:paraId="333CC7CB">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1832" w:type="dxa"/>
            <w:noWrap w:val="0"/>
            <w:vAlign w:val="center"/>
          </w:tcPr>
          <w:p w14:paraId="47936FEC">
            <w:pPr>
              <w:tabs>
                <w:tab w:val="left" w:pos="6300"/>
              </w:tabs>
              <w:snapToGrid w:val="0"/>
              <w:spacing w:line="500" w:lineRule="exact"/>
              <w:jc w:val="center"/>
              <w:rPr>
                <w:rFonts w:hint="eastAsia" w:ascii="仿宋" w:hAnsi="仿宋" w:eastAsia="仿宋" w:cs="仿宋"/>
                <w:color w:val="auto"/>
                <w:sz w:val="21"/>
                <w:szCs w:val="21"/>
              </w:rPr>
            </w:pPr>
            <w:r>
              <w:rPr>
                <w:rFonts w:hint="eastAsia" w:ascii="方正仿宋_GBK" w:hAnsi="宋体" w:eastAsia="方正仿宋_GBK"/>
                <w:color w:val="auto"/>
                <w:sz w:val="24"/>
                <w:szCs w:val="24"/>
                <w:lang w:eastAsia="zh-CN"/>
              </w:rPr>
              <w:t>项目名称</w:t>
            </w:r>
          </w:p>
        </w:tc>
        <w:tc>
          <w:tcPr>
            <w:tcW w:w="7407" w:type="dxa"/>
            <w:gridSpan w:val="3"/>
            <w:noWrap w:val="0"/>
            <w:vAlign w:val="center"/>
          </w:tcPr>
          <w:p w14:paraId="03C44E4A">
            <w:pPr>
              <w:tabs>
                <w:tab w:val="left" w:pos="6300"/>
              </w:tabs>
              <w:snapToGrid w:val="0"/>
              <w:spacing w:line="500" w:lineRule="exact"/>
              <w:jc w:val="center"/>
              <w:rPr>
                <w:rFonts w:hint="eastAsia" w:ascii="仿宋" w:hAnsi="仿宋" w:eastAsia="仿宋" w:cs="仿宋"/>
                <w:color w:val="auto"/>
                <w:sz w:val="21"/>
                <w:szCs w:val="21"/>
              </w:rPr>
            </w:pPr>
          </w:p>
        </w:tc>
      </w:tr>
      <w:tr w14:paraId="3A37EE42">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trPr>
        <w:tc>
          <w:tcPr>
            <w:tcW w:w="1832" w:type="dxa"/>
            <w:noWrap w:val="0"/>
            <w:vAlign w:val="center"/>
          </w:tcPr>
          <w:p w14:paraId="5319A6B2">
            <w:pPr>
              <w:tabs>
                <w:tab w:val="left" w:pos="6300"/>
              </w:tabs>
              <w:snapToGrid w:val="0"/>
              <w:spacing w:line="500" w:lineRule="exact"/>
              <w:jc w:val="center"/>
              <w:rPr>
                <w:rFonts w:hint="eastAsia" w:ascii="仿宋" w:hAnsi="仿宋" w:eastAsia="仿宋" w:cs="仿宋"/>
                <w:color w:val="auto"/>
                <w:sz w:val="21"/>
                <w:szCs w:val="21"/>
              </w:rPr>
            </w:pPr>
            <w:r>
              <w:rPr>
                <w:rFonts w:hint="eastAsia" w:ascii="仿宋" w:hAnsi="仿宋" w:eastAsia="仿宋" w:cs="仿宋"/>
                <w:color w:val="auto"/>
                <w:sz w:val="21"/>
                <w:szCs w:val="21"/>
                <w:lang w:eastAsia="zh-CN"/>
              </w:rPr>
              <w:t>投标人</w:t>
            </w:r>
            <w:r>
              <w:rPr>
                <w:rFonts w:hint="eastAsia" w:ascii="仿宋" w:hAnsi="仿宋" w:eastAsia="仿宋" w:cs="仿宋"/>
                <w:color w:val="auto"/>
                <w:sz w:val="21"/>
                <w:szCs w:val="21"/>
              </w:rPr>
              <w:t>名称</w:t>
            </w:r>
          </w:p>
        </w:tc>
        <w:tc>
          <w:tcPr>
            <w:tcW w:w="7407" w:type="dxa"/>
            <w:gridSpan w:val="3"/>
            <w:noWrap w:val="0"/>
            <w:vAlign w:val="center"/>
          </w:tcPr>
          <w:p w14:paraId="0A5954CC">
            <w:pPr>
              <w:tabs>
                <w:tab w:val="left" w:pos="6300"/>
              </w:tabs>
              <w:snapToGrid w:val="0"/>
              <w:spacing w:line="500" w:lineRule="exact"/>
              <w:jc w:val="center"/>
              <w:rPr>
                <w:rFonts w:hint="eastAsia" w:ascii="仿宋" w:hAnsi="仿宋" w:eastAsia="仿宋" w:cs="仿宋"/>
                <w:color w:val="auto"/>
                <w:sz w:val="21"/>
                <w:szCs w:val="21"/>
              </w:rPr>
            </w:pPr>
            <w:r>
              <w:rPr>
                <w:rFonts w:hint="eastAsia" w:ascii="仿宋" w:hAnsi="仿宋" w:eastAsia="仿宋" w:cs="仿宋"/>
                <w:color w:val="auto"/>
                <w:sz w:val="21"/>
                <w:szCs w:val="21"/>
              </w:rPr>
              <w:t>（</w:t>
            </w:r>
            <w:r>
              <w:rPr>
                <w:rFonts w:hint="eastAsia" w:ascii="仿宋" w:hAnsi="仿宋" w:eastAsia="仿宋" w:cs="仿宋"/>
                <w:color w:val="auto"/>
                <w:sz w:val="21"/>
                <w:szCs w:val="21"/>
                <w:lang w:eastAsia="zh-CN"/>
              </w:rPr>
              <w:t>投标人</w:t>
            </w:r>
            <w:r>
              <w:rPr>
                <w:rFonts w:hint="eastAsia" w:ascii="仿宋" w:hAnsi="仿宋" w:eastAsia="仿宋" w:cs="仿宋"/>
                <w:color w:val="auto"/>
                <w:sz w:val="21"/>
                <w:szCs w:val="21"/>
              </w:rPr>
              <w:t>公章）</w:t>
            </w:r>
          </w:p>
        </w:tc>
      </w:tr>
      <w:tr w14:paraId="7862E574">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769" w:hRule="atLeast"/>
        </w:trPr>
        <w:tc>
          <w:tcPr>
            <w:tcW w:w="1832" w:type="dxa"/>
            <w:noWrap w:val="0"/>
            <w:vAlign w:val="center"/>
          </w:tcPr>
          <w:p w14:paraId="771D80DE">
            <w:pPr>
              <w:tabs>
                <w:tab w:val="left" w:pos="6300"/>
              </w:tabs>
              <w:snapToGrid w:val="0"/>
              <w:spacing w:line="500" w:lineRule="exact"/>
              <w:jc w:val="center"/>
              <w:rPr>
                <w:rFonts w:hint="eastAsia" w:ascii="仿宋" w:hAnsi="仿宋" w:eastAsia="仿宋" w:cs="仿宋"/>
                <w:color w:val="auto"/>
                <w:sz w:val="21"/>
                <w:szCs w:val="21"/>
              </w:rPr>
            </w:pPr>
            <w:r>
              <w:rPr>
                <w:rFonts w:hint="eastAsia" w:ascii="仿宋" w:hAnsi="仿宋" w:eastAsia="仿宋" w:cs="仿宋"/>
                <w:color w:val="auto"/>
                <w:sz w:val="21"/>
                <w:szCs w:val="21"/>
              </w:rPr>
              <w:t>联系人</w:t>
            </w:r>
          </w:p>
        </w:tc>
        <w:tc>
          <w:tcPr>
            <w:tcW w:w="2391" w:type="dxa"/>
            <w:noWrap w:val="0"/>
            <w:vAlign w:val="center"/>
          </w:tcPr>
          <w:p w14:paraId="2D7CC1AA">
            <w:pPr>
              <w:tabs>
                <w:tab w:val="left" w:pos="6300"/>
              </w:tabs>
              <w:snapToGrid w:val="0"/>
              <w:spacing w:line="500" w:lineRule="exact"/>
              <w:ind w:firstLine="570"/>
              <w:rPr>
                <w:rFonts w:hint="eastAsia" w:ascii="仿宋" w:hAnsi="仿宋" w:eastAsia="仿宋" w:cs="仿宋"/>
                <w:color w:val="auto"/>
                <w:sz w:val="21"/>
                <w:szCs w:val="21"/>
              </w:rPr>
            </w:pPr>
          </w:p>
        </w:tc>
        <w:tc>
          <w:tcPr>
            <w:tcW w:w="1051" w:type="dxa"/>
            <w:noWrap w:val="0"/>
            <w:vAlign w:val="center"/>
          </w:tcPr>
          <w:p w14:paraId="4E14D51A">
            <w:pPr>
              <w:tabs>
                <w:tab w:val="left" w:pos="6300"/>
              </w:tabs>
              <w:snapToGrid w:val="0"/>
              <w:spacing w:line="500" w:lineRule="exact"/>
              <w:rPr>
                <w:rFonts w:hint="eastAsia" w:ascii="仿宋" w:hAnsi="仿宋" w:eastAsia="仿宋" w:cs="仿宋"/>
                <w:color w:val="auto"/>
                <w:sz w:val="21"/>
                <w:szCs w:val="21"/>
              </w:rPr>
            </w:pPr>
            <w:r>
              <w:rPr>
                <w:rFonts w:hint="eastAsia" w:ascii="仿宋" w:hAnsi="仿宋" w:eastAsia="仿宋" w:cs="仿宋"/>
                <w:color w:val="auto"/>
                <w:sz w:val="21"/>
                <w:szCs w:val="21"/>
              </w:rPr>
              <w:t>手机</w:t>
            </w:r>
          </w:p>
        </w:tc>
        <w:tc>
          <w:tcPr>
            <w:tcW w:w="3965" w:type="dxa"/>
            <w:noWrap w:val="0"/>
            <w:vAlign w:val="center"/>
          </w:tcPr>
          <w:p w14:paraId="600B25F8">
            <w:pPr>
              <w:tabs>
                <w:tab w:val="left" w:pos="6300"/>
              </w:tabs>
              <w:snapToGrid w:val="0"/>
              <w:spacing w:line="500" w:lineRule="exact"/>
              <w:ind w:firstLine="570"/>
              <w:rPr>
                <w:rFonts w:hint="eastAsia" w:ascii="仿宋" w:hAnsi="仿宋" w:eastAsia="仿宋" w:cs="仿宋"/>
                <w:color w:val="auto"/>
                <w:sz w:val="21"/>
                <w:szCs w:val="21"/>
              </w:rPr>
            </w:pPr>
          </w:p>
        </w:tc>
      </w:tr>
      <w:tr w14:paraId="4F935910">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713" w:hRule="atLeast"/>
        </w:trPr>
        <w:tc>
          <w:tcPr>
            <w:tcW w:w="1832" w:type="dxa"/>
            <w:noWrap w:val="0"/>
            <w:vAlign w:val="center"/>
          </w:tcPr>
          <w:p w14:paraId="56BAB94A">
            <w:pPr>
              <w:tabs>
                <w:tab w:val="left" w:pos="6300"/>
              </w:tabs>
              <w:snapToGrid w:val="0"/>
              <w:spacing w:line="500" w:lineRule="exact"/>
              <w:jc w:val="center"/>
              <w:rPr>
                <w:rFonts w:hint="eastAsia" w:ascii="仿宋" w:hAnsi="仿宋" w:eastAsia="仿宋" w:cs="仿宋"/>
                <w:color w:val="auto"/>
                <w:sz w:val="21"/>
                <w:szCs w:val="21"/>
              </w:rPr>
            </w:pPr>
            <w:r>
              <w:rPr>
                <w:rFonts w:hint="eastAsia" w:ascii="仿宋" w:hAnsi="仿宋" w:eastAsia="仿宋" w:cs="仿宋"/>
                <w:color w:val="auto"/>
                <w:sz w:val="21"/>
                <w:szCs w:val="21"/>
              </w:rPr>
              <w:t>办公电话</w:t>
            </w:r>
          </w:p>
        </w:tc>
        <w:tc>
          <w:tcPr>
            <w:tcW w:w="2391" w:type="dxa"/>
            <w:noWrap w:val="0"/>
            <w:vAlign w:val="center"/>
          </w:tcPr>
          <w:p w14:paraId="4F0CE4F2">
            <w:pPr>
              <w:tabs>
                <w:tab w:val="left" w:pos="6300"/>
              </w:tabs>
              <w:snapToGrid w:val="0"/>
              <w:spacing w:line="500" w:lineRule="exact"/>
              <w:ind w:firstLine="570"/>
              <w:rPr>
                <w:rFonts w:hint="eastAsia" w:ascii="仿宋" w:hAnsi="仿宋" w:eastAsia="仿宋" w:cs="仿宋"/>
                <w:color w:val="auto"/>
                <w:sz w:val="21"/>
                <w:szCs w:val="21"/>
              </w:rPr>
            </w:pPr>
          </w:p>
        </w:tc>
        <w:tc>
          <w:tcPr>
            <w:tcW w:w="1051" w:type="dxa"/>
            <w:noWrap w:val="0"/>
            <w:vAlign w:val="center"/>
          </w:tcPr>
          <w:p w14:paraId="5C0874D4">
            <w:pPr>
              <w:tabs>
                <w:tab w:val="left" w:pos="6300"/>
              </w:tabs>
              <w:snapToGrid w:val="0"/>
              <w:spacing w:line="500" w:lineRule="exact"/>
              <w:rPr>
                <w:rFonts w:hint="eastAsia" w:ascii="仿宋" w:hAnsi="仿宋" w:eastAsia="仿宋" w:cs="仿宋"/>
                <w:color w:val="auto"/>
                <w:sz w:val="21"/>
                <w:szCs w:val="21"/>
              </w:rPr>
            </w:pPr>
            <w:r>
              <w:rPr>
                <w:rFonts w:hint="eastAsia" w:ascii="仿宋" w:hAnsi="仿宋" w:eastAsia="仿宋" w:cs="仿宋"/>
                <w:color w:val="auto"/>
                <w:sz w:val="21"/>
                <w:szCs w:val="21"/>
              </w:rPr>
              <w:t>传真</w:t>
            </w:r>
          </w:p>
        </w:tc>
        <w:tc>
          <w:tcPr>
            <w:tcW w:w="3965" w:type="dxa"/>
            <w:noWrap w:val="0"/>
            <w:vAlign w:val="center"/>
          </w:tcPr>
          <w:p w14:paraId="2FC6B2AB">
            <w:pPr>
              <w:tabs>
                <w:tab w:val="left" w:pos="6300"/>
              </w:tabs>
              <w:snapToGrid w:val="0"/>
              <w:spacing w:line="500" w:lineRule="exact"/>
              <w:ind w:firstLine="570"/>
              <w:rPr>
                <w:rFonts w:hint="eastAsia" w:ascii="仿宋" w:hAnsi="仿宋" w:eastAsia="仿宋" w:cs="仿宋"/>
                <w:color w:val="auto"/>
                <w:sz w:val="21"/>
                <w:szCs w:val="21"/>
              </w:rPr>
            </w:pPr>
          </w:p>
        </w:tc>
      </w:tr>
      <w:tr w14:paraId="7417F22D">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trPr>
        <w:tc>
          <w:tcPr>
            <w:tcW w:w="1832" w:type="dxa"/>
            <w:noWrap w:val="0"/>
            <w:vAlign w:val="center"/>
          </w:tcPr>
          <w:p w14:paraId="0BFBF608">
            <w:pPr>
              <w:tabs>
                <w:tab w:val="left" w:pos="6300"/>
              </w:tabs>
              <w:snapToGrid w:val="0"/>
              <w:spacing w:line="500" w:lineRule="exact"/>
              <w:jc w:val="center"/>
              <w:rPr>
                <w:rFonts w:hint="eastAsia" w:ascii="仿宋" w:hAnsi="仿宋" w:eastAsia="仿宋" w:cs="仿宋"/>
                <w:color w:val="auto"/>
                <w:sz w:val="21"/>
                <w:szCs w:val="21"/>
              </w:rPr>
            </w:pPr>
            <w:r>
              <w:rPr>
                <w:rFonts w:hint="eastAsia" w:ascii="仿宋" w:hAnsi="仿宋" w:eastAsia="仿宋" w:cs="仿宋"/>
                <w:color w:val="auto"/>
                <w:sz w:val="21"/>
                <w:szCs w:val="21"/>
              </w:rPr>
              <w:t>E-mail</w:t>
            </w:r>
          </w:p>
        </w:tc>
        <w:tc>
          <w:tcPr>
            <w:tcW w:w="7407" w:type="dxa"/>
            <w:gridSpan w:val="3"/>
            <w:noWrap w:val="0"/>
            <w:vAlign w:val="center"/>
          </w:tcPr>
          <w:p w14:paraId="4B0BDB37">
            <w:pPr>
              <w:tabs>
                <w:tab w:val="left" w:pos="6300"/>
              </w:tabs>
              <w:snapToGrid w:val="0"/>
              <w:spacing w:line="500" w:lineRule="exact"/>
              <w:ind w:firstLine="570"/>
              <w:rPr>
                <w:rFonts w:hint="eastAsia" w:ascii="仿宋" w:hAnsi="仿宋" w:eastAsia="仿宋" w:cs="仿宋"/>
                <w:color w:val="auto"/>
                <w:sz w:val="21"/>
                <w:szCs w:val="21"/>
              </w:rPr>
            </w:pPr>
          </w:p>
        </w:tc>
      </w:tr>
      <w:tr w14:paraId="26D701C2">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1832" w:type="dxa"/>
            <w:noWrap w:val="0"/>
            <w:vAlign w:val="center"/>
          </w:tcPr>
          <w:p w14:paraId="74EE364A">
            <w:pPr>
              <w:tabs>
                <w:tab w:val="left" w:pos="6300"/>
              </w:tabs>
              <w:snapToGrid w:val="0"/>
              <w:spacing w:line="500" w:lineRule="exact"/>
              <w:jc w:val="center"/>
              <w:rPr>
                <w:rFonts w:hint="eastAsia" w:ascii="仿宋" w:hAnsi="仿宋" w:eastAsia="仿宋" w:cs="仿宋"/>
                <w:color w:val="auto"/>
                <w:sz w:val="21"/>
                <w:szCs w:val="21"/>
              </w:rPr>
            </w:pPr>
            <w:r>
              <w:rPr>
                <w:rFonts w:hint="eastAsia" w:ascii="仿宋" w:hAnsi="仿宋" w:eastAsia="仿宋" w:cs="仿宋"/>
                <w:color w:val="auto"/>
                <w:sz w:val="21"/>
                <w:szCs w:val="21"/>
              </w:rPr>
              <w:t>单位地址</w:t>
            </w:r>
          </w:p>
        </w:tc>
        <w:tc>
          <w:tcPr>
            <w:tcW w:w="7407" w:type="dxa"/>
            <w:gridSpan w:val="3"/>
            <w:noWrap w:val="0"/>
            <w:vAlign w:val="center"/>
          </w:tcPr>
          <w:p w14:paraId="63EF71BD">
            <w:pPr>
              <w:tabs>
                <w:tab w:val="left" w:pos="6300"/>
              </w:tabs>
              <w:snapToGrid w:val="0"/>
              <w:spacing w:line="500" w:lineRule="exact"/>
              <w:ind w:firstLine="570"/>
              <w:rPr>
                <w:rFonts w:hint="eastAsia" w:ascii="仿宋" w:hAnsi="仿宋" w:eastAsia="仿宋" w:cs="仿宋"/>
                <w:color w:val="auto"/>
                <w:sz w:val="21"/>
                <w:szCs w:val="21"/>
              </w:rPr>
            </w:pPr>
          </w:p>
        </w:tc>
      </w:tr>
    </w:tbl>
    <w:p w14:paraId="185CAA27">
      <w:pPr>
        <w:spacing w:line="360" w:lineRule="auto"/>
        <w:jc w:val="center"/>
        <w:rPr>
          <w:rFonts w:hint="eastAsia" w:ascii="仿宋" w:hAnsi="仿宋" w:eastAsia="仿宋" w:cs="仿宋"/>
          <w:color w:val="auto"/>
          <w:sz w:val="28"/>
          <w:szCs w:val="20"/>
          <w:lang w:eastAsia="zh-CN"/>
        </w:rPr>
      </w:pPr>
    </w:p>
    <w:p w14:paraId="7D89C763">
      <w:pPr>
        <w:spacing w:line="520" w:lineRule="exact"/>
        <w:ind w:firstLine="480"/>
        <w:rPr>
          <w:rFonts w:hint="eastAsia" w:ascii="仿宋" w:hAnsi="仿宋" w:eastAsia="仿宋" w:cs="仿宋"/>
          <w:color w:val="auto"/>
          <w:highlight w:val="none"/>
        </w:rPr>
      </w:pPr>
      <w:r>
        <w:rPr>
          <w:rFonts w:hint="eastAsia" w:ascii="仿宋" w:hAnsi="仿宋" w:eastAsia="仿宋" w:cs="仿宋"/>
          <w:color w:val="auto"/>
          <w:highlight w:val="none"/>
        </w:rPr>
        <w:t>相关说明：</w:t>
      </w:r>
    </w:p>
    <w:p w14:paraId="14169908">
      <w:pPr>
        <w:tabs>
          <w:tab w:val="left" w:pos="6300"/>
        </w:tabs>
        <w:snapToGrid w:val="0"/>
        <w:spacing w:line="500" w:lineRule="exact"/>
        <w:ind w:firstLine="570"/>
        <w:outlineLvl w:val="1"/>
        <w:rPr>
          <w:rFonts w:hint="eastAsia" w:ascii="仿宋" w:hAnsi="仿宋" w:eastAsia="仿宋" w:cs="仿宋"/>
          <w:color w:val="auto"/>
          <w:sz w:val="21"/>
          <w:szCs w:val="21"/>
          <w:highlight w:val="none"/>
        </w:rPr>
      </w:pPr>
      <w:bookmarkStart w:id="188" w:name="_Toc6684"/>
      <w:bookmarkStart w:id="189" w:name="_Toc3165"/>
      <w:r>
        <w:rPr>
          <w:rFonts w:hint="eastAsia" w:ascii="仿宋" w:hAnsi="仿宋" w:eastAsia="仿宋" w:cs="仿宋"/>
          <w:color w:val="auto"/>
          <w:sz w:val="21"/>
          <w:szCs w:val="21"/>
          <w:highlight w:val="none"/>
        </w:rPr>
        <w:t>1.现金购买</w:t>
      </w:r>
      <w:bookmarkEnd w:id="188"/>
      <w:bookmarkEnd w:id="189"/>
    </w:p>
    <w:p w14:paraId="105DD663">
      <w:pPr>
        <w:tabs>
          <w:tab w:val="left" w:pos="6300"/>
        </w:tabs>
        <w:snapToGrid w:val="0"/>
        <w:spacing w:line="500" w:lineRule="exact"/>
        <w:ind w:firstLine="57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在</w:t>
      </w:r>
      <w:r>
        <w:rPr>
          <w:rFonts w:hint="eastAsia" w:ascii="仿宋" w:hAnsi="仿宋" w:eastAsia="仿宋" w:cs="仿宋"/>
          <w:color w:val="auto"/>
          <w:sz w:val="21"/>
          <w:szCs w:val="21"/>
          <w:highlight w:val="none"/>
          <w:lang w:eastAsia="zh-CN"/>
        </w:rPr>
        <w:t>文件</w:t>
      </w:r>
      <w:r>
        <w:rPr>
          <w:rFonts w:hint="eastAsia" w:ascii="仿宋" w:hAnsi="仿宋" w:eastAsia="仿宋" w:cs="仿宋"/>
          <w:color w:val="auto"/>
          <w:sz w:val="21"/>
          <w:szCs w:val="21"/>
          <w:highlight w:val="none"/>
        </w:rPr>
        <w:t>发售期内</w:t>
      </w:r>
      <w:r>
        <w:rPr>
          <w:rFonts w:hint="eastAsia" w:ascii="仿宋" w:hAnsi="仿宋" w:eastAsia="仿宋" w:cs="仿宋"/>
          <w:color w:val="auto"/>
          <w:sz w:val="21"/>
          <w:szCs w:val="21"/>
          <w:highlight w:val="none"/>
          <w:lang w:eastAsia="zh-CN"/>
        </w:rPr>
        <w:t>按</w:t>
      </w:r>
      <w:r>
        <w:rPr>
          <w:rFonts w:hint="eastAsia" w:ascii="仿宋" w:hAnsi="仿宋" w:eastAsia="仿宋" w:cs="仿宋"/>
          <w:color w:val="auto"/>
          <w:sz w:val="21"/>
          <w:szCs w:val="21"/>
          <w:highlight w:val="none"/>
          <w:lang w:val="en-US" w:eastAsia="zh-CN"/>
        </w:rPr>
        <w:t>采购文件</w:t>
      </w:r>
      <w:r>
        <w:rPr>
          <w:rFonts w:hint="eastAsia" w:ascii="仿宋" w:hAnsi="仿宋" w:eastAsia="仿宋" w:cs="仿宋"/>
          <w:color w:val="auto"/>
          <w:sz w:val="21"/>
          <w:szCs w:val="21"/>
          <w:highlight w:val="none"/>
          <w:lang w:eastAsia="zh-CN"/>
        </w:rPr>
        <w:t>要求购买</w:t>
      </w:r>
      <w:r>
        <w:rPr>
          <w:rFonts w:hint="eastAsia" w:ascii="仿宋" w:hAnsi="仿宋" w:eastAsia="仿宋" w:cs="仿宋"/>
          <w:color w:val="auto"/>
          <w:sz w:val="21"/>
          <w:szCs w:val="21"/>
          <w:highlight w:val="none"/>
        </w:rPr>
        <w:t>。</w:t>
      </w:r>
    </w:p>
    <w:p w14:paraId="63BCF657">
      <w:pPr>
        <w:spacing w:line="520" w:lineRule="exact"/>
        <w:ind w:firstLine="480"/>
        <w:outlineLvl w:val="9"/>
        <w:rPr>
          <w:rFonts w:hint="eastAsia" w:ascii="宋体" w:hAnsi="宋体" w:eastAsia="宋体" w:cs="宋体"/>
          <w:color w:val="auto"/>
          <w:highlight w:val="none"/>
        </w:rPr>
      </w:pPr>
      <w:r>
        <w:rPr>
          <w:rFonts w:hint="eastAsia" w:ascii="宋体" w:hAnsi="宋体" w:eastAsia="宋体" w:cs="宋体"/>
          <w:color w:val="auto"/>
          <w:highlight w:val="none"/>
        </w:rPr>
        <w:t>相关说明：</w:t>
      </w:r>
    </w:p>
    <w:p w14:paraId="47C3915D">
      <w:pPr>
        <w:spacing w:line="520" w:lineRule="exact"/>
        <w:ind w:firstLine="480"/>
        <w:outlineLvl w:val="9"/>
        <w:rPr>
          <w:rFonts w:hint="eastAsia" w:ascii="宋体" w:hAnsi="宋体" w:eastAsia="宋体" w:cs="宋体"/>
          <w:color w:val="auto"/>
          <w:highlight w:val="none"/>
          <w:lang w:eastAsia="zh-CN"/>
        </w:rPr>
      </w:pPr>
      <w:r>
        <w:rPr>
          <w:rFonts w:hint="eastAsia" w:ascii="宋体" w:hAnsi="宋体" w:eastAsia="宋体" w:cs="宋体"/>
          <w:color w:val="auto"/>
          <w:highlight w:val="none"/>
        </w:rPr>
        <w:t>供应商需在规定的报名时间内（工作日：每天上午9：00-12:00时，下午14：00-17：00时）缴纳报名费。供应商在缴纳报名费后，请将《报名登记表》（加盖供应商公章）</w:t>
      </w:r>
      <w:r>
        <w:rPr>
          <w:rFonts w:hint="eastAsia" w:ascii="宋体" w:hAnsi="宋体" w:eastAsia="宋体" w:cs="宋体"/>
          <w:color w:val="auto"/>
          <w:highlight w:val="none"/>
          <w:lang w:eastAsia="zh-CN"/>
        </w:rPr>
        <w:t>传至邮箱</w:t>
      </w:r>
      <w:r>
        <w:rPr>
          <w:rFonts w:hint="eastAsia" w:ascii="宋体" w:hAnsi="宋体" w:eastAsia="宋体" w:cs="宋体"/>
          <w:color w:val="auto"/>
          <w:highlight w:val="none"/>
        </w:rPr>
        <w:t>。</w:t>
      </w:r>
    </w:p>
    <w:p w14:paraId="6AFD5107">
      <w:pPr>
        <w:spacing w:line="360" w:lineRule="auto"/>
        <w:jc w:val="center"/>
        <w:rPr>
          <w:rFonts w:hint="eastAsia" w:ascii="仿宋" w:hAnsi="仿宋" w:eastAsia="仿宋" w:cs="仿宋"/>
          <w:color w:val="auto"/>
          <w:sz w:val="24"/>
          <w:szCs w:val="18"/>
        </w:rPr>
      </w:pPr>
    </w:p>
    <w:p w14:paraId="641CB35B">
      <w:pPr>
        <w:keepNext w:val="0"/>
        <w:keepLines w:val="0"/>
        <w:pageBreakBefore w:val="0"/>
        <w:widowControl w:val="0"/>
        <w:kinsoku/>
        <w:wordWrap/>
        <w:overflowPunct/>
        <w:topLinePunct w:val="0"/>
        <w:autoSpaceDE/>
        <w:autoSpaceDN/>
        <w:bidi w:val="0"/>
        <w:adjustRightInd/>
        <w:snapToGrid/>
        <w:spacing w:beforeAutospacing="0" w:afterAutospacing="0" w:line="500" w:lineRule="exact"/>
        <w:jc w:val="center"/>
        <w:textAlignment w:val="auto"/>
        <w:rPr>
          <w:rFonts w:hint="default" w:ascii="仿宋" w:hAnsi="仿宋" w:eastAsia="仿宋" w:cs="仿宋"/>
          <w:sz w:val="30"/>
          <w:szCs w:val="30"/>
          <w:woUserID w:val="2"/>
        </w:rPr>
      </w:pPr>
    </w:p>
    <w:p w14:paraId="09B25CD2">
      <w:pPr>
        <w:keepNext w:val="0"/>
        <w:keepLines w:val="0"/>
        <w:pageBreakBefore w:val="0"/>
        <w:widowControl w:val="0"/>
        <w:kinsoku/>
        <w:wordWrap/>
        <w:overflowPunct/>
        <w:topLinePunct w:val="0"/>
        <w:autoSpaceDE/>
        <w:autoSpaceDN/>
        <w:bidi w:val="0"/>
        <w:adjustRightInd/>
        <w:snapToGrid/>
        <w:spacing w:beforeAutospacing="0" w:afterAutospacing="0" w:line="500" w:lineRule="exact"/>
        <w:jc w:val="center"/>
        <w:textAlignment w:val="auto"/>
        <w:rPr>
          <w:rFonts w:hint="default" w:ascii="仿宋" w:hAnsi="仿宋" w:eastAsia="仿宋" w:cs="仿宋"/>
          <w:sz w:val="30"/>
          <w:szCs w:val="30"/>
          <w:woUserID w:val="2"/>
        </w:rPr>
      </w:pPr>
    </w:p>
    <w:p w14:paraId="232A228B">
      <w:pPr>
        <w:keepNext w:val="0"/>
        <w:keepLines w:val="0"/>
        <w:pageBreakBefore w:val="0"/>
        <w:widowControl w:val="0"/>
        <w:kinsoku/>
        <w:wordWrap/>
        <w:overflowPunct/>
        <w:topLinePunct w:val="0"/>
        <w:autoSpaceDE/>
        <w:autoSpaceDN/>
        <w:bidi w:val="0"/>
        <w:adjustRightInd/>
        <w:snapToGrid/>
        <w:spacing w:beforeAutospacing="0" w:afterAutospacing="0" w:line="500" w:lineRule="exact"/>
        <w:jc w:val="center"/>
        <w:textAlignment w:val="auto"/>
        <w:rPr>
          <w:rFonts w:hint="default" w:ascii="仿宋" w:hAnsi="仿宋" w:eastAsia="仿宋" w:cs="仿宋"/>
          <w:sz w:val="30"/>
          <w:szCs w:val="30"/>
          <w:woUserID w:val="2"/>
        </w:rPr>
      </w:pPr>
    </w:p>
    <w:p w14:paraId="6A0CBC13">
      <w:pPr>
        <w:keepNext w:val="0"/>
        <w:keepLines w:val="0"/>
        <w:pageBreakBefore w:val="0"/>
        <w:widowControl w:val="0"/>
        <w:kinsoku/>
        <w:wordWrap/>
        <w:overflowPunct/>
        <w:topLinePunct w:val="0"/>
        <w:autoSpaceDE/>
        <w:autoSpaceDN/>
        <w:bidi w:val="0"/>
        <w:adjustRightInd/>
        <w:snapToGrid/>
        <w:spacing w:beforeAutospacing="0" w:afterAutospacing="0" w:line="500" w:lineRule="exact"/>
        <w:jc w:val="center"/>
        <w:textAlignment w:val="auto"/>
        <w:rPr>
          <w:rFonts w:hint="default" w:ascii="仿宋" w:hAnsi="仿宋" w:eastAsia="仿宋" w:cs="仿宋"/>
          <w:sz w:val="30"/>
          <w:szCs w:val="30"/>
          <w:woUserID w:val="2"/>
        </w:rPr>
      </w:pPr>
    </w:p>
    <w:p w14:paraId="760620E9">
      <w:pPr>
        <w:keepNext w:val="0"/>
        <w:keepLines w:val="0"/>
        <w:pageBreakBefore w:val="0"/>
        <w:widowControl w:val="0"/>
        <w:kinsoku/>
        <w:wordWrap/>
        <w:overflowPunct/>
        <w:topLinePunct w:val="0"/>
        <w:autoSpaceDE/>
        <w:autoSpaceDN/>
        <w:bidi w:val="0"/>
        <w:adjustRightInd/>
        <w:snapToGrid/>
        <w:spacing w:beforeAutospacing="0" w:afterAutospacing="0" w:line="500" w:lineRule="exact"/>
        <w:jc w:val="center"/>
        <w:textAlignment w:val="auto"/>
        <w:rPr>
          <w:rFonts w:hint="default" w:ascii="仿宋" w:hAnsi="仿宋" w:eastAsia="仿宋" w:cs="仿宋"/>
          <w:sz w:val="30"/>
          <w:szCs w:val="30"/>
          <w:woUserID w:val="2"/>
        </w:rPr>
      </w:pPr>
    </w:p>
    <w:p w14:paraId="18BB795B">
      <w:pPr>
        <w:pStyle w:val="5"/>
        <w:rPr>
          <w:rFonts w:hint="default" w:eastAsia="仿宋_GB2312"/>
          <w:lang w:val="en-US" w:eastAsia="zh-CN"/>
        </w:rPr>
      </w:pPr>
      <w:bookmarkStart w:id="190" w:name="_GoBack"/>
      <w:r>
        <w:rPr>
          <w:rFonts w:hint="default" w:eastAsia="仿宋_GB2312"/>
          <w:lang w:val="en-US" w:eastAsia="zh-CN"/>
        </w:rPr>
        <w:drawing>
          <wp:anchor distT="0" distB="0" distL="114300" distR="114300" simplePos="0" relativeHeight="251661312" behindDoc="0" locked="0" layoutInCell="1" allowOverlap="1">
            <wp:simplePos x="0" y="0"/>
            <wp:positionH relativeFrom="column">
              <wp:posOffset>-969645</wp:posOffset>
            </wp:positionH>
            <wp:positionV relativeFrom="paragraph">
              <wp:posOffset>3418840</wp:posOffset>
            </wp:positionV>
            <wp:extent cx="7320280" cy="4474210"/>
            <wp:effectExtent l="0" t="0" r="13970" b="2540"/>
            <wp:wrapSquare wrapText="bothSides"/>
            <wp:docPr id="5" name="图片 5" descr="lQLPKHNq-NTclt3NAeHNAxOwSzQEcK3kzAgJ0vHmlCwAAA_787_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lQLPKHNq-NTclt3NAeHNAxOwSzQEcK3kzAgJ0vHmlCwAAA_787_481"/>
                    <pic:cNvPicPr>
                      <a:picLocks noChangeAspect="1"/>
                    </pic:cNvPicPr>
                  </pic:nvPicPr>
                  <pic:blipFill>
                    <a:blip r:embed="rId13"/>
                    <a:stretch>
                      <a:fillRect/>
                    </a:stretch>
                  </pic:blipFill>
                  <pic:spPr>
                    <a:xfrm>
                      <a:off x="0" y="0"/>
                      <a:ext cx="7320280" cy="4474210"/>
                    </a:xfrm>
                    <a:prstGeom prst="rect">
                      <a:avLst/>
                    </a:prstGeom>
                  </pic:spPr>
                </pic:pic>
              </a:graphicData>
            </a:graphic>
          </wp:anchor>
        </w:drawing>
      </w:r>
      <w:r>
        <w:rPr>
          <w:rFonts w:hint="default" w:eastAsia="仿宋_GB2312"/>
          <w:lang w:val="en-US" w:eastAsia="zh-CN"/>
        </w:rPr>
        <w:drawing>
          <wp:anchor distT="0" distB="0" distL="114300" distR="114300" simplePos="0" relativeHeight="251660288" behindDoc="0" locked="0" layoutInCell="1" allowOverlap="1">
            <wp:simplePos x="0" y="0"/>
            <wp:positionH relativeFrom="column">
              <wp:posOffset>-508000</wp:posOffset>
            </wp:positionH>
            <wp:positionV relativeFrom="paragraph">
              <wp:posOffset>501650</wp:posOffset>
            </wp:positionV>
            <wp:extent cx="6489700" cy="3489960"/>
            <wp:effectExtent l="0" t="0" r="6350" b="15240"/>
            <wp:wrapSquare wrapText="bothSides"/>
            <wp:docPr id="4" name="图片 4" descr="lQLPJx4_SUpvpt3NAYHNAsywIXpDyGN4nGQJ0vHmkpmzAA_716_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lQLPJx4_SUpvpt3NAYHNAsywIXpDyGN4nGQJ0vHmkpmzAA_716_385"/>
                    <pic:cNvPicPr>
                      <a:picLocks noChangeAspect="1"/>
                    </pic:cNvPicPr>
                  </pic:nvPicPr>
                  <pic:blipFill>
                    <a:blip r:embed="rId14"/>
                    <a:stretch>
                      <a:fillRect/>
                    </a:stretch>
                  </pic:blipFill>
                  <pic:spPr>
                    <a:xfrm>
                      <a:off x="0" y="0"/>
                      <a:ext cx="6489700" cy="3489960"/>
                    </a:xfrm>
                    <a:prstGeom prst="rect">
                      <a:avLst/>
                    </a:prstGeom>
                  </pic:spPr>
                </pic:pic>
              </a:graphicData>
            </a:graphic>
          </wp:anchor>
        </w:drawing>
      </w:r>
      <w:r>
        <w:rPr>
          <w:rFonts w:hint="eastAsia"/>
          <w:lang w:val="en-US" w:eastAsia="zh-CN"/>
        </w:rPr>
        <w:t>附件2：</w:t>
      </w:r>
    </w:p>
    <w:p w14:paraId="3B2CB488">
      <w:pPr>
        <w:pStyle w:val="5"/>
        <w:rPr>
          <w:rFonts w:hint="default"/>
        </w:rPr>
      </w:pPr>
    </w:p>
    <w:bookmarkEnd w:id="190"/>
    <w:p w14:paraId="6E34B134">
      <w:pPr>
        <w:keepNext w:val="0"/>
        <w:keepLines w:val="0"/>
        <w:pageBreakBefore w:val="0"/>
        <w:widowControl w:val="0"/>
        <w:kinsoku/>
        <w:wordWrap/>
        <w:overflowPunct/>
        <w:topLinePunct w:val="0"/>
        <w:autoSpaceDE/>
        <w:autoSpaceDN/>
        <w:bidi w:val="0"/>
        <w:adjustRightInd/>
        <w:snapToGrid/>
        <w:spacing w:beforeAutospacing="0" w:afterAutospacing="0" w:line="500" w:lineRule="exact"/>
        <w:jc w:val="center"/>
        <w:textAlignment w:val="auto"/>
        <w:rPr>
          <w:rFonts w:hint="default" w:ascii="仿宋" w:hAnsi="仿宋" w:eastAsia="仿宋" w:cs="仿宋"/>
          <w:sz w:val="30"/>
          <w:szCs w:val="30"/>
          <w:woUserID w:val="2"/>
        </w:rPr>
      </w:pPr>
      <w:r>
        <w:rPr>
          <w:rFonts w:hint="default" w:ascii="仿宋" w:hAnsi="仿宋" w:eastAsia="仿宋" w:cs="仿宋"/>
          <w:sz w:val="30"/>
          <w:szCs w:val="30"/>
          <w:woUserID w:val="2"/>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swiss"/>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C1921B">
    <w:pPr>
      <w:pStyle w:val="10"/>
      <w:framePr w:wrap="around" w:vAnchor="text" w:hAnchor="margin" w:xAlign="center" w:y="1"/>
      <w:rPr>
        <w:rStyle w:val="18"/>
      </w:rPr>
    </w:pPr>
    <w:r>
      <w:fldChar w:fldCharType="begin"/>
    </w:r>
    <w:r>
      <w:rPr>
        <w:rStyle w:val="18"/>
      </w:rPr>
      <w:instrText xml:space="preserve">PAGE  </w:instrText>
    </w:r>
    <w:r>
      <w:fldChar w:fldCharType="separate"/>
    </w:r>
    <w:r>
      <w:fldChar w:fldCharType="end"/>
    </w:r>
  </w:p>
  <w:p w14:paraId="4611E1F0">
    <w:pPr>
      <w:pStyle w:val="1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4EFC98">
    <w:pPr>
      <w:pStyle w:val="10"/>
      <w:framePr w:wrap="around" w:vAnchor="text" w:hAnchor="margin" w:xAlign="center" w:y="1"/>
      <w:rPr>
        <w:rStyle w:val="18"/>
      </w:rPr>
    </w:pPr>
  </w:p>
  <w:p w14:paraId="61507EFF">
    <w:pPr>
      <w:pStyle w:val="10"/>
      <w:jc w:val="center"/>
      <w:rPr>
        <w:rFonts w:hint="eastAsia" w:ascii="宋体" w:hAnsi="宋体"/>
        <w:sz w:val="2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E870BB">
    <w:pPr>
      <w:pStyle w:val="1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3B69C6">
    <w:pPr>
      <w:pStyle w:val="10"/>
      <w:jc w:val="center"/>
      <w:rPr>
        <w:rFonts w:hint="eastAsia" w:ascii="宋体" w:hAnsi="宋体"/>
        <w:sz w:val="21"/>
        <w:szCs w:val="21"/>
      </w:rPr>
    </w:pPr>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70E9E55">
                          <w:pPr>
                            <w:pStyle w:val="10"/>
                            <w:jc w:val="center"/>
                          </w:pPr>
                          <w:r>
                            <w:rPr>
                              <w:rFonts w:ascii="宋体" w:hAnsi="宋体"/>
                              <w:sz w:val="21"/>
                              <w:szCs w:val="21"/>
                            </w:rPr>
                            <w:fldChar w:fldCharType="begin"/>
                          </w:r>
                          <w:r>
                            <w:rPr>
                              <w:rStyle w:val="18"/>
                              <w:rFonts w:ascii="宋体" w:hAnsi="宋体"/>
                              <w:sz w:val="21"/>
                              <w:szCs w:val="21"/>
                            </w:rPr>
                            <w:instrText xml:space="preserve"> PAGE </w:instrText>
                          </w:r>
                          <w:r>
                            <w:rPr>
                              <w:rFonts w:ascii="宋体" w:hAnsi="宋体"/>
                              <w:sz w:val="21"/>
                              <w:szCs w:val="21"/>
                            </w:rPr>
                            <w:fldChar w:fldCharType="separate"/>
                          </w:r>
                          <w:r>
                            <w:rPr>
                              <w:rStyle w:val="18"/>
                              <w:rFonts w:ascii="宋体" w:hAnsi="宋体"/>
                              <w:sz w:val="21"/>
                              <w:szCs w:val="21"/>
                            </w:rPr>
                            <w:t>- 4 -</w:t>
                          </w:r>
                          <w:r>
                            <w:rPr>
                              <w:rFonts w:ascii="宋体" w:hAnsi="宋体"/>
                              <w:sz w:val="21"/>
                              <w:szCs w:val="21"/>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path/>
              <v:fill on="f" focussize="0,0"/>
              <v:stroke on="f"/>
              <v:imagedata o:title=""/>
              <o:lock v:ext="edit" aspectratio="f"/>
              <v:textbox inset="0mm,0mm,0mm,0mm" style="mso-fit-shape-to-text:t;">
                <w:txbxContent>
                  <w:p w14:paraId="570E9E55">
                    <w:pPr>
                      <w:pStyle w:val="10"/>
                      <w:jc w:val="center"/>
                    </w:pPr>
                    <w:r>
                      <w:rPr>
                        <w:rFonts w:ascii="宋体" w:hAnsi="宋体"/>
                        <w:sz w:val="21"/>
                        <w:szCs w:val="21"/>
                      </w:rPr>
                      <w:fldChar w:fldCharType="begin"/>
                    </w:r>
                    <w:r>
                      <w:rPr>
                        <w:rStyle w:val="18"/>
                        <w:rFonts w:ascii="宋体" w:hAnsi="宋体"/>
                        <w:sz w:val="21"/>
                        <w:szCs w:val="21"/>
                      </w:rPr>
                      <w:instrText xml:space="preserve"> PAGE </w:instrText>
                    </w:r>
                    <w:r>
                      <w:rPr>
                        <w:rFonts w:ascii="宋体" w:hAnsi="宋体"/>
                        <w:sz w:val="21"/>
                        <w:szCs w:val="21"/>
                      </w:rPr>
                      <w:fldChar w:fldCharType="separate"/>
                    </w:r>
                    <w:r>
                      <w:rPr>
                        <w:rStyle w:val="18"/>
                        <w:rFonts w:ascii="宋体" w:hAnsi="宋体"/>
                        <w:sz w:val="21"/>
                        <w:szCs w:val="21"/>
                      </w:rPr>
                      <w:t>- 4 -</w:t>
                    </w:r>
                    <w:r>
                      <w:rPr>
                        <w:rFonts w:ascii="宋体" w:hAnsi="宋体"/>
                        <w:sz w:val="21"/>
                        <w:szCs w:val="21"/>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ECE3B5">
    <w:pPr>
      <w:pStyle w:val="10"/>
      <w:jc w:val="center"/>
      <w:rPr>
        <w:rFonts w:hint="eastAsia" w:ascii="宋体" w:hAnsi="宋体"/>
        <w:sz w:val="21"/>
        <w:szCs w:val="21"/>
      </w:rPr>
    </w:pPr>
    <w:r>
      <w:rPr>
        <w:sz w:val="21"/>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7C94B21">
                          <w:pPr>
                            <w:pStyle w:val="10"/>
                            <w:jc w:val="center"/>
                          </w:pPr>
                          <w:r>
                            <w:rPr>
                              <w:rFonts w:ascii="宋体" w:hAnsi="宋体"/>
                              <w:sz w:val="21"/>
                              <w:szCs w:val="21"/>
                            </w:rPr>
                            <w:fldChar w:fldCharType="begin"/>
                          </w:r>
                          <w:r>
                            <w:rPr>
                              <w:rStyle w:val="18"/>
                              <w:rFonts w:ascii="宋体" w:hAnsi="宋体"/>
                              <w:sz w:val="21"/>
                              <w:szCs w:val="21"/>
                            </w:rPr>
                            <w:instrText xml:space="preserve"> PAGE </w:instrText>
                          </w:r>
                          <w:r>
                            <w:rPr>
                              <w:rFonts w:ascii="宋体" w:hAnsi="宋体"/>
                              <w:sz w:val="21"/>
                              <w:szCs w:val="21"/>
                            </w:rPr>
                            <w:fldChar w:fldCharType="separate"/>
                          </w:r>
                          <w:r>
                            <w:rPr>
                              <w:rStyle w:val="18"/>
                              <w:rFonts w:ascii="宋体" w:hAnsi="宋体"/>
                              <w:sz w:val="21"/>
                              <w:szCs w:val="21"/>
                            </w:rPr>
                            <w:t>- 40 -</w:t>
                          </w:r>
                          <w:r>
                            <w:rPr>
                              <w:rFonts w:ascii="宋体" w:hAnsi="宋体"/>
                              <w:sz w:val="21"/>
                              <w:szCs w:val="21"/>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path/>
              <v:fill on="f" focussize="0,0"/>
              <v:stroke on="f"/>
              <v:imagedata o:title=""/>
              <o:lock v:ext="edit" aspectratio="f"/>
              <v:textbox inset="0mm,0mm,0mm,0mm" style="mso-fit-shape-to-text:t;">
                <w:txbxContent>
                  <w:p w14:paraId="57C94B21">
                    <w:pPr>
                      <w:pStyle w:val="10"/>
                      <w:jc w:val="center"/>
                    </w:pPr>
                    <w:r>
                      <w:rPr>
                        <w:rFonts w:ascii="宋体" w:hAnsi="宋体"/>
                        <w:sz w:val="21"/>
                        <w:szCs w:val="21"/>
                      </w:rPr>
                      <w:fldChar w:fldCharType="begin"/>
                    </w:r>
                    <w:r>
                      <w:rPr>
                        <w:rStyle w:val="18"/>
                        <w:rFonts w:ascii="宋体" w:hAnsi="宋体"/>
                        <w:sz w:val="21"/>
                        <w:szCs w:val="21"/>
                      </w:rPr>
                      <w:instrText xml:space="preserve"> PAGE </w:instrText>
                    </w:r>
                    <w:r>
                      <w:rPr>
                        <w:rFonts w:ascii="宋体" w:hAnsi="宋体"/>
                        <w:sz w:val="21"/>
                        <w:szCs w:val="21"/>
                      </w:rPr>
                      <w:fldChar w:fldCharType="separate"/>
                    </w:r>
                    <w:r>
                      <w:rPr>
                        <w:rStyle w:val="18"/>
                        <w:rFonts w:ascii="宋体" w:hAnsi="宋体"/>
                        <w:sz w:val="21"/>
                        <w:szCs w:val="21"/>
                      </w:rPr>
                      <w:t>- 40 -</w:t>
                    </w:r>
                    <w:r>
                      <w:rPr>
                        <w:rFonts w:ascii="宋体" w:hAnsi="宋体"/>
                        <w:sz w:val="21"/>
                        <w:szCs w:val="21"/>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7917E7">
    <w:pPr>
      <w:pStyle w:val="10"/>
      <w:framePr w:wrap="around" w:vAnchor="text" w:hAnchor="margin" w:xAlign="center" w:y="1"/>
      <w:rPr>
        <w:rStyle w:val="18"/>
      </w:rPr>
    </w:pPr>
    <w:r>
      <w:fldChar w:fldCharType="begin"/>
    </w:r>
    <w:r>
      <w:rPr>
        <w:rStyle w:val="18"/>
      </w:rPr>
      <w:instrText xml:space="preserve">PAGE  </w:instrText>
    </w:r>
    <w:r>
      <w:fldChar w:fldCharType="separate"/>
    </w:r>
    <w:r>
      <w:fldChar w:fldCharType="end"/>
    </w:r>
  </w:p>
  <w:p w14:paraId="108E292E">
    <w:pPr>
      <w:pStyle w:val="10"/>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35891E">
    <w:pPr>
      <w:pStyle w:val="12"/>
      <w:pBdr>
        <w:bottom w:val="single" w:color="auto" w:sz="4" w:space="0"/>
      </w:pBdr>
      <w:tabs>
        <w:tab w:val="left" w:pos="6802"/>
        <w:tab w:val="clear" w:pos="4153"/>
      </w:tabs>
      <w:jc w:val="both"/>
      <w:rPr>
        <w:rFonts w:hint="eastAsia"/>
      </w:rPr>
    </w:pPr>
    <w:r>
      <w:rPr>
        <w:rFonts w:hint="eastAsia" w:ascii="方正仿宋_GBK" w:eastAsia="方正仿宋_GBK"/>
        <w:sz w:val="21"/>
        <w:szCs w:val="21"/>
        <w:lang w:val="en-US" w:eastAsia="zh-CN"/>
      </w:rPr>
      <w:t>重庆修为工程咨询有限公司</w:t>
    </w:r>
    <w:r>
      <w:rPr>
        <w:rFonts w:hint="eastAsia" w:ascii="方正仿宋_GBK" w:eastAsia="方正仿宋_GBK"/>
        <w:sz w:val="21"/>
        <w:szCs w:val="21"/>
        <w:lang w:eastAsia="zh-CN"/>
      </w:rPr>
      <w:tab/>
    </w:r>
    <w:r>
      <w:rPr>
        <w:rFonts w:hint="eastAsia" w:ascii="方正仿宋_GBK" w:eastAsia="方正仿宋_GBK"/>
        <w:sz w:val="21"/>
        <w:szCs w:val="21"/>
        <w:lang w:val="en-US" w:eastAsia="zh-CN"/>
      </w:rPr>
      <w:t xml:space="preserve">                </w:t>
    </w:r>
    <w:r>
      <w:rPr>
        <w:rFonts w:hint="eastAsia" w:ascii="方正仿宋_GBK" w:eastAsia="方正仿宋_GBK"/>
        <w:sz w:val="21"/>
        <w:szCs w:val="21"/>
        <w:lang w:eastAsia="zh-CN"/>
      </w:rPr>
      <w:t>询比文件</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6658E1">
    <w:pPr>
      <w:pStyle w:val="12"/>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688B3B">
    <w:pPr>
      <w:pStyle w:val="12"/>
      <w:pBdr>
        <w:bottom w:val="none" w:color="auto" w:sz="0" w:space="1"/>
      </w:pBdr>
      <w:jc w:val="both"/>
      <w:rPr>
        <w:rFonts w:hint="eastAsia" w:ascii="方正仿宋_GBK" w:eastAsia="方正仿宋_GBK"/>
        <w:color w:val="FFFFFF"/>
        <w:sz w:val="21"/>
        <w:szCs w:val="21"/>
      </w:rPr>
    </w:pPr>
    <w:r>
      <w:rPr>
        <w:rFonts w:hint="eastAsia" w:ascii="方正仿宋_GBK" w:eastAsia="方正仿宋_GBK"/>
        <w:color w:val="FFFFFF"/>
        <w:sz w:val="21"/>
        <w:szCs w:val="21"/>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81E8065"/>
    <w:multiLevelType w:val="singleLevel"/>
    <w:tmpl w:val="B81E8065"/>
    <w:lvl w:ilvl="0" w:tentative="0">
      <w:start w:val="1"/>
      <w:numFmt w:val="decimal"/>
      <w:suff w:val="nothing"/>
      <w:lvlText w:val="%1．"/>
      <w:lvlJc w:val="left"/>
      <w:pPr>
        <w:ind w:left="0" w:firstLine="400"/>
      </w:pPr>
      <w:rPr>
        <w:rFonts w:hint="default"/>
      </w:rPr>
    </w:lvl>
  </w:abstractNum>
  <w:abstractNum w:abstractNumId="1">
    <w:nsid w:val="B8B5F6F5"/>
    <w:multiLevelType w:val="singleLevel"/>
    <w:tmpl w:val="B8B5F6F5"/>
    <w:lvl w:ilvl="0" w:tentative="0">
      <w:start w:val="4"/>
      <w:numFmt w:val="chineseCounting"/>
      <w:suff w:val="nothing"/>
      <w:lvlText w:val="%1、"/>
      <w:lvlJc w:val="left"/>
      <w:rPr>
        <w:rFonts w:hint="eastAsia"/>
      </w:rPr>
    </w:lvl>
  </w:abstractNum>
  <w:abstractNum w:abstractNumId="2">
    <w:nsid w:val="0686FD9D"/>
    <w:multiLevelType w:val="singleLevel"/>
    <w:tmpl w:val="0686FD9D"/>
    <w:lvl w:ilvl="0" w:tentative="0">
      <w:start w:val="1"/>
      <w:numFmt w:val="decimal"/>
      <w:suff w:val="nothing"/>
      <w:lvlText w:val="%1．"/>
      <w:lvlJc w:val="left"/>
      <w:pPr>
        <w:ind w:left="0" w:firstLine="400"/>
      </w:pPr>
      <w:rPr>
        <w:rFonts w:hint="default"/>
      </w:rPr>
    </w:lvl>
  </w:abstractNum>
  <w:abstractNum w:abstractNumId="3">
    <w:nsid w:val="17E06C37"/>
    <w:multiLevelType w:val="singleLevel"/>
    <w:tmpl w:val="17E06C37"/>
    <w:lvl w:ilvl="0" w:tentative="0">
      <w:start w:val="3"/>
      <w:numFmt w:val="decimal"/>
      <w:suff w:val="nothing"/>
      <w:lvlText w:val="%1、"/>
      <w:lvlJc w:val="left"/>
    </w:lvl>
  </w:abstractNum>
  <w:abstractNum w:abstractNumId="4">
    <w:nsid w:val="3556B4C1"/>
    <w:multiLevelType w:val="singleLevel"/>
    <w:tmpl w:val="3556B4C1"/>
    <w:lvl w:ilvl="0" w:tentative="0">
      <w:start w:val="1"/>
      <w:numFmt w:val="decimal"/>
      <w:suff w:val="nothing"/>
      <w:lvlText w:val="%1．"/>
      <w:lvlJc w:val="left"/>
      <w:pPr>
        <w:ind w:left="0" w:firstLine="400"/>
      </w:pPr>
      <w:rPr>
        <w:rFonts w:hint="default"/>
      </w:rPr>
    </w:lvl>
  </w:abstractNum>
  <w:abstractNum w:abstractNumId="5">
    <w:nsid w:val="6B1542A5"/>
    <w:multiLevelType w:val="singleLevel"/>
    <w:tmpl w:val="6B1542A5"/>
    <w:lvl w:ilvl="0" w:tentative="0">
      <w:start w:val="1"/>
      <w:numFmt w:val="decimal"/>
      <w:suff w:val="nothing"/>
      <w:lvlText w:val="%1．"/>
      <w:lvlJc w:val="left"/>
      <w:pPr>
        <w:ind w:left="0" w:firstLine="400"/>
      </w:pPr>
      <w:rPr>
        <w:rFonts w:hint="default"/>
      </w:rPr>
    </w:lvl>
  </w:abstractNum>
  <w:num w:numId="1">
    <w:abstractNumId w:val="3"/>
  </w:num>
  <w:num w:numId="2">
    <w:abstractNumId w:val="4"/>
  </w:num>
  <w:num w:numId="3">
    <w:abstractNumId w:val="5"/>
  </w:num>
  <w:num w:numId="4">
    <w:abstractNumId w:val="0"/>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58A37C5"/>
    <w:rsid w:val="00006574"/>
    <w:rsid w:val="00032A14"/>
    <w:rsid w:val="000B17F7"/>
    <w:rsid w:val="001A7562"/>
    <w:rsid w:val="00267E8C"/>
    <w:rsid w:val="002A2169"/>
    <w:rsid w:val="002E2602"/>
    <w:rsid w:val="00385AA5"/>
    <w:rsid w:val="00566860"/>
    <w:rsid w:val="005A7419"/>
    <w:rsid w:val="005C7B5C"/>
    <w:rsid w:val="006445F1"/>
    <w:rsid w:val="006F55B4"/>
    <w:rsid w:val="007B673A"/>
    <w:rsid w:val="007F568B"/>
    <w:rsid w:val="00812627"/>
    <w:rsid w:val="0082547A"/>
    <w:rsid w:val="008430A1"/>
    <w:rsid w:val="008B7C1C"/>
    <w:rsid w:val="00986008"/>
    <w:rsid w:val="00A30A7E"/>
    <w:rsid w:val="00AC671F"/>
    <w:rsid w:val="00AD5A8E"/>
    <w:rsid w:val="00AF119B"/>
    <w:rsid w:val="00B91009"/>
    <w:rsid w:val="00C47FC4"/>
    <w:rsid w:val="00C94A2D"/>
    <w:rsid w:val="00C96B5B"/>
    <w:rsid w:val="00CC2D91"/>
    <w:rsid w:val="00CF1F54"/>
    <w:rsid w:val="00E40FFA"/>
    <w:rsid w:val="00E56141"/>
    <w:rsid w:val="00E74F9B"/>
    <w:rsid w:val="00F362BE"/>
    <w:rsid w:val="00F7639D"/>
    <w:rsid w:val="00F821CE"/>
    <w:rsid w:val="01062348"/>
    <w:rsid w:val="010B44D9"/>
    <w:rsid w:val="010E5676"/>
    <w:rsid w:val="0113440F"/>
    <w:rsid w:val="01145D5E"/>
    <w:rsid w:val="011547AB"/>
    <w:rsid w:val="01187121"/>
    <w:rsid w:val="011F5353"/>
    <w:rsid w:val="01215609"/>
    <w:rsid w:val="01391681"/>
    <w:rsid w:val="013C6E5A"/>
    <w:rsid w:val="013F349A"/>
    <w:rsid w:val="01482F09"/>
    <w:rsid w:val="014B2EE7"/>
    <w:rsid w:val="014C2DCC"/>
    <w:rsid w:val="01532EC2"/>
    <w:rsid w:val="0154183C"/>
    <w:rsid w:val="01573FC3"/>
    <w:rsid w:val="015B0582"/>
    <w:rsid w:val="015E5338"/>
    <w:rsid w:val="01600F2E"/>
    <w:rsid w:val="01654BE5"/>
    <w:rsid w:val="016B7DBB"/>
    <w:rsid w:val="016C36D2"/>
    <w:rsid w:val="01757C70"/>
    <w:rsid w:val="01777BAB"/>
    <w:rsid w:val="01A11471"/>
    <w:rsid w:val="01A8637A"/>
    <w:rsid w:val="01A93246"/>
    <w:rsid w:val="01AC3951"/>
    <w:rsid w:val="01AE7D18"/>
    <w:rsid w:val="01BD2C9D"/>
    <w:rsid w:val="01C05433"/>
    <w:rsid w:val="01C94EB1"/>
    <w:rsid w:val="01D76F84"/>
    <w:rsid w:val="01D85A39"/>
    <w:rsid w:val="01D90BDF"/>
    <w:rsid w:val="01EB3C28"/>
    <w:rsid w:val="01F60974"/>
    <w:rsid w:val="01FA553F"/>
    <w:rsid w:val="0207422B"/>
    <w:rsid w:val="020776A3"/>
    <w:rsid w:val="020E21C6"/>
    <w:rsid w:val="020E65E2"/>
    <w:rsid w:val="02161BCE"/>
    <w:rsid w:val="02187399"/>
    <w:rsid w:val="02420B99"/>
    <w:rsid w:val="024A133E"/>
    <w:rsid w:val="02517C6B"/>
    <w:rsid w:val="02621191"/>
    <w:rsid w:val="0265389B"/>
    <w:rsid w:val="026B19BD"/>
    <w:rsid w:val="026D1F94"/>
    <w:rsid w:val="02792A3D"/>
    <w:rsid w:val="027B6917"/>
    <w:rsid w:val="02881881"/>
    <w:rsid w:val="028E4E61"/>
    <w:rsid w:val="02921F30"/>
    <w:rsid w:val="029339F0"/>
    <w:rsid w:val="02A453A2"/>
    <w:rsid w:val="02A676B5"/>
    <w:rsid w:val="02AC65D8"/>
    <w:rsid w:val="02B14AE6"/>
    <w:rsid w:val="02BF08A4"/>
    <w:rsid w:val="02C1301D"/>
    <w:rsid w:val="02CD3A70"/>
    <w:rsid w:val="02D74AFB"/>
    <w:rsid w:val="02D82D0D"/>
    <w:rsid w:val="02DE349C"/>
    <w:rsid w:val="02DF5D38"/>
    <w:rsid w:val="02EF3DF7"/>
    <w:rsid w:val="02F600A5"/>
    <w:rsid w:val="02FD00F5"/>
    <w:rsid w:val="03183A40"/>
    <w:rsid w:val="032061EF"/>
    <w:rsid w:val="0322281E"/>
    <w:rsid w:val="03230320"/>
    <w:rsid w:val="032314B7"/>
    <w:rsid w:val="032B468A"/>
    <w:rsid w:val="03326D03"/>
    <w:rsid w:val="0340123B"/>
    <w:rsid w:val="034E5E0D"/>
    <w:rsid w:val="035F2D00"/>
    <w:rsid w:val="0360133E"/>
    <w:rsid w:val="03617F73"/>
    <w:rsid w:val="03632F3C"/>
    <w:rsid w:val="03672624"/>
    <w:rsid w:val="03674807"/>
    <w:rsid w:val="036913B4"/>
    <w:rsid w:val="036A24E3"/>
    <w:rsid w:val="036F06C9"/>
    <w:rsid w:val="037D3F6D"/>
    <w:rsid w:val="03876262"/>
    <w:rsid w:val="0390148B"/>
    <w:rsid w:val="0390218B"/>
    <w:rsid w:val="03A66687"/>
    <w:rsid w:val="03A93D9A"/>
    <w:rsid w:val="03AC2AD2"/>
    <w:rsid w:val="03C96B91"/>
    <w:rsid w:val="03CF6AC6"/>
    <w:rsid w:val="03D160E3"/>
    <w:rsid w:val="03D74001"/>
    <w:rsid w:val="03DC12A3"/>
    <w:rsid w:val="03E12677"/>
    <w:rsid w:val="03E67229"/>
    <w:rsid w:val="03EA4810"/>
    <w:rsid w:val="03EC5C52"/>
    <w:rsid w:val="03F1668F"/>
    <w:rsid w:val="03F3047F"/>
    <w:rsid w:val="03F7640F"/>
    <w:rsid w:val="03F80F2D"/>
    <w:rsid w:val="040345BE"/>
    <w:rsid w:val="04051376"/>
    <w:rsid w:val="040F769E"/>
    <w:rsid w:val="04181B32"/>
    <w:rsid w:val="0425568D"/>
    <w:rsid w:val="042D7AC2"/>
    <w:rsid w:val="0431245E"/>
    <w:rsid w:val="043A5929"/>
    <w:rsid w:val="043B5E75"/>
    <w:rsid w:val="043B6939"/>
    <w:rsid w:val="043E2FBE"/>
    <w:rsid w:val="04434986"/>
    <w:rsid w:val="0450227D"/>
    <w:rsid w:val="045352F4"/>
    <w:rsid w:val="046028A8"/>
    <w:rsid w:val="04606C32"/>
    <w:rsid w:val="046252B5"/>
    <w:rsid w:val="0462532C"/>
    <w:rsid w:val="04664804"/>
    <w:rsid w:val="046D68E9"/>
    <w:rsid w:val="046E4DA0"/>
    <w:rsid w:val="0472193A"/>
    <w:rsid w:val="047A4DF0"/>
    <w:rsid w:val="047F0B09"/>
    <w:rsid w:val="047F1639"/>
    <w:rsid w:val="04832CC7"/>
    <w:rsid w:val="048D0DAE"/>
    <w:rsid w:val="04A0640B"/>
    <w:rsid w:val="04A31320"/>
    <w:rsid w:val="04A90BEE"/>
    <w:rsid w:val="04AA4AED"/>
    <w:rsid w:val="04B76A28"/>
    <w:rsid w:val="04C1250F"/>
    <w:rsid w:val="04C3053F"/>
    <w:rsid w:val="04C465FD"/>
    <w:rsid w:val="04C75BFF"/>
    <w:rsid w:val="04CB0ED7"/>
    <w:rsid w:val="04D34034"/>
    <w:rsid w:val="04D92C60"/>
    <w:rsid w:val="04E433AB"/>
    <w:rsid w:val="04E936B5"/>
    <w:rsid w:val="04EA67FB"/>
    <w:rsid w:val="04EB6F42"/>
    <w:rsid w:val="04F05B66"/>
    <w:rsid w:val="04F07A81"/>
    <w:rsid w:val="04F80FC8"/>
    <w:rsid w:val="04FA0212"/>
    <w:rsid w:val="04FE4025"/>
    <w:rsid w:val="05041230"/>
    <w:rsid w:val="05042CB8"/>
    <w:rsid w:val="050D2643"/>
    <w:rsid w:val="05195CF1"/>
    <w:rsid w:val="051D3CB0"/>
    <w:rsid w:val="052455EF"/>
    <w:rsid w:val="05262F34"/>
    <w:rsid w:val="05312C14"/>
    <w:rsid w:val="05390D84"/>
    <w:rsid w:val="053B5667"/>
    <w:rsid w:val="053C3E72"/>
    <w:rsid w:val="053D2F30"/>
    <w:rsid w:val="053D3CF8"/>
    <w:rsid w:val="05417426"/>
    <w:rsid w:val="05527E74"/>
    <w:rsid w:val="055B5FCB"/>
    <w:rsid w:val="056236AB"/>
    <w:rsid w:val="05657CD4"/>
    <w:rsid w:val="056A1834"/>
    <w:rsid w:val="056B6F2C"/>
    <w:rsid w:val="05711613"/>
    <w:rsid w:val="05747820"/>
    <w:rsid w:val="05761BE7"/>
    <w:rsid w:val="05762B73"/>
    <w:rsid w:val="057E082F"/>
    <w:rsid w:val="057E1562"/>
    <w:rsid w:val="0580627D"/>
    <w:rsid w:val="05832453"/>
    <w:rsid w:val="05853A5D"/>
    <w:rsid w:val="058A6447"/>
    <w:rsid w:val="059A2061"/>
    <w:rsid w:val="059A504E"/>
    <w:rsid w:val="05A45E30"/>
    <w:rsid w:val="05A953E9"/>
    <w:rsid w:val="05A97AD9"/>
    <w:rsid w:val="05AC56C9"/>
    <w:rsid w:val="05B23107"/>
    <w:rsid w:val="05B73790"/>
    <w:rsid w:val="05BD4653"/>
    <w:rsid w:val="05C43B75"/>
    <w:rsid w:val="05CE03B0"/>
    <w:rsid w:val="05D726F8"/>
    <w:rsid w:val="05E13F10"/>
    <w:rsid w:val="05E3350B"/>
    <w:rsid w:val="05E824A4"/>
    <w:rsid w:val="05F02086"/>
    <w:rsid w:val="05F46BE0"/>
    <w:rsid w:val="060C7486"/>
    <w:rsid w:val="060E66DB"/>
    <w:rsid w:val="060F49E9"/>
    <w:rsid w:val="06225546"/>
    <w:rsid w:val="06357A7C"/>
    <w:rsid w:val="06381103"/>
    <w:rsid w:val="064318A0"/>
    <w:rsid w:val="0645710E"/>
    <w:rsid w:val="06461BB8"/>
    <w:rsid w:val="06474D78"/>
    <w:rsid w:val="06577EB7"/>
    <w:rsid w:val="067114A6"/>
    <w:rsid w:val="06741073"/>
    <w:rsid w:val="0676436E"/>
    <w:rsid w:val="067B64FD"/>
    <w:rsid w:val="06821A10"/>
    <w:rsid w:val="068939F5"/>
    <w:rsid w:val="06917A3D"/>
    <w:rsid w:val="069301AD"/>
    <w:rsid w:val="06A0447A"/>
    <w:rsid w:val="06A534A0"/>
    <w:rsid w:val="06A878CD"/>
    <w:rsid w:val="06B2254E"/>
    <w:rsid w:val="06B66398"/>
    <w:rsid w:val="06BC38B2"/>
    <w:rsid w:val="06C078AE"/>
    <w:rsid w:val="06C30E0F"/>
    <w:rsid w:val="06C46A3C"/>
    <w:rsid w:val="06C72620"/>
    <w:rsid w:val="06D10D8B"/>
    <w:rsid w:val="06E000B7"/>
    <w:rsid w:val="06E0135B"/>
    <w:rsid w:val="06E14539"/>
    <w:rsid w:val="06EF481A"/>
    <w:rsid w:val="06F11468"/>
    <w:rsid w:val="07270207"/>
    <w:rsid w:val="07275ACF"/>
    <w:rsid w:val="0731537F"/>
    <w:rsid w:val="07351DED"/>
    <w:rsid w:val="0736356E"/>
    <w:rsid w:val="07384EA3"/>
    <w:rsid w:val="073D44C9"/>
    <w:rsid w:val="07405938"/>
    <w:rsid w:val="07442242"/>
    <w:rsid w:val="07480A26"/>
    <w:rsid w:val="074A22BD"/>
    <w:rsid w:val="074B16CA"/>
    <w:rsid w:val="074F0165"/>
    <w:rsid w:val="0756709B"/>
    <w:rsid w:val="07642524"/>
    <w:rsid w:val="076A658C"/>
    <w:rsid w:val="07742B61"/>
    <w:rsid w:val="0775590C"/>
    <w:rsid w:val="07771468"/>
    <w:rsid w:val="07836467"/>
    <w:rsid w:val="0788183C"/>
    <w:rsid w:val="07884F32"/>
    <w:rsid w:val="078B5E0E"/>
    <w:rsid w:val="0793476C"/>
    <w:rsid w:val="0793790F"/>
    <w:rsid w:val="0795132A"/>
    <w:rsid w:val="079671F0"/>
    <w:rsid w:val="07A635F4"/>
    <w:rsid w:val="07A95D9A"/>
    <w:rsid w:val="07B6339D"/>
    <w:rsid w:val="07B73F86"/>
    <w:rsid w:val="07B8312D"/>
    <w:rsid w:val="07B90B07"/>
    <w:rsid w:val="07C475B6"/>
    <w:rsid w:val="07CE4919"/>
    <w:rsid w:val="07D05D20"/>
    <w:rsid w:val="07D9678D"/>
    <w:rsid w:val="07D96A5F"/>
    <w:rsid w:val="07E73D48"/>
    <w:rsid w:val="07F55170"/>
    <w:rsid w:val="07F84EBA"/>
    <w:rsid w:val="07FA4CBB"/>
    <w:rsid w:val="08034A8E"/>
    <w:rsid w:val="08035DA8"/>
    <w:rsid w:val="08072654"/>
    <w:rsid w:val="081B4B84"/>
    <w:rsid w:val="08267F81"/>
    <w:rsid w:val="082B5817"/>
    <w:rsid w:val="08312B60"/>
    <w:rsid w:val="08354D78"/>
    <w:rsid w:val="083C6CDE"/>
    <w:rsid w:val="0848584A"/>
    <w:rsid w:val="084C38DE"/>
    <w:rsid w:val="085C5D71"/>
    <w:rsid w:val="086527CA"/>
    <w:rsid w:val="086756EE"/>
    <w:rsid w:val="087201C0"/>
    <w:rsid w:val="088321AB"/>
    <w:rsid w:val="08884AD4"/>
    <w:rsid w:val="08937714"/>
    <w:rsid w:val="0895627C"/>
    <w:rsid w:val="08A0229A"/>
    <w:rsid w:val="08A204AB"/>
    <w:rsid w:val="08A368BF"/>
    <w:rsid w:val="08AB3DF4"/>
    <w:rsid w:val="08AB7694"/>
    <w:rsid w:val="08AC5272"/>
    <w:rsid w:val="08AE53B4"/>
    <w:rsid w:val="08BA0BD7"/>
    <w:rsid w:val="08BD42AA"/>
    <w:rsid w:val="08BF7B9B"/>
    <w:rsid w:val="08C26A4B"/>
    <w:rsid w:val="08C3383F"/>
    <w:rsid w:val="08C73C71"/>
    <w:rsid w:val="08CB5C73"/>
    <w:rsid w:val="08D00ACC"/>
    <w:rsid w:val="08D234DB"/>
    <w:rsid w:val="08D67F0E"/>
    <w:rsid w:val="08DC0F24"/>
    <w:rsid w:val="08E1265A"/>
    <w:rsid w:val="08EB14D8"/>
    <w:rsid w:val="08F521B9"/>
    <w:rsid w:val="09082AB2"/>
    <w:rsid w:val="090B2CC0"/>
    <w:rsid w:val="0913639D"/>
    <w:rsid w:val="091F2FA4"/>
    <w:rsid w:val="09241E71"/>
    <w:rsid w:val="09304DD5"/>
    <w:rsid w:val="0935152C"/>
    <w:rsid w:val="093777BE"/>
    <w:rsid w:val="093D5E51"/>
    <w:rsid w:val="09445D49"/>
    <w:rsid w:val="095B09F3"/>
    <w:rsid w:val="09640B9E"/>
    <w:rsid w:val="097349AB"/>
    <w:rsid w:val="09787F67"/>
    <w:rsid w:val="098842F7"/>
    <w:rsid w:val="098918B9"/>
    <w:rsid w:val="098C7E5B"/>
    <w:rsid w:val="09962BB1"/>
    <w:rsid w:val="09993D8D"/>
    <w:rsid w:val="09A843BF"/>
    <w:rsid w:val="09AB753D"/>
    <w:rsid w:val="09BF499B"/>
    <w:rsid w:val="09C56974"/>
    <w:rsid w:val="09C66643"/>
    <w:rsid w:val="09CC6F7F"/>
    <w:rsid w:val="09CE4B38"/>
    <w:rsid w:val="09CF19C3"/>
    <w:rsid w:val="09E52B26"/>
    <w:rsid w:val="09E86C3F"/>
    <w:rsid w:val="09F733CD"/>
    <w:rsid w:val="09FA0314"/>
    <w:rsid w:val="0A0103A0"/>
    <w:rsid w:val="0A014F35"/>
    <w:rsid w:val="0A077740"/>
    <w:rsid w:val="0A0A1264"/>
    <w:rsid w:val="0A0A6B8C"/>
    <w:rsid w:val="0A0B72FE"/>
    <w:rsid w:val="0A1A2253"/>
    <w:rsid w:val="0A1A33E2"/>
    <w:rsid w:val="0A1A7DDE"/>
    <w:rsid w:val="0A1B1CA4"/>
    <w:rsid w:val="0A1C0752"/>
    <w:rsid w:val="0A2F06A9"/>
    <w:rsid w:val="0A304C6E"/>
    <w:rsid w:val="0A360794"/>
    <w:rsid w:val="0A366C66"/>
    <w:rsid w:val="0A394C4D"/>
    <w:rsid w:val="0A3C4D5A"/>
    <w:rsid w:val="0A3F1445"/>
    <w:rsid w:val="0A4D6C0C"/>
    <w:rsid w:val="0A5218B4"/>
    <w:rsid w:val="0A562484"/>
    <w:rsid w:val="0A67519E"/>
    <w:rsid w:val="0A69569F"/>
    <w:rsid w:val="0A6B3EB1"/>
    <w:rsid w:val="0A7F5345"/>
    <w:rsid w:val="0A84371E"/>
    <w:rsid w:val="0A852FF3"/>
    <w:rsid w:val="0A8C3AA2"/>
    <w:rsid w:val="0A8C7DB3"/>
    <w:rsid w:val="0A8E66B5"/>
    <w:rsid w:val="0A8F6D6D"/>
    <w:rsid w:val="0A9844A5"/>
    <w:rsid w:val="0A9846F2"/>
    <w:rsid w:val="0A995B48"/>
    <w:rsid w:val="0ABA44E8"/>
    <w:rsid w:val="0ABA7CA1"/>
    <w:rsid w:val="0ABF7A4D"/>
    <w:rsid w:val="0AC02385"/>
    <w:rsid w:val="0AC754FE"/>
    <w:rsid w:val="0AC878D4"/>
    <w:rsid w:val="0AD66994"/>
    <w:rsid w:val="0ADA62E4"/>
    <w:rsid w:val="0ADD4C1F"/>
    <w:rsid w:val="0AF20819"/>
    <w:rsid w:val="0B0A7C6A"/>
    <w:rsid w:val="0B0C542C"/>
    <w:rsid w:val="0B23167F"/>
    <w:rsid w:val="0B2C234D"/>
    <w:rsid w:val="0B2E1954"/>
    <w:rsid w:val="0B2E6C8D"/>
    <w:rsid w:val="0B342903"/>
    <w:rsid w:val="0B385520"/>
    <w:rsid w:val="0B4D26D5"/>
    <w:rsid w:val="0B5429C3"/>
    <w:rsid w:val="0B55319B"/>
    <w:rsid w:val="0B5A6F13"/>
    <w:rsid w:val="0B5B6BF7"/>
    <w:rsid w:val="0B5E55C2"/>
    <w:rsid w:val="0B6508DD"/>
    <w:rsid w:val="0B6B57C1"/>
    <w:rsid w:val="0B7038F5"/>
    <w:rsid w:val="0B807716"/>
    <w:rsid w:val="0B882A1C"/>
    <w:rsid w:val="0B8968D6"/>
    <w:rsid w:val="0B900F2D"/>
    <w:rsid w:val="0B9A6772"/>
    <w:rsid w:val="0B9E4F02"/>
    <w:rsid w:val="0BB639FC"/>
    <w:rsid w:val="0BC33D3F"/>
    <w:rsid w:val="0BC5002C"/>
    <w:rsid w:val="0BC55D2E"/>
    <w:rsid w:val="0BCC3586"/>
    <w:rsid w:val="0BD16F41"/>
    <w:rsid w:val="0BDA6FC5"/>
    <w:rsid w:val="0BEB23E9"/>
    <w:rsid w:val="0BF028EF"/>
    <w:rsid w:val="0BFB3D56"/>
    <w:rsid w:val="0BFB51FA"/>
    <w:rsid w:val="0C0221B0"/>
    <w:rsid w:val="0C136300"/>
    <w:rsid w:val="0C1D5F22"/>
    <w:rsid w:val="0C376B9D"/>
    <w:rsid w:val="0C411665"/>
    <w:rsid w:val="0C5724C2"/>
    <w:rsid w:val="0C5A130E"/>
    <w:rsid w:val="0C5C4CF8"/>
    <w:rsid w:val="0C5E2B48"/>
    <w:rsid w:val="0C6271FD"/>
    <w:rsid w:val="0C67691E"/>
    <w:rsid w:val="0C6A3700"/>
    <w:rsid w:val="0C732A68"/>
    <w:rsid w:val="0C7C6E56"/>
    <w:rsid w:val="0C7F75C0"/>
    <w:rsid w:val="0C81228B"/>
    <w:rsid w:val="0C82391C"/>
    <w:rsid w:val="0C84704C"/>
    <w:rsid w:val="0C847473"/>
    <w:rsid w:val="0C85340A"/>
    <w:rsid w:val="0C8C3B77"/>
    <w:rsid w:val="0C8E5432"/>
    <w:rsid w:val="0C95795F"/>
    <w:rsid w:val="0C982C51"/>
    <w:rsid w:val="0C9A7712"/>
    <w:rsid w:val="0C9B463B"/>
    <w:rsid w:val="0CA008B8"/>
    <w:rsid w:val="0CA01137"/>
    <w:rsid w:val="0CA93D98"/>
    <w:rsid w:val="0CAF044F"/>
    <w:rsid w:val="0CB502BA"/>
    <w:rsid w:val="0CB87A8C"/>
    <w:rsid w:val="0CC14287"/>
    <w:rsid w:val="0CC43CC6"/>
    <w:rsid w:val="0CC5029D"/>
    <w:rsid w:val="0CD535FE"/>
    <w:rsid w:val="0CD908EB"/>
    <w:rsid w:val="0CE45454"/>
    <w:rsid w:val="0CE71CF1"/>
    <w:rsid w:val="0CE73BA1"/>
    <w:rsid w:val="0CE90B7D"/>
    <w:rsid w:val="0CE91C12"/>
    <w:rsid w:val="0CF00141"/>
    <w:rsid w:val="0D072C40"/>
    <w:rsid w:val="0D086DB1"/>
    <w:rsid w:val="0D1409AA"/>
    <w:rsid w:val="0D145E31"/>
    <w:rsid w:val="0D267CC1"/>
    <w:rsid w:val="0D3C0ACB"/>
    <w:rsid w:val="0D44024B"/>
    <w:rsid w:val="0D451CF2"/>
    <w:rsid w:val="0D452452"/>
    <w:rsid w:val="0D484F68"/>
    <w:rsid w:val="0D497643"/>
    <w:rsid w:val="0D4D65F8"/>
    <w:rsid w:val="0D4E728F"/>
    <w:rsid w:val="0D5020E8"/>
    <w:rsid w:val="0D5F10A9"/>
    <w:rsid w:val="0D613D18"/>
    <w:rsid w:val="0D723183"/>
    <w:rsid w:val="0D731E92"/>
    <w:rsid w:val="0D74571C"/>
    <w:rsid w:val="0D7F4AC8"/>
    <w:rsid w:val="0D8E0E3B"/>
    <w:rsid w:val="0D927A7C"/>
    <w:rsid w:val="0D947543"/>
    <w:rsid w:val="0D9B3844"/>
    <w:rsid w:val="0D9D5DCC"/>
    <w:rsid w:val="0DA26DBE"/>
    <w:rsid w:val="0DA34B9E"/>
    <w:rsid w:val="0DA45ACF"/>
    <w:rsid w:val="0DA62C36"/>
    <w:rsid w:val="0DB5152A"/>
    <w:rsid w:val="0DBC28A0"/>
    <w:rsid w:val="0DBE4675"/>
    <w:rsid w:val="0DC061AE"/>
    <w:rsid w:val="0DCF0F43"/>
    <w:rsid w:val="0DD2118D"/>
    <w:rsid w:val="0DD433BA"/>
    <w:rsid w:val="0DD57918"/>
    <w:rsid w:val="0DD758EB"/>
    <w:rsid w:val="0DE767D9"/>
    <w:rsid w:val="0DEC40E2"/>
    <w:rsid w:val="0DF60CE2"/>
    <w:rsid w:val="0DF61776"/>
    <w:rsid w:val="0DFF5BF1"/>
    <w:rsid w:val="0E054689"/>
    <w:rsid w:val="0E066532"/>
    <w:rsid w:val="0E15253A"/>
    <w:rsid w:val="0E1E052D"/>
    <w:rsid w:val="0E2218DF"/>
    <w:rsid w:val="0E272FBA"/>
    <w:rsid w:val="0E2B2714"/>
    <w:rsid w:val="0E2D7488"/>
    <w:rsid w:val="0E374E31"/>
    <w:rsid w:val="0E3E2134"/>
    <w:rsid w:val="0E4A5F3D"/>
    <w:rsid w:val="0E542BE6"/>
    <w:rsid w:val="0E5F4D9B"/>
    <w:rsid w:val="0E657F2F"/>
    <w:rsid w:val="0E6F0423"/>
    <w:rsid w:val="0E736FFC"/>
    <w:rsid w:val="0E7B5815"/>
    <w:rsid w:val="0E7E3D57"/>
    <w:rsid w:val="0E87253C"/>
    <w:rsid w:val="0E93154A"/>
    <w:rsid w:val="0E981B86"/>
    <w:rsid w:val="0EB15B7E"/>
    <w:rsid w:val="0EB35B52"/>
    <w:rsid w:val="0EB61F84"/>
    <w:rsid w:val="0EC64664"/>
    <w:rsid w:val="0ECB0807"/>
    <w:rsid w:val="0ECD30C2"/>
    <w:rsid w:val="0EEE3BC5"/>
    <w:rsid w:val="0EF053FB"/>
    <w:rsid w:val="0EF2447B"/>
    <w:rsid w:val="0EFF558B"/>
    <w:rsid w:val="0F0C05B1"/>
    <w:rsid w:val="0F115C94"/>
    <w:rsid w:val="0F14661A"/>
    <w:rsid w:val="0F1825CE"/>
    <w:rsid w:val="0F187782"/>
    <w:rsid w:val="0F1A772D"/>
    <w:rsid w:val="0F1E6430"/>
    <w:rsid w:val="0F2B1A02"/>
    <w:rsid w:val="0F2B2E1E"/>
    <w:rsid w:val="0F367161"/>
    <w:rsid w:val="0F382BF8"/>
    <w:rsid w:val="0F3B2423"/>
    <w:rsid w:val="0F42089E"/>
    <w:rsid w:val="0F447F3C"/>
    <w:rsid w:val="0F565940"/>
    <w:rsid w:val="0F6E4FDC"/>
    <w:rsid w:val="0F732680"/>
    <w:rsid w:val="0F76580E"/>
    <w:rsid w:val="0F800976"/>
    <w:rsid w:val="0F8A1140"/>
    <w:rsid w:val="0F8A323A"/>
    <w:rsid w:val="0F8F2EE1"/>
    <w:rsid w:val="0F9A43E6"/>
    <w:rsid w:val="0FAE6BF8"/>
    <w:rsid w:val="0FAF6A79"/>
    <w:rsid w:val="0FB515F1"/>
    <w:rsid w:val="0FBE42E8"/>
    <w:rsid w:val="0FC23756"/>
    <w:rsid w:val="0FC36CC3"/>
    <w:rsid w:val="0FC64871"/>
    <w:rsid w:val="0FD01DAF"/>
    <w:rsid w:val="0FD1231B"/>
    <w:rsid w:val="0FD72FDA"/>
    <w:rsid w:val="0FD96036"/>
    <w:rsid w:val="0FE421D8"/>
    <w:rsid w:val="0FFC63EA"/>
    <w:rsid w:val="10041A68"/>
    <w:rsid w:val="100E286E"/>
    <w:rsid w:val="10110F72"/>
    <w:rsid w:val="1017121C"/>
    <w:rsid w:val="101D4F94"/>
    <w:rsid w:val="10214A9B"/>
    <w:rsid w:val="10266ABF"/>
    <w:rsid w:val="10301CCC"/>
    <w:rsid w:val="10322E66"/>
    <w:rsid w:val="103444D3"/>
    <w:rsid w:val="10352A59"/>
    <w:rsid w:val="10396392"/>
    <w:rsid w:val="103C1D05"/>
    <w:rsid w:val="103F5E51"/>
    <w:rsid w:val="10402083"/>
    <w:rsid w:val="10433959"/>
    <w:rsid w:val="104C0003"/>
    <w:rsid w:val="10616A57"/>
    <w:rsid w:val="108475B7"/>
    <w:rsid w:val="10873250"/>
    <w:rsid w:val="108E77B6"/>
    <w:rsid w:val="10915DD2"/>
    <w:rsid w:val="10995B5F"/>
    <w:rsid w:val="109A47D0"/>
    <w:rsid w:val="109E65A9"/>
    <w:rsid w:val="10A54745"/>
    <w:rsid w:val="10AD13E0"/>
    <w:rsid w:val="10C4268B"/>
    <w:rsid w:val="10C51B47"/>
    <w:rsid w:val="10CC42CC"/>
    <w:rsid w:val="10DB56D1"/>
    <w:rsid w:val="10DD3770"/>
    <w:rsid w:val="10DF0D3B"/>
    <w:rsid w:val="10E65A02"/>
    <w:rsid w:val="10E765C4"/>
    <w:rsid w:val="10ED20BB"/>
    <w:rsid w:val="10F218F2"/>
    <w:rsid w:val="10F34812"/>
    <w:rsid w:val="10F60A32"/>
    <w:rsid w:val="11047182"/>
    <w:rsid w:val="11091FDA"/>
    <w:rsid w:val="11092782"/>
    <w:rsid w:val="110A4EDF"/>
    <w:rsid w:val="11160AC9"/>
    <w:rsid w:val="111D15C0"/>
    <w:rsid w:val="112D0CEE"/>
    <w:rsid w:val="11304E0A"/>
    <w:rsid w:val="11322E93"/>
    <w:rsid w:val="11370C6A"/>
    <w:rsid w:val="113E19F6"/>
    <w:rsid w:val="113F6971"/>
    <w:rsid w:val="11432768"/>
    <w:rsid w:val="11445308"/>
    <w:rsid w:val="11551BA2"/>
    <w:rsid w:val="11776C75"/>
    <w:rsid w:val="117F6667"/>
    <w:rsid w:val="11887848"/>
    <w:rsid w:val="118A66A5"/>
    <w:rsid w:val="118B3629"/>
    <w:rsid w:val="118D6D46"/>
    <w:rsid w:val="1196028D"/>
    <w:rsid w:val="119835D6"/>
    <w:rsid w:val="119F5264"/>
    <w:rsid w:val="11A7533F"/>
    <w:rsid w:val="11B502A5"/>
    <w:rsid w:val="11B6307E"/>
    <w:rsid w:val="11C002AC"/>
    <w:rsid w:val="11C10566"/>
    <w:rsid w:val="11C6133D"/>
    <w:rsid w:val="11C82818"/>
    <w:rsid w:val="11CD21FA"/>
    <w:rsid w:val="11D6451E"/>
    <w:rsid w:val="11E00D3B"/>
    <w:rsid w:val="11E81C11"/>
    <w:rsid w:val="11ED0B73"/>
    <w:rsid w:val="11F45CD9"/>
    <w:rsid w:val="120241CC"/>
    <w:rsid w:val="120B2133"/>
    <w:rsid w:val="121C1FD4"/>
    <w:rsid w:val="121C574E"/>
    <w:rsid w:val="121F2D18"/>
    <w:rsid w:val="12247418"/>
    <w:rsid w:val="122C3E80"/>
    <w:rsid w:val="122D444B"/>
    <w:rsid w:val="12412E91"/>
    <w:rsid w:val="12431A68"/>
    <w:rsid w:val="124745F0"/>
    <w:rsid w:val="124D008C"/>
    <w:rsid w:val="1250182D"/>
    <w:rsid w:val="1256790E"/>
    <w:rsid w:val="127908DE"/>
    <w:rsid w:val="12796A51"/>
    <w:rsid w:val="127B229C"/>
    <w:rsid w:val="12873A09"/>
    <w:rsid w:val="12891455"/>
    <w:rsid w:val="128A5F6B"/>
    <w:rsid w:val="128F6BE1"/>
    <w:rsid w:val="12905917"/>
    <w:rsid w:val="129F752C"/>
    <w:rsid w:val="12A021D4"/>
    <w:rsid w:val="12A02384"/>
    <w:rsid w:val="12A0623C"/>
    <w:rsid w:val="12A240B1"/>
    <w:rsid w:val="12A41D02"/>
    <w:rsid w:val="12A4486D"/>
    <w:rsid w:val="12A625E7"/>
    <w:rsid w:val="12AC3D07"/>
    <w:rsid w:val="12B12F0E"/>
    <w:rsid w:val="12BC1AFF"/>
    <w:rsid w:val="12C007AB"/>
    <w:rsid w:val="12C51D74"/>
    <w:rsid w:val="12C65F3A"/>
    <w:rsid w:val="12E5033B"/>
    <w:rsid w:val="12E63402"/>
    <w:rsid w:val="12F3476D"/>
    <w:rsid w:val="12F510D2"/>
    <w:rsid w:val="12F750B1"/>
    <w:rsid w:val="12FE25D2"/>
    <w:rsid w:val="13053015"/>
    <w:rsid w:val="130937CA"/>
    <w:rsid w:val="130C69D5"/>
    <w:rsid w:val="130D08F4"/>
    <w:rsid w:val="13170A8A"/>
    <w:rsid w:val="1317154B"/>
    <w:rsid w:val="13182D52"/>
    <w:rsid w:val="131D231F"/>
    <w:rsid w:val="1323275A"/>
    <w:rsid w:val="1326649A"/>
    <w:rsid w:val="13271403"/>
    <w:rsid w:val="132B255B"/>
    <w:rsid w:val="13382F8D"/>
    <w:rsid w:val="13383AFE"/>
    <w:rsid w:val="134242C3"/>
    <w:rsid w:val="13434FC8"/>
    <w:rsid w:val="1347363B"/>
    <w:rsid w:val="13473863"/>
    <w:rsid w:val="13475460"/>
    <w:rsid w:val="134D6163"/>
    <w:rsid w:val="13527A51"/>
    <w:rsid w:val="135B67F9"/>
    <w:rsid w:val="135F0038"/>
    <w:rsid w:val="13644554"/>
    <w:rsid w:val="136D63F1"/>
    <w:rsid w:val="13726277"/>
    <w:rsid w:val="13730502"/>
    <w:rsid w:val="137830F5"/>
    <w:rsid w:val="137D4341"/>
    <w:rsid w:val="1388309B"/>
    <w:rsid w:val="138D4D9F"/>
    <w:rsid w:val="138D61D0"/>
    <w:rsid w:val="139B09D7"/>
    <w:rsid w:val="13A02124"/>
    <w:rsid w:val="13A742C0"/>
    <w:rsid w:val="13A74EC1"/>
    <w:rsid w:val="13AA046C"/>
    <w:rsid w:val="13AB3B7D"/>
    <w:rsid w:val="13AD3DF5"/>
    <w:rsid w:val="13B60703"/>
    <w:rsid w:val="13B80FE1"/>
    <w:rsid w:val="13BB2F48"/>
    <w:rsid w:val="13D64A14"/>
    <w:rsid w:val="13DA214E"/>
    <w:rsid w:val="13E77870"/>
    <w:rsid w:val="13EB1A67"/>
    <w:rsid w:val="13F246EB"/>
    <w:rsid w:val="13F51F75"/>
    <w:rsid w:val="14024CF7"/>
    <w:rsid w:val="140C11DB"/>
    <w:rsid w:val="140E3EE9"/>
    <w:rsid w:val="14142ACB"/>
    <w:rsid w:val="14142FD6"/>
    <w:rsid w:val="142577AF"/>
    <w:rsid w:val="142B3FDF"/>
    <w:rsid w:val="142B7528"/>
    <w:rsid w:val="14321E1F"/>
    <w:rsid w:val="143A0226"/>
    <w:rsid w:val="143F5378"/>
    <w:rsid w:val="14410493"/>
    <w:rsid w:val="14444DAA"/>
    <w:rsid w:val="144E157F"/>
    <w:rsid w:val="14646DC3"/>
    <w:rsid w:val="146F64AE"/>
    <w:rsid w:val="14736E3D"/>
    <w:rsid w:val="14783434"/>
    <w:rsid w:val="147F3BFC"/>
    <w:rsid w:val="14805B02"/>
    <w:rsid w:val="14975490"/>
    <w:rsid w:val="14A277C7"/>
    <w:rsid w:val="14B0562E"/>
    <w:rsid w:val="14B92052"/>
    <w:rsid w:val="14BA55C2"/>
    <w:rsid w:val="14BE36BB"/>
    <w:rsid w:val="14BE609A"/>
    <w:rsid w:val="14BF130C"/>
    <w:rsid w:val="14C43669"/>
    <w:rsid w:val="14CB278B"/>
    <w:rsid w:val="14CD16B0"/>
    <w:rsid w:val="14CE1448"/>
    <w:rsid w:val="14CE3B12"/>
    <w:rsid w:val="14D13243"/>
    <w:rsid w:val="14D85538"/>
    <w:rsid w:val="14D85BE3"/>
    <w:rsid w:val="14DB2E34"/>
    <w:rsid w:val="14DF7426"/>
    <w:rsid w:val="14EE7200"/>
    <w:rsid w:val="14EF4905"/>
    <w:rsid w:val="14F510D5"/>
    <w:rsid w:val="14FB3DFF"/>
    <w:rsid w:val="14FC1022"/>
    <w:rsid w:val="14FE2971"/>
    <w:rsid w:val="1502257D"/>
    <w:rsid w:val="150D75A7"/>
    <w:rsid w:val="15122C76"/>
    <w:rsid w:val="15154CE1"/>
    <w:rsid w:val="15162F63"/>
    <w:rsid w:val="15166140"/>
    <w:rsid w:val="151A6DF8"/>
    <w:rsid w:val="151B34E5"/>
    <w:rsid w:val="151C7D64"/>
    <w:rsid w:val="152371C8"/>
    <w:rsid w:val="152C3146"/>
    <w:rsid w:val="1531585C"/>
    <w:rsid w:val="15346B09"/>
    <w:rsid w:val="153513E3"/>
    <w:rsid w:val="1536564C"/>
    <w:rsid w:val="15367D78"/>
    <w:rsid w:val="15386D7C"/>
    <w:rsid w:val="154064F6"/>
    <w:rsid w:val="1551263A"/>
    <w:rsid w:val="15553679"/>
    <w:rsid w:val="15597E17"/>
    <w:rsid w:val="155D1F6F"/>
    <w:rsid w:val="156069EA"/>
    <w:rsid w:val="15644B35"/>
    <w:rsid w:val="15685B3C"/>
    <w:rsid w:val="15734F4D"/>
    <w:rsid w:val="15766CE2"/>
    <w:rsid w:val="1577607A"/>
    <w:rsid w:val="1581029C"/>
    <w:rsid w:val="15810B04"/>
    <w:rsid w:val="1587445C"/>
    <w:rsid w:val="158B2F30"/>
    <w:rsid w:val="158C12F3"/>
    <w:rsid w:val="15937F09"/>
    <w:rsid w:val="159B446E"/>
    <w:rsid w:val="159D5F80"/>
    <w:rsid w:val="15A06933"/>
    <w:rsid w:val="15A30656"/>
    <w:rsid w:val="15A42C52"/>
    <w:rsid w:val="15A63FC8"/>
    <w:rsid w:val="15AE4C6D"/>
    <w:rsid w:val="15C00962"/>
    <w:rsid w:val="15C41A36"/>
    <w:rsid w:val="15CA7367"/>
    <w:rsid w:val="15D127E0"/>
    <w:rsid w:val="15D556FF"/>
    <w:rsid w:val="15E004F9"/>
    <w:rsid w:val="15F22001"/>
    <w:rsid w:val="15F43EC0"/>
    <w:rsid w:val="15F61E87"/>
    <w:rsid w:val="15FC2382"/>
    <w:rsid w:val="16010973"/>
    <w:rsid w:val="160329CA"/>
    <w:rsid w:val="16121FDB"/>
    <w:rsid w:val="161752BE"/>
    <w:rsid w:val="16177ACE"/>
    <w:rsid w:val="16181616"/>
    <w:rsid w:val="161B2936"/>
    <w:rsid w:val="16215E6F"/>
    <w:rsid w:val="162160A3"/>
    <w:rsid w:val="162246AE"/>
    <w:rsid w:val="16226475"/>
    <w:rsid w:val="16291735"/>
    <w:rsid w:val="16327E1F"/>
    <w:rsid w:val="163533E7"/>
    <w:rsid w:val="16366BF4"/>
    <w:rsid w:val="1638522F"/>
    <w:rsid w:val="16392049"/>
    <w:rsid w:val="163F7EF2"/>
    <w:rsid w:val="16485050"/>
    <w:rsid w:val="164D1ACD"/>
    <w:rsid w:val="164D6A08"/>
    <w:rsid w:val="165203F1"/>
    <w:rsid w:val="16526637"/>
    <w:rsid w:val="16536BC9"/>
    <w:rsid w:val="165B60CE"/>
    <w:rsid w:val="166221ED"/>
    <w:rsid w:val="1663761D"/>
    <w:rsid w:val="16660F3A"/>
    <w:rsid w:val="16686DEB"/>
    <w:rsid w:val="166A0727"/>
    <w:rsid w:val="166A57AF"/>
    <w:rsid w:val="166C4046"/>
    <w:rsid w:val="166D11F1"/>
    <w:rsid w:val="167317FF"/>
    <w:rsid w:val="16756C2F"/>
    <w:rsid w:val="168A4F00"/>
    <w:rsid w:val="168B02B1"/>
    <w:rsid w:val="1690616B"/>
    <w:rsid w:val="169B4D84"/>
    <w:rsid w:val="169B6CB5"/>
    <w:rsid w:val="169C381D"/>
    <w:rsid w:val="169C57DF"/>
    <w:rsid w:val="16AC02F7"/>
    <w:rsid w:val="16B14CCF"/>
    <w:rsid w:val="16B7342E"/>
    <w:rsid w:val="16BF1550"/>
    <w:rsid w:val="16C32B7F"/>
    <w:rsid w:val="16C41AFF"/>
    <w:rsid w:val="16C71627"/>
    <w:rsid w:val="16C724CD"/>
    <w:rsid w:val="16D51ECB"/>
    <w:rsid w:val="16E75B73"/>
    <w:rsid w:val="16F62265"/>
    <w:rsid w:val="16F818E2"/>
    <w:rsid w:val="16F93DF3"/>
    <w:rsid w:val="16FB104D"/>
    <w:rsid w:val="16FE1447"/>
    <w:rsid w:val="17073839"/>
    <w:rsid w:val="170C7EBF"/>
    <w:rsid w:val="170E771F"/>
    <w:rsid w:val="171268E1"/>
    <w:rsid w:val="1717391A"/>
    <w:rsid w:val="171A50B9"/>
    <w:rsid w:val="171D5C7F"/>
    <w:rsid w:val="172109EF"/>
    <w:rsid w:val="17271087"/>
    <w:rsid w:val="17287294"/>
    <w:rsid w:val="17287C95"/>
    <w:rsid w:val="172B5831"/>
    <w:rsid w:val="17376C71"/>
    <w:rsid w:val="173B68E7"/>
    <w:rsid w:val="17400A62"/>
    <w:rsid w:val="17424CC3"/>
    <w:rsid w:val="17435C3D"/>
    <w:rsid w:val="17441E4E"/>
    <w:rsid w:val="17485746"/>
    <w:rsid w:val="17581E57"/>
    <w:rsid w:val="175910B8"/>
    <w:rsid w:val="175B6263"/>
    <w:rsid w:val="175E705D"/>
    <w:rsid w:val="17642B3B"/>
    <w:rsid w:val="17713636"/>
    <w:rsid w:val="17762DDE"/>
    <w:rsid w:val="177B1838"/>
    <w:rsid w:val="17843B40"/>
    <w:rsid w:val="17893B70"/>
    <w:rsid w:val="178C490D"/>
    <w:rsid w:val="179917E0"/>
    <w:rsid w:val="17AF2B05"/>
    <w:rsid w:val="17B70B1C"/>
    <w:rsid w:val="17BC2905"/>
    <w:rsid w:val="17BD68E8"/>
    <w:rsid w:val="17C13D82"/>
    <w:rsid w:val="17C96BC1"/>
    <w:rsid w:val="17CA5765"/>
    <w:rsid w:val="17CB474F"/>
    <w:rsid w:val="17CD3B0D"/>
    <w:rsid w:val="17D44F9C"/>
    <w:rsid w:val="17D842C3"/>
    <w:rsid w:val="17DF30F2"/>
    <w:rsid w:val="17EB0152"/>
    <w:rsid w:val="17F15D42"/>
    <w:rsid w:val="17F41E63"/>
    <w:rsid w:val="17F43359"/>
    <w:rsid w:val="17F43862"/>
    <w:rsid w:val="17F82872"/>
    <w:rsid w:val="17FE28B6"/>
    <w:rsid w:val="180325D4"/>
    <w:rsid w:val="180A21E8"/>
    <w:rsid w:val="18163697"/>
    <w:rsid w:val="181C120B"/>
    <w:rsid w:val="182217D4"/>
    <w:rsid w:val="18261E07"/>
    <w:rsid w:val="183D7238"/>
    <w:rsid w:val="18410996"/>
    <w:rsid w:val="18470D81"/>
    <w:rsid w:val="184848E8"/>
    <w:rsid w:val="1850260D"/>
    <w:rsid w:val="185F223A"/>
    <w:rsid w:val="186744A5"/>
    <w:rsid w:val="187270E0"/>
    <w:rsid w:val="187B1D00"/>
    <w:rsid w:val="18844D8B"/>
    <w:rsid w:val="1889314B"/>
    <w:rsid w:val="188B40FB"/>
    <w:rsid w:val="188B5513"/>
    <w:rsid w:val="18910DB5"/>
    <w:rsid w:val="18914742"/>
    <w:rsid w:val="189C4136"/>
    <w:rsid w:val="189D46FA"/>
    <w:rsid w:val="189F4384"/>
    <w:rsid w:val="18A33A60"/>
    <w:rsid w:val="18A46B86"/>
    <w:rsid w:val="18B856D7"/>
    <w:rsid w:val="18BF4A12"/>
    <w:rsid w:val="18C35228"/>
    <w:rsid w:val="18C50479"/>
    <w:rsid w:val="18E076DA"/>
    <w:rsid w:val="18E83B37"/>
    <w:rsid w:val="18EF7891"/>
    <w:rsid w:val="18F53AF0"/>
    <w:rsid w:val="1903156F"/>
    <w:rsid w:val="19093A08"/>
    <w:rsid w:val="190D3863"/>
    <w:rsid w:val="19225477"/>
    <w:rsid w:val="192348F7"/>
    <w:rsid w:val="1925510E"/>
    <w:rsid w:val="19262D20"/>
    <w:rsid w:val="19272691"/>
    <w:rsid w:val="192B1F9A"/>
    <w:rsid w:val="19353DD2"/>
    <w:rsid w:val="193E7A58"/>
    <w:rsid w:val="194A1C6F"/>
    <w:rsid w:val="195B763F"/>
    <w:rsid w:val="19600C29"/>
    <w:rsid w:val="19613CA5"/>
    <w:rsid w:val="19642AFF"/>
    <w:rsid w:val="19676146"/>
    <w:rsid w:val="19691E6F"/>
    <w:rsid w:val="196C2D55"/>
    <w:rsid w:val="19745D23"/>
    <w:rsid w:val="19883823"/>
    <w:rsid w:val="19906C59"/>
    <w:rsid w:val="19994F85"/>
    <w:rsid w:val="19A707FF"/>
    <w:rsid w:val="19AF28C5"/>
    <w:rsid w:val="19C13959"/>
    <w:rsid w:val="19D201D4"/>
    <w:rsid w:val="19D54780"/>
    <w:rsid w:val="19D7590E"/>
    <w:rsid w:val="19DA4A50"/>
    <w:rsid w:val="19DA732E"/>
    <w:rsid w:val="19DC10E7"/>
    <w:rsid w:val="19E23981"/>
    <w:rsid w:val="1A033033"/>
    <w:rsid w:val="1A034649"/>
    <w:rsid w:val="1A084E9B"/>
    <w:rsid w:val="1A0C7AB0"/>
    <w:rsid w:val="1A0D3210"/>
    <w:rsid w:val="1A1C2410"/>
    <w:rsid w:val="1A20575E"/>
    <w:rsid w:val="1A222D4B"/>
    <w:rsid w:val="1A227C18"/>
    <w:rsid w:val="1A2451BE"/>
    <w:rsid w:val="1A281CA2"/>
    <w:rsid w:val="1A2C54F5"/>
    <w:rsid w:val="1A3C722E"/>
    <w:rsid w:val="1A45379D"/>
    <w:rsid w:val="1A472A61"/>
    <w:rsid w:val="1A567AF7"/>
    <w:rsid w:val="1A5E0A57"/>
    <w:rsid w:val="1A5E4B92"/>
    <w:rsid w:val="1A62111C"/>
    <w:rsid w:val="1A6F4BDB"/>
    <w:rsid w:val="1A7F5DB2"/>
    <w:rsid w:val="1A895B6C"/>
    <w:rsid w:val="1A8B2023"/>
    <w:rsid w:val="1A8B7DE9"/>
    <w:rsid w:val="1A97226F"/>
    <w:rsid w:val="1A9972CF"/>
    <w:rsid w:val="1A9A698F"/>
    <w:rsid w:val="1A9E3C0E"/>
    <w:rsid w:val="1AA078D3"/>
    <w:rsid w:val="1AAB3DA7"/>
    <w:rsid w:val="1AAB4B24"/>
    <w:rsid w:val="1AB42C83"/>
    <w:rsid w:val="1AB6247A"/>
    <w:rsid w:val="1AB94352"/>
    <w:rsid w:val="1AB95979"/>
    <w:rsid w:val="1ABF030E"/>
    <w:rsid w:val="1ACE10B7"/>
    <w:rsid w:val="1AE35E9E"/>
    <w:rsid w:val="1AEF19A1"/>
    <w:rsid w:val="1AF12926"/>
    <w:rsid w:val="1AF21F54"/>
    <w:rsid w:val="1AFB5500"/>
    <w:rsid w:val="1B0B2E25"/>
    <w:rsid w:val="1B0D2098"/>
    <w:rsid w:val="1B0E7B27"/>
    <w:rsid w:val="1B10652B"/>
    <w:rsid w:val="1B12336C"/>
    <w:rsid w:val="1B19773F"/>
    <w:rsid w:val="1B1A19A0"/>
    <w:rsid w:val="1B1F09C4"/>
    <w:rsid w:val="1B38097D"/>
    <w:rsid w:val="1B455622"/>
    <w:rsid w:val="1B5059B2"/>
    <w:rsid w:val="1B61490C"/>
    <w:rsid w:val="1B680069"/>
    <w:rsid w:val="1B6C3A95"/>
    <w:rsid w:val="1B6D5612"/>
    <w:rsid w:val="1B77663C"/>
    <w:rsid w:val="1B791A36"/>
    <w:rsid w:val="1B7D15EF"/>
    <w:rsid w:val="1B8B2111"/>
    <w:rsid w:val="1B956879"/>
    <w:rsid w:val="1BAA636E"/>
    <w:rsid w:val="1BCE2A0B"/>
    <w:rsid w:val="1BCE59BF"/>
    <w:rsid w:val="1BCF60F9"/>
    <w:rsid w:val="1BD15A8D"/>
    <w:rsid w:val="1BD17F38"/>
    <w:rsid w:val="1BDB6643"/>
    <w:rsid w:val="1BEC7681"/>
    <w:rsid w:val="1BED27D2"/>
    <w:rsid w:val="1C041E1A"/>
    <w:rsid w:val="1C1B3BD7"/>
    <w:rsid w:val="1C1D4C47"/>
    <w:rsid w:val="1C1E57D4"/>
    <w:rsid w:val="1C2232A3"/>
    <w:rsid w:val="1C2C1437"/>
    <w:rsid w:val="1C2C42E4"/>
    <w:rsid w:val="1C2D25B3"/>
    <w:rsid w:val="1C30011A"/>
    <w:rsid w:val="1C400B4B"/>
    <w:rsid w:val="1C4162EF"/>
    <w:rsid w:val="1C4935FA"/>
    <w:rsid w:val="1C554D50"/>
    <w:rsid w:val="1C63197D"/>
    <w:rsid w:val="1C710898"/>
    <w:rsid w:val="1C72354E"/>
    <w:rsid w:val="1C783DD5"/>
    <w:rsid w:val="1C7B04A6"/>
    <w:rsid w:val="1C83353D"/>
    <w:rsid w:val="1C87649F"/>
    <w:rsid w:val="1C8C1FF7"/>
    <w:rsid w:val="1C932024"/>
    <w:rsid w:val="1C942D66"/>
    <w:rsid w:val="1C9773C9"/>
    <w:rsid w:val="1CA72607"/>
    <w:rsid w:val="1CA742DB"/>
    <w:rsid w:val="1CA90CBE"/>
    <w:rsid w:val="1CAE19B3"/>
    <w:rsid w:val="1CAE373E"/>
    <w:rsid w:val="1CB12297"/>
    <w:rsid w:val="1CB25367"/>
    <w:rsid w:val="1CB83886"/>
    <w:rsid w:val="1CBC2EA7"/>
    <w:rsid w:val="1CD72468"/>
    <w:rsid w:val="1CE92BC7"/>
    <w:rsid w:val="1CEB1FA4"/>
    <w:rsid w:val="1CEE37F2"/>
    <w:rsid w:val="1CF636B4"/>
    <w:rsid w:val="1CF67D76"/>
    <w:rsid w:val="1CF87360"/>
    <w:rsid w:val="1CF96659"/>
    <w:rsid w:val="1CFD69BF"/>
    <w:rsid w:val="1D00128D"/>
    <w:rsid w:val="1D011EA3"/>
    <w:rsid w:val="1D0A0335"/>
    <w:rsid w:val="1D0F79C4"/>
    <w:rsid w:val="1D152D18"/>
    <w:rsid w:val="1D1A0288"/>
    <w:rsid w:val="1D1A2EF3"/>
    <w:rsid w:val="1D1D0F66"/>
    <w:rsid w:val="1D1E618D"/>
    <w:rsid w:val="1D216FC3"/>
    <w:rsid w:val="1D3509E3"/>
    <w:rsid w:val="1D3520B2"/>
    <w:rsid w:val="1D3A6548"/>
    <w:rsid w:val="1D4D7134"/>
    <w:rsid w:val="1D537ECD"/>
    <w:rsid w:val="1D580599"/>
    <w:rsid w:val="1D6318C5"/>
    <w:rsid w:val="1D73291A"/>
    <w:rsid w:val="1D737860"/>
    <w:rsid w:val="1D740B83"/>
    <w:rsid w:val="1D7424C2"/>
    <w:rsid w:val="1D7468F2"/>
    <w:rsid w:val="1D746D61"/>
    <w:rsid w:val="1D7A2003"/>
    <w:rsid w:val="1D823231"/>
    <w:rsid w:val="1D83026D"/>
    <w:rsid w:val="1D876857"/>
    <w:rsid w:val="1D886C89"/>
    <w:rsid w:val="1D8F682E"/>
    <w:rsid w:val="1D9E7E33"/>
    <w:rsid w:val="1DAC62F5"/>
    <w:rsid w:val="1DAD0DC3"/>
    <w:rsid w:val="1DB247C2"/>
    <w:rsid w:val="1DBA0A13"/>
    <w:rsid w:val="1DBB3283"/>
    <w:rsid w:val="1DC25525"/>
    <w:rsid w:val="1DCB1396"/>
    <w:rsid w:val="1DCD4AA9"/>
    <w:rsid w:val="1DD20CFE"/>
    <w:rsid w:val="1DE75C7C"/>
    <w:rsid w:val="1DEE546A"/>
    <w:rsid w:val="1DEE5F53"/>
    <w:rsid w:val="1DF30300"/>
    <w:rsid w:val="1DFB39EC"/>
    <w:rsid w:val="1DFB595E"/>
    <w:rsid w:val="1DFC61D9"/>
    <w:rsid w:val="1DFE116F"/>
    <w:rsid w:val="1DFF5BB1"/>
    <w:rsid w:val="1E016A77"/>
    <w:rsid w:val="1E0339B3"/>
    <w:rsid w:val="1E0662C2"/>
    <w:rsid w:val="1E0C1D69"/>
    <w:rsid w:val="1E0D1F3C"/>
    <w:rsid w:val="1E121D57"/>
    <w:rsid w:val="1E156EEE"/>
    <w:rsid w:val="1E21439A"/>
    <w:rsid w:val="1E2F7AE2"/>
    <w:rsid w:val="1E3E06B3"/>
    <w:rsid w:val="1E3E16E6"/>
    <w:rsid w:val="1E3F20DE"/>
    <w:rsid w:val="1E410A3C"/>
    <w:rsid w:val="1E521EF9"/>
    <w:rsid w:val="1E53145D"/>
    <w:rsid w:val="1E54216D"/>
    <w:rsid w:val="1E565014"/>
    <w:rsid w:val="1E662A72"/>
    <w:rsid w:val="1E6E6AD8"/>
    <w:rsid w:val="1E79483B"/>
    <w:rsid w:val="1E795C22"/>
    <w:rsid w:val="1E7D0B80"/>
    <w:rsid w:val="1E7E6239"/>
    <w:rsid w:val="1E8423B7"/>
    <w:rsid w:val="1E8A0290"/>
    <w:rsid w:val="1E8B797D"/>
    <w:rsid w:val="1E8D2387"/>
    <w:rsid w:val="1E8E6164"/>
    <w:rsid w:val="1E941247"/>
    <w:rsid w:val="1EA4560C"/>
    <w:rsid w:val="1EC412EA"/>
    <w:rsid w:val="1EC45B28"/>
    <w:rsid w:val="1EC63FC0"/>
    <w:rsid w:val="1ECC5D9C"/>
    <w:rsid w:val="1ED344CE"/>
    <w:rsid w:val="1EDC116C"/>
    <w:rsid w:val="1EDF4547"/>
    <w:rsid w:val="1EE81D94"/>
    <w:rsid w:val="1EF36D7D"/>
    <w:rsid w:val="1EF479C7"/>
    <w:rsid w:val="1EFA44B5"/>
    <w:rsid w:val="1EFB2018"/>
    <w:rsid w:val="1EFD4839"/>
    <w:rsid w:val="1EFD6E71"/>
    <w:rsid w:val="1F0C4D63"/>
    <w:rsid w:val="1F1651D3"/>
    <w:rsid w:val="1F1F5DDB"/>
    <w:rsid w:val="1F204EC8"/>
    <w:rsid w:val="1F2866C3"/>
    <w:rsid w:val="1F3F2B50"/>
    <w:rsid w:val="1F4F6750"/>
    <w:rsid w:val="1F534925"/>
    <w:rsid w:val="1F58167E"/>
    <w:rsid w:val="1F5B1ABA"/>
    <w:rsid w:val="1F627701"/>
    <w:rsid w:val="1F6F3A6A"/>
    <w:rsid w:val="1F7A5D90"/>
    <w:rsid w:val="1F7C00BB"/>
    <w:rsid w:val="1F97413A"/>
    <w:rsid w:val="1F9976EF"/>
    <w:rsid w:val="1FA67E51"/>
    <w:rsid w:val="1FAD40E3"/>
    <w:rsid w:val="1FBA42CF"/>
    <w:rsid w:val="1FBEB49B"/>
    <w:rsid w:val="1FC73A0F"/>
    <w:rsid w:val="1FCA35AF"/>
    <w:rsid w:val="1FCA67AB"/>
    <w:rsid w:val="1FD22542"/>
    <w:rsid w:val="1FD601C1"/>
    <w:rsid w:val="1FEB6402"/>
    <w:rsid w:val="20041CD3"/>
    <w:rsid w:val="20042EC1"/>
    <w:rsid w:val="20171B8F"/>
    <w:rsid w:val="2019310B"/>
    <w:rsid w:val="20223440"/>
    <w:rsid w:val="202E1ACF"/>
    <w:rsid w:val="20306E2F"/>
    <w:rsid w:val="20363F0A"/>
    <w:rsid w:val="2038130B"/>
    <w:rsid w:val="20401354"/>
    <w:rsid w:val="206D6682"/>
    <w:rsid w:val="20774AF8"/>
    <w:rsid w:val="20776D38"/>
    <w:rsid w:val="20867C8F"/>
    <w:rsid w:val="20872170"/>
    <w:rsid w:val="208A4691"/>
    <w:rsid w:val="209C0049"/>
    <w:rsid w:val="20A040D2"/>
    <w:rsid w:val="20A261B5"/>
    <w:rsid w:val="20A26218"/>
    <w:rsid w:val="20A46024"/>
    <w:rsid w:val="20A62A22"/>
    <w:rsid w:val="20AA2118"/>
    <w:rsid w:val="20AC2551"/>
    <w:rsid w:val="20B20591"/>
    <w:rsid w:val="20B65344"/>
    <w:rsid w:val="20BE4A96"/>
    <w:rsid w:val="20E118FD"/>
    <w:rsid w:val="20E76943"/>
    <w:rsid w:val="20ED6EA0"/>
    <w:rsid w:val="20EF7E20"/>
    <w:rsid w:val="20F46083"/>
    <w:rsid w:val="20F87251"/>
    <w:rsid w:val="20FB1421"/>
    <w:rsid w:val="20FC4085"/>
    <w:rsid w:val="21034009"/>
    <w:rsid w:val="21090976"/>
    <w:rsid w:val="210A62F9"/>
    <w:rsid w:val="21111086"/>
    <w:rsid w:val="21140266"/>
    <w:rsid w:val="21163E2A"/>
    <w:rsid w:val="21214B9B"/>
    <w:rsid w:val="21225187"/>
    <w:rsid w:val="212472C1"/>
    <w:rsid w:val="212645C3"/>
    <w:rsid w:val="2127147D"/>
    <w:rsid w:val="21355E76"/>
    <w:rsid w:val="213859FC"/>
    <w:rsid w:val="214435D7"/>
    <w:rsid w:val="214461AB"/>
    <w:rsid w:val="215328CB"/>
    <w:rsid w:val="216201A4"/>
    <w:rsid w:val="21704FB8"/>
    <w:rsid w:val="217830AD"/>
    <w:rsid w:val="217E5857"/>
    <w:rsid w:val="218237FD"/>
    <w:rsid w:val="21862497"/>
    <w:rsid w:val="219E230B"/>
    <w:rsid w:val="21A950E4"/>
    <w:rsid w:val="21AF1FEE"/>
    <w:rsid w:val="21AF7A78"/>
    <w:rsid w:val="21B51BC7"/>
    <w:rsid w:val="21B564FD"/>
    <w:rsid w:val="21B96AE7"/>
    <w:rsid w:val="21BB092F"/>
    <w:rsid w:val="21BB7D03"/>
    <w:rsid w:val="21BC617F"/>
    <w:rsid w:val="21DF73A8"/>
    <w:rsid w:val="21E14B5A"/>
    <w:rsid w:val="21E67937"/>
    <w:rsid w:val="21EA0844"/>
    <w:rsid w:val="21EB2796"/>
    <w:rsid w:val="21FC25B1"/>
    <w:rsid w:val="21FC372F"/>
    <w:rsid w:val="22024DC0"/>
    <w:rsid w:val="2204219A"/>
    <w:rsid w:val="220E2455"/>
    <w:rsid w:val="220E7179"/>
    <w:rsid w:val="221376C1"/>
    <w:rsid w:val="221C0454"/>
    <w:rsid w:val="22213A38"/>
    <w:rsid w:val="222479CA"/>
    <w:rsid w:val="22257F4C"/>
    <w:rsid w:val="22261CA6"/>
    <w:rsid w:val="22294F49"/>
    <w:rsid w:val="22320154"/>
    <w:rsid w:val="22353CEB"/>
    <w:rsid w:val="223A2AD8"/>
    <w:rsid w:val="223C34B6"/>
    <w:rsid w:val="22424DE0"/>
    <w:rsid w:val="22451F76"/>
    <w:rsid w:val="22455FCC"/>
    <w:rsid w:val="224602F7"/>
    <w:rsid w:val="22496E3E"/>
    <w:rsid w:val="22513509"/>
    <w:rsid w:val="225557DA"/>
    <w:rsid w:val="225C5A69"/>
    <w:rsid w:val="226A3D5C"/>
    <w:rsid w:val="226B735C"/>
    <w:rsid w:val="226D6B31"/>
    <w:rsid w:val="226F0A4E"/>
    <w:rsid w:val="226F62B9"/>
    <w:rsid w:val="227B6459"/>
    <w:rsid w:val="227B6F04"/>
    <w:rsid w:val="228215C4"/>
    <w:rsid w:val="22822650"/>
    <w:rsid w:val="22873597"/>
    <w:rsid w:val="22960CAF"/>
    <w:rsid w:val="22A41BB7"/>
    <w:rsid w:val="22AA2593"/>
    <w:rsid w:val="22B064CB"/>
    <w:rsid w:val="22B83EA8"/>
    <w:rsid w:val="22B8608A"/>
    <w:rsid w:val="22BB7D90"/>
    <w:rsid w:val="22C6065C"/>
    <w:rsid w:val="22CD32A9"/>
    <w:rsid w:val="22CE21CB"/>
    <w:rsid w:val="22CF41C3"/>
    <w:rsid w:val="22D17A88"/>
    <w:rsid w:val="22D30F4F"/>
    <w:rsid w:val="22D97633"/>
    <w:rsid w:val="22E63777"/>
    <w:rsid w:val="22EF503E"/>
    <w:rsid w:val="22F70A3F"/>
    <w:rsid w:val="22F73A7A"/>
    <w:rsid w:val="23051D71"/>
    <w:rsid w:val="230A6BE4"/>
    <w:rsid w:val="231255AA"/>
    <w:rsid w:val="23236287"/>
    <w:rsid w:val="232C1AE4"/>
    <w:rsid w:val="232D301C"/>
    <w:rsid w:val="23304156"/>
    <w:rsid w:val="23321383"/>
    <w:rsid w:val="233C1B68"/>
    <w:rsid w:val="233E78F0"/>
    <w:rsid w:val="234260C5"/>
    <w:rsid w:val="23496FB2"/>
    <w:rsid w:val="234F55FD"/>
    <w:rsid w:val="235267CF"/>
    <w:rsid w:val="23530E13"/>
    <w:rsid w:val="23563003"/>
    <w:rsid w:val="235B12A5"/>
    <w:rsid w:val="23684A52"/>
    <w:rsid w:val="23704524"/>
    <w:rsid w:val="23730BE8"/>
    <w:rsid w:val="23752469"/>
    <w:rsid w:val="237D026F"/>
    <w:rsid w:val="23867F19"/>
    <w:rsid w:val="239362F2"/>
    <w:rsid w:val="23A1606D"/>
    <w:rsid w:val="23A261BF"/>
    <w:rsid w:val="23AB1E16"/>
    <w:rsid w:val="23B02A3C"/>
    <w:rsid w:val="23B80CC8"/>
    <w:rsid w:val="23BD6E2E"/>
    <w:rsid w:val="23C25868"/>
    <w:rsid w:val="23D04EC3"/>
    <w:rsid w:val="23D239C7"/>
    <w:rsid w:val="23D25CEE"/>
    <w:rsid w:val="23D5262F"/>
    <w:rsid w:val="23D82DF1"/>
    <w:rsid w:val="23DD439B"/>
    <w:rsid w:val="23E22D5C"/>
    <w:rsid w:val="23E44BFD"/>
    <w:rsid w:val="23F1062A"/>
    <w:rsid w:val="23F143D0"/>
    <w:rsid w:val="23FC229A"/>
    <w:rsid w:val="24005886"/>
    <w:rsid w:val="24024243"/>
    <w:rsid w:val="24063B7D"/>
    <w:rsid w:val="24103AC8"/>
    <w:rsid w:val="24192AA2"/>
    <w:rsid w:val="241A3EEB"/>
    <w:rsid w:val="24225643"/>
    <w:rsid w:val="24271505"/>
    <w:rsid w:val="242A2BC9"/>
    <w:rsid w:val="242C2EAA"/>
    <w:rsid w:val="242D72C0"/>
    <w:rsid w:val="24347DA0"/>
    <w:rsid w:val="24412D38"/>
    <w:rsid w:val="24487596"/>
    <w:rsid w:val="244A4FCD"/>
    <w:rsid w:val="24504937"/>
    <w:rsid w:val="24524C3D"/>
    <w:rsid w:val="245B0676"/>
    <w:rsid w:val="245C5DC3"/>
    <w:rsid w:val="24647F4F"/>
    <w:rsid w:val="247A56B7"/>
    <w:rsid w:val="247C729F"/>
    <w:rsid w:val="24860685"/>
    <w:rsid w:val="249128B6"/>
    <w:rsid w:val="24915022"/>
    <w:rsid w:val="24927F7C"/>
    <w:rsid w:val="249A56B9"/>
    <w:rsid w:val="249F5E3D"/>
    <w:rsid w:val="24BF7B92"/>
    <w:rsid w:val="24C23194"/>
    <w:rsid w:val="24C45D87"/>
    <w:rsid w:val="24C61B29"/>
    <w:rsid w:val="24C67C89"/>
    <w:rsid w:val="24CC7D79"/>
    <w:rsid w:val="24CF4094"/>
    <w:rsid w:val="24D35992"/>
    <w:rsid w:val="24DE2D94"/>
    <w:rsid w:val="24E4002A"/>
    <w:rsid w:val="24F02577"/>
    <w:rsid w:val="24F60109"/>
    <w:rsid w:val="24FB74DF"/>
    <w:rsid w:val="25006771"/>
    <w:rsid w:val="25047989"/>
    <w:rsid w:val="250637FF"/>
    <w:rsid w:val="251511B0"/>
    <w:rsid w:val="25226783"/>
    <w:rsid w:val="25237927"/>
    <w:rsid w:val="25255581"/>
    <w:rsid w:val="252A49D2"/>
    <w:rsid w:val="253016D3"/>
    <w:rsid w:val="25344017"/>
    <w:rsid w:val="25391DBE"/>
    <w:rsid w:val="253A5AEC"/>
    <w:rsid w:val="253F3D3F"/>
    <w:rsid w:val="254B2A90"/>
    <w:rsid w:val="256626F4"/>
    <w:rsid w:val="256A14C4"/>
    <w:rsid w:val="257E483F"/>
    <w:rsid w:val="25801EAC"/>
    <w:rsid w:val="258319B6"/>
    <w:rsid w:val="258C3ADE"/>
    <w:rsid w:val="258E410D"/>
    <w:rsid w:val="25911149"/>
    <w:rsid w:val="25936C1C"/>
    <w:rsid w:val="25937FAF"/>
    <w:rsid w:val="25952B38"/>
    <w:rsid w:val="25991FFF"/>
    <w:rsid w:val="25997D97"/>
    <w:rsid w:val="25A633A9"/>
    <w:rsid w:val="25AB6950"/>
    <w:rsid w:val="25AE3D90"/>
    <w:rsid w:val="25AF0A0E"/>
    <w:rsid w:val="25B06E17"/>
    <w:rsid w:val="25B356F8"/>
    <w:rsid w:val="25C30AB8"/>
    <w:rsid w:val="25C43A1F"/>
    <w:rsid w:val="25D019AE"/>
    <w:rsid w:val="25D87700"/>
    <w:rsid w:val="25EB2C6A"/>
    <w:rsid w:val="25EF109C"/>
    <w:rsid w:val="25F32BA6"/>
    <w:rsid w:val="25F624CA"/>
    <w:rsid w:val="25F97D12"/>
    <w:rsid w:val="2608240D"/>
    <w:rsid w:val="260B508D"/>
    <w:rsid w:val="260C3042"/>
    <w:rsid w:val="26196FBD"/>
    <w:rsid w:val="26255256"/>
    <w:rsid w:val="262733E3"/>
    <w:rsid w:val="263110CF"/>
    <w:rsid w:val="26363EDE"/>
    <w:rsid w:val="263918B6"/>
    <w:rsid w:val="263E4B2E"/>
    <w:rsid w:val="26431C9D"/>
    <w:rsid w:val="264B49B7"/>
    <w:rsid w:val="26503628"/>
    <w:rsid w:val="26561E33"/>
    <w:rsid w:val="2656294C"/>
    <w:rsid w:val="265E696D"/>
    <w:rsid w:val="266137F6"/>
    <w:rsid w:val="26621611"/>
    <w:rsid w:val="26642012"/>
    <w:rsid w:val="26663375"/>
    <w:rsid w:val="26694C78"/>
    <w:rsid w:val="266D5554"/>
    <w:rsid w:val="267004C6"/>
    <w:rsid w:val="26721947"/>
    <w:rsid w:val="267721FD"/>
    <w:rsid w:val="26775053"/>
    <w:rsid w:val="26863C1F"/>
    <w:rsid w:val="268D2614"/>
    <w:rsid w:val="2691044C"/>
    <w:rsid w:val="269431EC"/>
    <w:rsid w:val="269E48D1"/>
    <w:rsid w:val="26A53FAF"/>
    <w:rsid w:val="26B276ED"/>
    <w:rsid w:val="26B41EAB"/>
    <w:rsid w:val="26BF1EED"/>
    <w:rsid w:val="26C32FA8"/>
    <w:rsid w:val="26CD3E37"/>
    <w:rsid w:val="26CE5B33"/>
    <w:rsid w:val="26D01026"/>
    <w:rsid w:val="26D116FF"/>
    <w:rsid w:val="26D245D2"/>
    <w:rsid w:val="26D40933"/>
    <w:rsid w:val="26D77AEB"/>
    <w:rsid w:val="26DF1B59"/>
    <w:rsid w:val="26E30100"/>
    <w:rsid w:val="26E92B9A"/>
    <w:rsid w:val="26EC3A40"/>
    <w:rsid w:val="26EC4129"/>
    <w:rsid w:val="26EF6D5C"/>
    <w:rsid w:val="26FB2184"/>
    <w:rsid w:val="27072518"/>
    <w:rsid w:val="270A66A3"/>
    <w:rsid w:val="270C7454"/>
    <w:rsid w:val="270E0E5C"/>
    <w:rsid w:val="27113A91"/>
    <w:rsid w:val="271569F0"/>
    <w:rsid w:val="27214E95"/>
    <w:rsid w:val="272E380C"/>
    <w:rsid w:val="272E72ED"/>
    <w:rsid w:val="273D5BE6"/>
    <w:rsid w:val="273F21BD"/>
    <w:rsid w:val="273F3A77"/>
    <w:rsid w:val="274A1FF8"/>
    <w:rsid w:val="275773E8"/>
    <w:rsid w:val="276324AE"/>
    <w:rsid w:val="27655538"/>
    <w:rsid w:val="27662A78"/>
    <w:rsid w:val="276C5384"/>
    <w:rsid w:val="276E1B15"/>
    <w:rsid w:val="27716DAB"/>
    <w:rsid w:val="27770D64"/>
    <w:rsid w:val="277C1FD8"/>
    <w:rsid w:val="277C317A"/>
    <w:rsid w:val="2788214E"/>
    <w:rsid w:val="278A3397"/>
    <w:rsid w:val="278A4F34"/>
    <w:rsid w:val="2792581D"/>
    <w:rsid w:val="27961113"/>
    <w:rsid w:val="27965B83"/>
    <w:rsid w:val="27972B21"/>
    <w:rsid w:val="279C4EFE"/>
    <w:rsid w:val="27A17A8C"/>
    <w:rsid w:val="27A77228"/>
    <w:rsid w:val="27A81F63"/>
    <w:rsid w:val="27AA11A0"/>
    <w:rsid w:val="27AB1F81"/>
    <w:rsid w:val="27C4580D"/>
    <w:rsid w:val="27CA212F"/>
    <w:rsid w:val="27CC024F"/>
    <w:rsid w:val="27D417C3"/>
    <w:rsid w:val="27DD2883"/>
    <w:rsid w:val="27E21A5F"/>
    <w:rsid w:val="27E65DF7"/>
    <w:rsid w:val="27E72D97"/>
    <w:rsid w:val="27EA610E"/>
    <w:rsid w:val="27F217F5"/>
    <w:rsid w:val="27F4226E"/>
    <w:rsid w:val="27FF6E5C"/>
    <w:rsid w:val="28006F68"/>
    <w:rsid w:val="28021CB2"/>
    <w:rsid w:val="28051DA9"/>
    <w:rsid w:val="28056708"/>
    <w:rsid w:val="280A38B7"/>
    <w:rsid w:val="2814570E"/>
    <w:rsid w:val="28190237"/>
    <w:rsid w:val="28281479"/>
    <w:rsid w:val="2835591A"/>
    <w:rsid w:val="283703C7"/>
    <w:rsid w:val="28374D14"/>
    <w:rsid w:val="283806A0"/>
    <w:rsid w:val="283B48D2"/>
    <w:rsid w:val="283C00F3"/>
    <w:rsid w:val="2841679B"/>
    <w:rsid w:val="284A7C88"/>
    <w:rsid w:val="284B0B72"/>
    <w:rsid w:val="285E13B1"/>
    <w:rsid w:val="28627132"/>
    <w:rsid w:val="286B5BF5"/>
    <w:rsid w:val="28757D8E"/>
    <w:rsid w:val="2877267A"/>
    <w:rsid w:val="287F6CA0"/>
    <w:rsid w:val="288E178F"/>
    <w:rsid w:val="28995DA5"/>
    <w:rsid w:val="28A07D03"/>
    <w:rsid w:val="28A76CE7"/>
    <w:rsid w:val="28C039B4"/>
    <w:rsid w:val="28C35B96"/>
    <w:rsid w:val="28DD32E7"/>
    <w:rsid w:val="290025D9"/>
    <w:rsid w:val="29117D15"/>
    <w:rsid w:val="29152B2E"/>
    <w:rsid w:val="2919405D"/>
    <w:rsid w:val="291C02C1"/>
    <w:rsid w:val="291D18C5"/>
    <w:rsid w:val="29241871"/>
    <w:rsid w:val="29255DAF"/>
    <w:rsid w:val="29297C21"/>
    <w:rsid w:val="292B5E9B"/>
    <w:rsid w:val="2931567B"/>
    <w:rsid w:val="29321C20"/>
    <w:rsid w:val="293A6CD3"/>
    <w:rsid w:val="294237C9"/>
    <w:rsid w:val="294A43C7"/>
    <w:rsid w:val="2951008A"/>
    <w:rsid w:val="295A2F9C"/>
    <w:rsid w:val="296E65D1"/>
    <w:rsid w:val="297039DE"/>
    <w:rsid w:val="29713728"/>
    <w:rsid w:val="29722307"/>
    <w:rsid w:val="2972328C"/>
    <w:rsid w:val="29725426"/>
    <w:rsid w:val="29737B13"/>
    <w:rsid w:val="29760494"/>
    <w:rsid w:val="297936DB"/>
    <w:rsid w:val="297F28DA"/>
    <w:rsid w:val="2981079A"/>
    <w:rsid w:val="29834F6D"/>
    <w:rsid w:val="298A6312"/>
    <w:rsid w:val="299B7DAB"/>
    <w:rsid w:val="29A674D5"/>
    <w:rsid w:val="29A738C2"/>
    <w:rsid w:val="29A92B50"/>
    <w:rsid w:val="29AA69E0"/>
    <w:rsid w:val="29AA6DD1"/>
    <w:rsid w:val="2A02235D"/>
    <w:rsid w:val="2A022C2F"/>
    <w:rsid w:val="2A0E6FE2"/>
    <w:rsid w:val="2A10257F"/>
    <w:rsid w:val="2A152DC9"/>
    <w:rsid w:val="2A1801DD"/>
    <w:rsid w:val="2A253C2E"/>
    <w:rsid w:val="2A266B2C"/>
    <w:rsid w:val="2A3668AA"/>
    <w:rsid w:val="2A3F18EB"/>
    <w:rsid w:val="2A431FE2"/>
    <w:rsid w:val="2A4D375E"/>
    <w:rsid w:val="2A6041CE"/>
    <w:rsid w:val="2A6138D0"/>
    <w:rsid w:val="2A641897"/>
    <w:rsid w:val="2A6422D2"/>
    <w:rsid w:val="2A6546D7"/>
    <w:rsid w:val="2A662639"/>
    <w:rsid w:val="2A6A3C37"/>
    <w:rsid w:val="2A6E5D13"/>
    <w:rsid w:val="2A8F5D94"/>
    <w:rsid w:val="2A907AD8"/>
    <w:rsid w:val="2A992064"/>
    <w:rsid w:val="2A9D331D"/>
    <w:rsid w:val="2A9E22CB"/>
    <w:rsid w:val="2A9E239A"/>
    <w:rsid w:val="2A9F3D68"/>
    <w:rsid w:val="2AA842F4"/>
    <w:rsid w:val="2AAB57DD"/>
    <w:rsid w:val="2AB2420C"/>
    <w:rsid w:val="2AB4708C"/>
    <w:rsid w:val="2ABE0AE2"/>
    <w:rsid w:val="2AC36A30"/>
    <w:rsid w:val="2AD33125"/>
    <w:rsid w:val="2ADD4E58"/>
    <w:rsid w:val="2AF30523"/>
    <w:rsid w:val="2AF364E2"/>
    <w:rsid w:val="2AF53B28"/>
    <w:rsid w:val="2AF64D1D"/>
    <w:rsid w:val="2AF716F4"/>
    <w:rsid w:val="2AFA7B85"/>
    <w:rsid w:val="2B1138D4"/>
    <w:rsid w:val="2B1E549D"/>
    <w:rsid w:val="2B201C1D"/>
    <w:rsid w:val="2B250101"/>
    <w:rsid w:val="2B326E48"/>
    <w:rsid w:val="2B3644D9"/>
    <w:rsid w:val="2B3A6942"/>
    <w:rsid w:val="2B453BEC"/>
    <w:rsid w:val="2B466B14"/>
    <w:rsid w:val="2B51056B"/>
    <w:rsid w:val="2B571F34"/>
    <w:rsid w:val="2B5E7388"/>
    <w:rsid w:val="2B68707F"/>
    <w:rsid w:val="2B6C7699"/>
    <w:rsid w:val="2B723B3D"/>
    <w:rsid w:val="2B7A0728"/>
    <w:rsid w:val="2B7A355C"/>
    <w:rsid w:val="2B7E5F58"/>
    <w:rsid w:val="2B8733E8"/>
    <w:rsid w:val="2B9B6620"/>
    <w:rsid w:val="2BA24592"/>
    <w:rsid w:val="2BA43C4B"/>
    <w:rsid w:val="2BA7503E"/>
    <w:rsid w:val="2BA845A7"/>
    <w:rsid w:val="2BB1047C"/>
    <w:rsid w:val="2BB93B48"/>
    <w:rsid w:val="2BC47440"/>
    <w:rsid w:val="2BC67382"/>
    <w:rsid w:val="2BC81E06"/>
    <w:rsid w:val="2BCD15C4"/>
    <w:rsid w:val="2BD13674"/>
    <w:rsid w:val="2BD37F60"/>
    <w:rsid w:val="2BD9220F"/>
    <w:rsid w:val="2BDD286B"/>
    <w:rsid w:val="2BE049D4"/>
    <w:rsid w:val="2BFF6BC1"/>
    <w:rsid w:val="2C084285"/>
    <w:rsid w:val="2C185D78"/>
    <w:rsid w:val="2C1C4186"/>
    <w:rsid w:val="2C1C46E3"/>
    <w:rsid w:val="2C2F0B49"/>
    <w:rsid w:val="2C391EDA"/>
    <w:rsid w:val="2C451ED9"/>
    <w:rsid w:val="2C4A574C"/>
    <w:rsid w:val="2C526A08"/>
    <w:rsid w:val="2C596E16"/>
    <w:rsid w:val="2C5A43F5"/>
    <w:rsid w:val="2C5B580B"/>
    <w:rsid w:val="2C6114F5"/>
    <w:rsid w:val="2C643ECD"/>
    <w:rsid w:val="2C6859DA"/>
    <w:rsid w:val="2C7132EE"/>
    <w:rsid w:val="2C7150A6"/>
    <w:rsid w:val="2C755D25"/>
    <w:rsid w:val="2C806952"/>
    <w:rsid w:val="2C822254"/>
    <w:rsid w:val="2C8A52D2"/>
    <w:rsid w:val="2C9D4C9B"/>
    <w:rsid w:val="2CAC4A81"/>
    <w:rsid w:val="2CB83106"/>
    <w:rsid w:val="2CC13372"/>
    <w:rsid w:val="2CC46CFF"/>
    <w:rsid w:val="2CC57D04"/>
    <w:rsid w:val="2CC83FD2"/>
    <w:rsid w:val="2CC90123"/>
    <w:rsid w:val="2CCB086A"/>
    <w:rsid w:val="2CD56C44"/>
    <w:rsid w:val="2CDF0146"/>
    <w:rsid w:val="2CEA351B"/>
    <w:rsid w:val="2CEF1989"/>
    <w:rsid w:val="2D0423E0"/>
    <w:rsid w:val="2D0D2343"/>
    <w:rsid w:val="2D103F97"/>
    <w:rsid w:val="2D193A16"/>
    <w:rsid w:val="2D1C2081"/>
    <w:rsid w:val="2D31304A"/>
    <w:rsid w:val="2D4011BD"/>
    <w:rsid w:val="2D405A7F"/>
    <w:rsid w:val="2D416B0D"/>
    <w:rsid w:val="2D51363D"/>
    <w:rsid w:val="2D566B20"/>
    <w:rsid w:val="2D5B5836"/>
    <w:rsid w:val="2D5E1E80"/>
    <w:rsid w:val="2D66224F"/>
    <w:rsid w:val="2D6D7DC0"/>
    <w:rsid w:val="2D701846"/>
    <w:rsid w:val="2D735BD4"/>
    <w:rsid w:val="2D735D85"/>
    <w:rsid w:val="2D7B446C"/>
    <w:rsid w:val="2D88324E"/>
    <w:rsid w:val="2D8F5C14"/>
    <w:rsid w:val="2D914F32"/>
    <w:rsid w:val="2DA14DDD"/>
    <w:rsid w:val="2DA347A3"/>
    <w:rsid w:val="2DA37656"/>
    <w:rsid w:val="2DA41B4C"/>
    <w:rsid w:val="2DB82541"/>
    <w:rsid w:val="2DB841E5"/>
    <w:rsid w:val="2DBD6509"/>
    <w:rsid w:val="2DC8202E"/>
    <w:rsid w:val="2DC95CD1"/>
    <w:rsid w:val="2DC96118"/>
    <w:rsid w:val="2DCA46C1"/>
    <w:rsid w:val="2DCE4D1B"/>
    <w:rsid w:val="2DCF6F7F"/>
    <w:rsid w:val="2DD16BD4"/>
    <w:rsid w:val="2DD63F3A"/>
    <w:rsid w:val="2DDD4500"/>
    <w:rsid w:val="2DDE6D5B"/>
    <w:rsid w:val="2DE4308B"/>
    <w:rsid w:val="2DE85760"/>
    <w:rsid w:val="2DF30293"/>
    <w:rsid w:val="2DFA5DE5"/>
    <w:rsid w:val="2E082F46"/>
    <w:rsid w:val="2E0967D7"/>
    <w:rsid w:val="2E1B3771"/>
    <w:rsid w:val="2E1F6C27"/>
    <w:rsid w:val="2E205558"/>
    <w:rsid w:val="2E290D0B"/>
    <w:rsid w:val="2E2E7787"/>
    <w:rsid w:val="2E2F3699"/>
    <w:rsid w:val="2E3103C0"/>
    <w:rsid w:val="2E347805"/>
    <w:rsid w:val="2E354BB8"/>
    <w:rsid w:val="2E35644F"/>
    <w:rsid w:val="2E357269"/>
    <w:rsid w:val="2E3C2BB7"/>
    <w:rsid w:val="2E3E387B"/>
    <w:rsid w:val="2E4D7951"/>
    <w:rsid w:val="2E4E4DA2"/>
    <w:rsid w:val="2E521B64"/>
    <w:rsid w:val="2E543B81"/>
    <w:rsid w:val="2E693E3B"/>
    <w:rsid w:val="2E6947FB"/>
    <w:rsid w:val="2E71704E"/>
    <w:rsid w:val="2E7305F6"/>
    <w:rsid w:val="2E8106B9"/>
    <w:rsid w:val="2E8269FC"/>
    <w:rsid w:val="2E8C0A87"/>
    <w:rsid w:val="2E8D30DF"/>
    <w:rsid w:val="2E9109F3"/>
    <w:rsid w:val="2E9705F5"/>
    <w:rsid w:val="2EAD351B"/>
    <w:rsid w:val="2EAE3598"/>
    <w:rsid w:val="2EB65226"/>
    <w:rsid w:val="2EB97120"/>
    <w:rsid w:val="2EC168A4"/>
    <w:rsid w:val="2EC76B1F"/>
    <w:rsid w:val="2EC94A4D"/>
    <w:rsid w:val="2ECC0FAC"/>
    <w:rsid w:val="2ECC416C"/>
    <w:rsid w:val="2EE05ED5"/>
    <w:rsid w:val="2EE267C7"/>
    <w:rsid w:val="2EE54C65"/>
    <w:rsid w:val="2EF15FE8"/>
    <w:rsid w:val="2EF55C13"/>
    <w:rsid w:val="2EFB45F7"/>
    <w:rsid w:val="2EFF6FA8"/>
    <w:rsid w:val="2F000220"/>
    <w:rsid w:val="2F025D7C"/>
    <w:rsid w:val="2F0802A0"/>
    <w:rsid w:val="2F0879F5"/>
    <w:rsid w:val="2F16691A"/>
    <w:rsid w:val="2F1868D0"/>
    <w:rsid w:val="2F204D4E"/>
    <w:rsid w:val="2F223D2C"/>
    <w:rsid w:val="2F250DFC"/>
    <w:rsid w:val="2F2965ED"/>
    <w:rsid w:val="2F337398"/>
    <w:rsid w:val="2F413598"/>
    <w:rsid w:val="2F486F33"/>
    <w:rsid w:val="2F4F49BB"/>
    <w:rsid w:val="2F5405F4"/>
    <w:rsid w:val="2F662FB5"/>
    <w:rsid w:val="2F6E6D8C"/>
    <w:rsid w:val="2F6F35F2"/>
    <w:rsid w:val="2F7A255C"/>
    <w:rsid w:val="2F7C30F5"/>
    <w:rsid w:val="2F7D151B"/>
    <w:rsid w:val="2F8200EB"/>
    <w:rsid w:val="2F9135A1"/>
    <w:rsid w:val="2F963350"/>
    <w:rsid w:val="2F9779DA"/>
    <w:rsid w:val="2FB465EB"/>
    <w:rsid w:val="2FB63B58"/>
    <w:rsid w:val="2FB95A33"/>
    <w:rsid w:val="2FC62616"/>
    <w:rsid w:val="2FCB1CA7"/>
    <w:rsid w:val="2FCB5D05"/>
    <w:rsid w:val="2FCC289A"/>
    <w:rsid w:val="2FD63528"/>
    <w:rsid w:val="2FD80397"/>
    <w:rsid w:val="2FDA5B4B"/>
    <w:rsid w:val="2FE02555"/>
    <w:rsid w:val="2FE12B3C"/>
    <w:rsid w:val="2FE4734E"/>
    <w:rsid w:val="2FEC264C"/>
    <w:rsid w:val="2FF77D6E"/>
    <w:rsid w:val="2FFA0754"/>
    <w:rsid w:val="30021B51"/>
    <w:rsid w:val="30084F40"/>
    <w:rsid w:val="300C7DA9"/>
    <w:rsid w:val="300F59E1"/>
    <w:rsid w:val="3011270B"/>
    <w:rsid w:val="3015285E"/>
    <w:rsid w:val="30174ADD"/>
    <w:rsid w:val="301775DB"/>
    <w:rsid w:val="301C23B4"/>
    <w:rsid w:val="301F69C5"/>
    <w:rsid w:val="302069DF"/>
    <w:rsid w:val="302134EF"/>
    <w:rsid w:val="302A7867"/>
    <w:rsid w:val="303F7CA4"/>
    <w:rsid w:val="30414952"/>
    <w:rsid w:val="304372C1"/>
    <w:rsid w:val="30473890"/>
    <w:rsid w:val="30473AEE"/>
    <w:rsid w:val="304F6AA9"/>
    <w:rsid w:val="3050625E"/>
    <w:rsid w:val="306843AC"/>
    <w:rsid w:val="3071153B"/>
    <w:rsid w:val="3084329D"/>
    <w:rsid w:val="30857AFA"/>
    <w:rsid w:val="308603A9"/>
    <w:rsid w:val="30861C79"/>
    <w:rsid w:val="308A653B"/>
    <w:rsid w:val="308D18BE"/>
    <w:rsid w:val="309502D1"/>
    <w:rsid w:val="30960CCC"/>
    <w:rsid w:val="309B6237"/>
    <w:rsid w:val="30A3702C"/>
    <w:rsid w:val="30B34A4D"/>
    <w:rsid w:val="30B6423F"/>
    <w:rsid w:val="30BD0D43"/>
    <w:rsid w:val="30C30C08"/>
    <w:rsid w:val="30C72293"/>
    <w:rsid w:val="30C92769"/>
    <w:rsid w:val="30CB256A"/>
    <w:rsid w:val="30CF1C17"/>
    <w:rsid w:val="30D15BA0"/>
    <w:rsid w:val="30D5596A"/>
    <w:rsid w:val="30D8352D"/>
    <w:rsid w:val="30D85B23"/>
    <w:rsid w:val="30EB1710"/>
    <w:rsid w:val="30EF3700"/>
    <w:rsid w:val="30F665C7"/>
    <w:rsid w:val="30F90C76"/>
    <w:rsid w:val="30FA4397"/>
    <w:rsid w:val="310166E8"/>
    <w:rsid w:val="310350F7"/>
    <w:rsid w:val="31045FC1"/>
    <w:rsid w:val="31136E45"/>
    <w:rsid w:val="311E12E9"/>
    <w:rsid w:val="311E1B50"/>
    <w:rsid w:val="31273B9F"/>
    <w:rsid w:val="312E6A1F"/>
    <w:rsid w:val="3135452A"/>
    <w:rsid w:val="3137579D"/>
    <w:rsid w:val="31383CFA"/>
    <w:rsid w:val="31410217"/>
    <w:rsid w:val="31495980"/>
    <w:rsid w:val="314E4C29"/>
    <w:rsid w:val="31550F21"/>
    <w:rsid w:val="3155493A"/>
    <w:rsid w:val="31555219"/>
    <w:rsid w:val="31644746"/>
    <w:rsid w:val="31655553"/>
    <w:rsid w:val="316740A5"/>
    <w:rsid w:val="316B3EF7"/>
    <w:rsid w:val="31700D0B"/>
    <w:rsid w:val="31706A4A"/>
    <w:rsid w:val="317351EC"/>
    <w:rsid w:val="317367E2"/>
    <w:rsid w:val="317A5007"/>
    <w:rsid w:val="31802B91"/>
    <w:rsid w:val="31886216"/>
    <w:rsid w:val="318D6EE4"/>
    <w:rsid w:val="318E31DE"/>
    <w:rsid w:val="31972CF3"/>
    <w:rsid w:val="319A3F19"/>
    <w:rsid w:val="31A107E4"/>
    <w:rsid w:val="31A93277"/>
    <w:rsid w:val="31B4765C"/>
    <w:rsid w:val="31BA13BF"/>
    <w:rsid w:val="31C9253F"/>
    <w:rsid w:val="31CA0EDE"/>
    <w:rsid w:val="31CB2BA5"/>
    <w:rsid w:val="31CF2BBF"/>
    <w:rsid w:val="31D500FC"/>
    <w:rsid w:val="31D763E9"/>
    <w:rsid w:val="31DB7526"/>
    <w:rsid w:val="31E0297E"/>
    <w:rsid w:val="31EA3DD2"/>
    <w:rsid w:val="31EB49CA"/>
    <w:rsid w:val="31EC10D3"/>
    <w:rsid w:val="31FB5EDD"/>
    <w:rsid w:val="31FE5946"/>
    <w:rsid w:val="32117239"/>
    <w:rsid w:val="32156874"/>
    <w:rsid w:val="321A178D"/>
    <w:rsid w:val="323C12D1"/>
    <w:rsid w:val="32403049"/>
    <w:rsid w:val="32466979"/>
    <w:rsid w:val="32475C1E"/>
    <w:rsid w:val="32485C02"/>
    <w:rsid w:val="32561537"/>
    <w:rsid w:val="32580267"/>
    <w:rsid w:val="326F290E"/>
    <w:rsid w:val="326F6F43"/>
    <w:rsid w:val="327308D3"/>
    <w:rsid w:val="327735D4"/>
    <w:rsid w:val="327B73A4"/>
    <w:rsid w:val="328256F2"/>
    <w:rsid w:val="328B5C57"/>
    <w:rsid w:val="329356B1"/>
    <w:rsid w:val="329B3418"/>
    <w:rsid w:val="329E1FB3"/>
    <w:rsid w:val="329F58D0"/>
    <w:rsid w:val="32A77209"/>
    <w:rsid w:val="32AA0990"/>
    <w:rsid w:val="32AB2ACF"/>
    <w:rsid w:val="32B159D9"/>
    <w:rsid w:val="32B270C3"/>
    <w:rsid w:val="32B328F4"/>
    <w:rsid w:val="32B839EA"/>
    <w:rsid w:val="32C01009"/>
    <w:rsid w:val="32D25AC4"/>
    <w:rsid w:val="32D40F9A"/>
    <w:rsid w:val="32D438CE"/>
    <w:rsid w:val="32D8320C"/>
    <w:rsid w:val="32D927F5"/>
    <w:rsid w:val="32DA500F"/>
    <w:rsid w:val="32DD170A"/>
    <w:rsid w:val="32DE3D28"/>
    <w:rsid w:val="32ED6766"/>
    <w:rsid w:val="32F93F45"/>
    <w:rsid w:val="32FB3A83"/>
    <w:rsid w:val="32FE03B5"/>
    <w:rsid w:val="330316D4"/>
    <w:rsid w:val="3304078D"/>
    <w:rsid w:val="331525BD"/>
    <w:rsid w:val="3319567A"/>
    <w:rsid w:val="3327504F"/>
    <w:rsid w:val="332E0A53"/>
    <w:rsid w:val="332F7983"/>
    <w:rsid w:val="333744B0"/>
    <w:rsid w:val="333855F0"/>
    <w:rsid w:val="333D795C"/>
    <w:rsid w:val="333F4D66"/>
    <w:rsid w:val="33442524"/>
    <w:rsid w:val="334A252E"/>
    <w:rsid w:val="334C7F1F"/>
    <w:rsid w:val="334D6566"/>
    <w:rsid w:val="335544F9"/>
    <w:rsid w:val="3357440D"/>
    <w:rsid w:val="33663017"/>
    <w:rsid w:val="33684BAD"/>
    <w:rsid w:val="336A68DB"/>
    <w:rsid w:val="33712D5F"/>
    <w:rsid w:val="337408A2"/>
    <w:rsid w:val="33906E9B"/>
    <w:rsid w:val="33922B7E"/>
    <w:rsid w:val="33925679"/>
    <w:rsid w:val="33926D4F"/>
    <w:rsid w:val="33961108"/>
    <w:rsid w:val="33962075"/>
    <w:rsid w:val="339D1DB6"/>
    <w:rsid w:val="33A515F9"/>
    <w:rsid w:val="33A9746C"/>
    <w:rsid w:val="33B24875"/>
    <w:rsid w:val="33B270E4"/>
    <w:rsid w:val="33B615BC"/>
    <w:rsid w:val="33B9080B"/>
    <w:rsid w:val="33BC4D40"/>
    <w:rsid w:val="33C06EFA"/>
    <w:rsid w:val="33C37EBE"/>
    <w:rsid w:val="33C678AD"/>
    <w:rsid w:val="33D327A5"/>
    <w:rsid w:val="33D37E12"/>
    <w:rsid w:val="33D53B8D"/>
    <w:rsid w:val="33D6583E"/>
    <w:rsid w:val="33DE6522"/>
    <w:rsid w:val="33E64A11"/>
    <w:rsid w:val="33E76D4E"/>
    <w:rsid w:val="33E8506B"/>
    <w:rsid w:val="33F20923"/>
    <w:rsid w:val="33F74AC4"/>
    <w:rsid w:val="33FB51DC"/>
    <w:rsid w:val="33FD4585"/>
    <w:rsid w:val="34005A7A"/>
    <w:rsid w:val="34080051"/>
    <w:rsid w:val="34162D62"/>
    <w:rsid w:val="34171BEA"/>
    <w:rsid w:val="341C4957"/>
    <w:rsid w:val="341F2393"/>
    <w:rsid w:val="3431197D"/>
    <w:rsid w:val="34370B01"/>
    <w:rsid w:val="34462E66"/>
    <w:rsid w:val="3446525E"/>
    <w:rsid w:val="34493C4B"/>
    <w:rsid w:val="344D4D15"/>
    <w:rsid w:val="34507034"/>
    <w:rsid w:val="345632D9"/>
    <w:rsid w:val="34587A69"/>
    <w:rsid w:val="345E11D8"/>
    <w:rsid w:val="34674481"/>
    <w:rsid w:val="34681E8C"/>
    <w:rsid w:val="346F0C7C"/>
    <w:rsid w:val="347F708D"/>
    <w:rsid w:val="348E196F"/>
    <w:rsid w:val="34924709"/>
    <w:rsid w:val="349631EE"/>
    <w:rsid w:val="34977297"/>
    <w:rsid w:val="34A148B4"/>
    <w:rsid w:val="34A27855"/>
    <w:rsid w:val="34AC7BBC"/>
    <w:rsid w:val="34AF34FB"/>
    <w:rsid w:val="34C10072"/>
    <w:rsid w:val="34C77578"/>
    <w:rsid w:val="34C92DDB"/>
    <w:rsid w:val="34D75F95"/>
    <w:rsid w:val="34DB3309"/>
    <w:rsid w:val="34DE432F"/>
    <w:rsid w:val="34EA6F5F"/>
    <w:rsid w:val="34EC60B6"/>
    <w:rsid w:val="34F3038E"/>
    <w:rsid w:val="34F51844"/>
    <w:rsid w:val="34F75F98"/>
    <w:rsid w:val="34FA47CD"/>
    <w:rsid w:val="34FA63E3"/>
    <w:rsid w:val="35041924"/>
    <w:rsid w:val="35112FAA"/>
    <w:rsid w:val="351C7B56"/>
    <w:rsid w:val="35251B72"/>
    <w:rsid w:val="352849C7"/>
    <w:rsid w:val="352C2E2C"/>
    <w:rsid w:val="353376E2"/>
    <w:rsid w:val="35364BAD"/>
    <w:rsid w:val="35372E79"/>
    <w:rsid w:val="354F4C6B"/>
    <w:rsid w:val="35567D0E"/>
    <w:rsid w:val="356144FC"/>
    <w:rsid w:val="35694AC5"/>
    <w:rsid w:val="35697889"/>
    <w:rsid w:val="356D220A"/>
    <w:rsid w:val="357F7236"/>
    <w:rsid w:val="3580176A"/>
    <w:rsid w:val="35881CF3"/>
    <w:rsid w:val="358A37C5"/>
    <w:rsid w:val="3590227A"/>
    <w:rsid w:val="3596013A"/>
    <w:rsid w:val="35966F91"/>
    <w:rsid w:val="359812CC"/>
    <w:rsid w:val="359D7AC2"/>
    <w:rsid w:val="35A10273"/>
    <w:rsid w:val="35AF258E"/>
    <w:rsid w:val="35BA32FA"/>
    <w:rsid w:val="35BC489C"/>
    <w:rsid w:val="35BF31E4"/>
    <w:rsid w:val="35D021DE"/>
    <w:rsid w:val="35DC4F57"/>
    <w:rsid w:val="35EA1D85"/>
    <w:rsid w:val="35ED3013"/>
    <w:rsid w:val="35F34531"/>
    <w:rsid w:val="360520A7"/>
    <w:rsid w:val="361275B1"/>
    <w:rsid w:val="36195817"/>
    <w:rsid w:val="361B3756"/>
    <w:rsid w:val="361C7DE2"/>
    <w:rsid w:val="362075BF"/>
    <w:rsid w:val="362137F2"/>
    <w:rsid w:val="36263550"/>
    <w:rsid w:val="3631371C"/>
    <w:rsid w:val="363E5DF9"/>
    <w:rsid w:val="36434A56"/>
    <w:rsid w:val="36435234"/>
    <w:rsid w:val="3655303C"/>
    <w:rsid w:val="365B1BF1"/>
    <w:rsid w:val="365D2BEF"/>
    <w:rsid w:val="36621DCB"/>
    <w:rsid w:val="3672002C"/>
    <w:rsid w:val="3674061A"/>
    <w:rsid w:val="36785BEA"/>
    <w:rsid w:val="367E325E"/>
    <w:rsid w:val="367F4F3D"/>
    <w:rsid w:val="368A5033"/>
    <w:rsid w:val="368C037B"/>
    <w:rsid w:val="368C28A2"/>
    <w:rsid w:val="36976C4A"/>
    <w:rsid w:val="369A06C1"/>
    <w:rsid w:val="369A2A90"/>
    <w:rsid w:val="36A22266"/>
    <w:rsid w:val="36A44F9A"/>
    <w:rsid w:val="36AE7336"/>
    <w:rsid w:val="36B148ED"/>
    <w:rsid w:val="36B915E5"/>
    <w:rsid w:val="36BE030B"/>
    <w:rsid w:val="36BF7685"/>
    <w:rsid w:val="36CB3292"/>
    <w:rsid w:val="36D73297"/>
    <w:rsid w:val="36DC399F"/>
    <w:rsid w:val="36DE135E"/>
    <w:rsid w:val="36E067C1"/>
    <w:rsid w:val="36E378C2"/>
    <w:rsid w:val="36E9036C"/>
    <w:rsid w:val="36E93A38"/>
    <w:rsid w:val="36F53C32"/>
    <w:rsid w:val="36FF16B0"/>
    <w:rsid w:val="37024674"/>
    <w:rsid w:val="370527ED"/>
    <w:rsid w:val="370608DF"/>
    <w:rsid w:val="3708121A"/>
    <w:rsid w:val="370A185D"/>
    <w:rsid w:val="370C0643"/>
    <w:rsid w:val="3718489E"/>
    <w:rsid w:val="371B230A"/>
    <w:rsid w:val="37210A25"/>
    <w:rsid w:val="3728184E"/>
    <w:rsid w:val="372B48EE"/>
    <w:rsid w:val="372D7B30"/>
    <w:rsid w:val="3736409F"/>
    <w:rsid w:val="3745688E"/>
    <w:rsid w:val="37476DD4"/>
    <w:rsid w:val="37481F83"/>
    <w:rsid w:val="37493AB0"/>
    <w:rsid w:val="37584B8F"/>
    <w:rsid w:val="37604FC9"/>
    <w:rsid w:val="3762243E"/>
    <w:rsid w:val="37680CE9"/>
    <w:rsid w:val="37772FB8"/>
    <w:rsid w:val="3778024A"/>
    <w:rsid w:val="377E38F4"/>
    <w:rsid w:val="37884451"/>
    <w:rsid w:val="37884A02"/>
    <w:rsid w:val="379538C7"/>
    <w:rsid w:val="379624BC"/>
    <w:rsid w:val="37963FD5"/>
    <w:rsid w:val="37992EFA"/>
    <w:rsid w:val="379A40F4"/>
    <w:rsid w:val="379D06B3"/>
    <w:rsid w:val="379E4265"/>
    <w:rsid w:val="37B54580"/>
    <w:rsid w:val="37C9151F"/>
    <w:rsid w:val="37CA57A6"/>
    <w:rsid w:val="37DE1AE5"/>
    <w:rsid w:val="37E20CC9"/>
    <w:rsid w:val="37E86ADA"/>
    <w:rsid w:val="37EA0D1D"/>
    <w:rsid w:val="37F06B38"/>
    <w:rsid w:val="37FA6A5A"/>
    <w:rsid w:val="37FC5B18"/>
    <w:rsid w:val="38060F3A"/>
    <w:rsid w:val="380677DD"/>
    <w:rsid w:val="380B6B34"/>
    <w:rsid w:val="380C690C"/>
    <w:rsid w:val="380D5B9E"/>
    <w:rsid w:val="3814487E"/>
    <w:rsid w:val="38195BB8"/>
    <w:rsid w:val="381A0DD0"/>
    <w:rsid w:val="381F5760"/>
    <w:rsid w:val="38246CC4"/>
    <w:rsid w:val="383471A3"/>
    <w:rsid w:val="383818D1"/>
    <w:rsid w:val="383F666B"/>
    <w:rsid w:val="383F7A68"/>
    <w:rsid w:val="384020B0"/>
    <w:rsid w:val="384261D2"/>
    <w:rsid w:val="38464834"/>
    <w:rsid w:val="38643F4E"/>
    <w:rsid w:val="38692F5F"/>
    <w:rsid w:val="386C08F6"/>
    <w:rsid w:val="387169BA"/>
    <w:rsid w:val="38732EA4"/>
    <w:rsid w:val="38833259"/>
    <w:rsid w:val="38841AC6"/>
    <w:rsid w:val="388E7067"/>
    <w:rsid w:val="389107BC"/>
    <w:rsid w:val="38947915"/>
    <w:rsid w:val="38A87B48"/>
    <w:rsid w:val="38AB078B"/>
    <w:rsid w:val="38AC27D0"/>
    <w:rsid w:val="38B27A1C"/>
    <w:rsid w:val="38B82434"/>
    <w:rsid w:val="38B839AC"/>
    <w:rsid w:val="38BB5260"/>
    <w:rsid w:val="38C16DAB"/>
    <w:rsid w:val="38C2449A"/>
    <w:rsid w:val="38C576A5"/>
    <w:rsid w:val="38CC3019"/>
    <w:rsid w:val="38D118A2"/>
    <w:rsid w:val="38D97F47"/>
    <w:rsid w:val="38DE6E2F"/>
    <w:rsid w:val="38E63AD6"/>
    <w:rsid w:val="38E95089"/>
    <w:rsid w:val="38FD6035"/>
    <w:rsid w:val="39053533"/>
    <w:rsid w:val="390B558F"/>
    <w:rsid w:val="390E6423"/>
    <w:rsid w:val="391B3490"/>
    <w:rsid w:val="392355EB"/>
    <w:rsid w:val="39294944"/>
    <w:rsid w:val="392D343F"/>
    <w:rsid w:val="392E71E9"/>
    <w:rsid w:val="393F3416"/>
    <w:rsid w:val="39433E66"/>
    <w:rsid w:val="3945094C"/>
    <w:rsid w:val="394D7496"/>
    <w:rsid w:val="395A6D0E"/>
    <w:rsid w:val="396A6D20"/>
    <w:rsid w:val="396F2D1F"/>
    <w:rsid w:val="39734A4B"/>
    <w:rsid w:val="3974482B"/>
    <w:rsid w:val="39751CE5"/>
    <w:rsid w:val="3976167E"/>
    <w:rsid w:val="39787162"/>
    <w:rsid w:val="39884F32"/>
    <w:rsid w:val="39901338"/>
    <w:rsid w:val="3997374F"/>
    <w:rsid w:val="3999500E"/>
    <w:rsid w:val="39AB2545"/>
    <w:rsid w:val="39AD77BA"/>
    <w:rsid w:val="39B34C3C"/>
    <w:rsid w:val="39C7380C"/>
    <w:rsid w:val="39C97503"/>
    <w:rsid w:val="39CB237B"/>
    <w:rsid w:val="39CD55D3"/>
    <w:rsid w:val="39D31A82"/>
    <w:rsid w:val="39D83581"/>
    <w:rsid w:val="39DD0CB3"/>
    <w:rsid w:val="39DE7FA3"/>
    <w:rsid w:val="39DF6376"/>
    <w:rsid w:val="39E06849"/>
    <w:rsid w:val="39F677F9"/>
    <w:rsid w:val="39F866B0"/>
    <w:rsid w:val="39F91FF9"/>
    <w:rsid w:val="39FA787E"/>
    <w:rsid w:val="39FB4703"/>
    <w:rsid w:val="39FE146F"/>
    <w:rsid w:val="3A041A69"/>
    <w:rsid w:val="3A075882"/>
    <w:rsid w:val="3A08798E"/>
    <w:rsid w:val="3A0A2110"/>
    <w:rsid w:val="3A1413A4"/>
    <w:rsid w:val="3A1628AB"/>
    <w:rsid w:val="3A165714"/>
    <w:rsid w:val="3A1867D5"/>
    <w:rsid w:val="3A1A6D8F"/>
    <w:rsid w:val="3A1E3132"/>
    <w:rsid w:val="3A203889"/>
    <w:rsid w:val="3A2F57E7"/>
    <w:rsid w:val="3A4159C1"/>
    <w:rsid w:val="3A435C28"/>
    <w:rsid w:val="3A437B68"/>
    <w:rsid w:val="3A46233F"/>
    <w:rsid w:val="3A480C70"/>
    <w:rsid w:val="3A482363"/>
    <w:rsid w:val="3A5125EE"/>
    <w:rsid w:val="3A5706BF"/>
    <w:rsid w:val="3A5D2B25"/>
    <w:rsid w:val="3A630217"/>
    <w:rsid w:val="3A662595"/>
    <w:rsid w:val="3A6B2FD2"/>
    <w:rsid w:val="3A6C6E60"/>
    <w:rsid w:val="3A702FAC"/>
    <w:rsid w:val="3A7E4293"/>
    <w:rsid w:val="3A840FD2"/>
    <w:rsid w:val="3A8912B8"/>
    <w:rsid w:val="3A8A457B"/>
    <w:rsid w:val="3A923D0C"/>
    <w:rsid w:val="3A99077C"/>
    <w:rsid w:val="3A9C4AEC"/>
    <w:rsid w:val="3AA406A2"/>
    <w:rsid w:val="3AA86C16"/>
    <w:rsid w:val="3AAD1743"/>
    <w:rsid w:val="3AB80B48"/>
    <w:rsid w:val="3AC44A50"/>
    <w:rsid w:val="3AC75B4C"/>
    <w:rsid w:val="3AD224CA"/>
    <w:rsid w:val="3AD2711A"/>
    <w:rsid w:val="3AD45D41"/>
    <w:rsid w:val="3AE26C66"/>
    <w:rsid w:val="3AE55BD1"/>
    <w:rsid w:val="3AE603CF"/>
    <w:rsid w:val="3AE9341C"/>
    <w:rsid w:val="3AF74A34"/>
    <w:rsid w:val="3AFA69C1"/>
    <w:rsid w:val="3AFB3DC3"/>
    <w:rsid w:val="3AFB63D8"/>
    <w:rsid w:val="3B0747FB"/>
    <w:rsid w:val="3B1137DB"/>
    <w:rsid w:val="3B134D41"/>
    <w:rsid w:val="3B1D21F5"/>
    <w:rsid w:val="3B1F72F1"/>
    <w:rsid w:val="3B2323EC"/>
    <w:rsid w:val="3B267548"/>
    <w:rsid w:val="3B28337E"/>
    <w:rsid w:val="3B2E50FD"/>
    <w:rsid w:val="3B317563"/>
    <w:rsid w:val="3B3851D2"/>
    <w:rsid w:val="3B3C6F94"/>
    <w:rsid w:val="3B3E1818"/>
    <w:rsid w:val="3B412C79"/>
    <w:rsid w:val="3B4233C4"/>
    <w:rsid w:val="3B42637C"/>
    <w:rsid w:val="3B540269"/>
    <w:rsid w:val="3B59537C"/>
    <w:rsid w:val="3B6124B0"/>
    <w:rsid w:val="3B6304C7"/>
    <w:rsid w:val="3B642321"/>
    <w:rsid w:val="3B6D2D6E"/>
    <w:rsid w:val="3B6E489E"/>
    <w:rsid w:val="3B712CBE"/>
    <w:rsid w:val="3B777BB0"/>
    <w:rsid w:val="3B80535C"/>
    <w:rsid w:val="3B816482"/>
    <w:rsid w:val="3B8A3D59"/>
    <w:rsid w:val="3B8D0EA3"/>
    <w:rsid w:val="3B8E52C3"/>
    <w:rsid w:val="3B95784C"/>
    <w:rsid w:val="3B994F9D"/>
    <w:rsid w:val="3BA4298B"/>
    <w:rsid w:val="3BB634EC"/>
    <w:rsid w:val="3BBC58A5"/>
    <w:rsid w:val="3BBE375B"/>
    <w:rsid w:val="3BC41E85"/>
    <w:rsid w:val="3BCC0E22"/>
    <w:rsid w:val="3BCC367E"/>
    <w:rsid w:val="3BD718C9"/>
    <w:rsid w:val="3BE44548"/>
    <w:rsid w:val="3BEE0616"/>
    <w:rsid w:val="3BF9648B"/>
    <w:rsid w:val="3C027A38"/>
    <w:rsid w:val="3C144211"/>
    <w:rsid w:val="3C1A214C"/>
    <w:rsid w:val="3C1B0CFC"/>
    <w:rsid w:val="3C1E5203"/>
    <w:rsid w:val="3C1E73BF"/>
    <w:rsid w:val="3C1F0C1F"/>
    <w:rsid w:val="3C1F16D2"/>
    <w:rsid w:val="3C1F279C"/>
    <w:rsid w:val="3C1F7183"/>
    <w:rsid w:val="3C223978"/>
    <w:rsid w:val="3C2675CD"/>
    <w:rsid w:val="3C275BED"/>
    <w:rsid w:val="3C3052CB"/>
    <w:rsid w:val="3C342F73"/>
    <w:rsid w:val="3C3559AD"/>
    <w:rsid w:val="3C3B1665"/>
    <w:rsid w:val="3C3C08AE"/>
    <w:rsid w:val="3C3D44FE"/>
    <w:rsid w:val="3C406857"/>
    <w:rsid w:val="3C446616"/>
    <w:rsid w:val="3C510B2E"/>
    <w:rsid w:val="3C531FAB"/>
    <w:rsid w:val="3C5369B0"/>
    <w:rsid w:val="3C5B600A"/>
    <w:rsid w:val="3C5B7F88"/>
    <w:rsid w:val="3C601112"/>
    <w:rsid w:val="3C67735C"/>
    <w:rsid w:val="3C6B257A"/>
    <w:rsid w:val="3C6D7EF1"/>
    <w:rsid w:val="3C715D85"/>
    <w:rsid w:val="3C720330"/>
    <w:rsid w:val="3C745F6A"/>
    <w:rsid w:val="3C80422A"/>
    <w:rsid w:val="3C8269F7"/>
    <w:rsid w:val="3C826FA5"/>
    <w:rsid w:val="3C8B5758"/>
    <w:rsid w:val="3C91206B"/>
    <w:rsid w:val="3C941C8B"/>
    <w:rsid w:val="3C956BF8"/>
    <w:rsid w:val="3C9F4ED2"/>
    <w:rsid w:val="3CA655B1"/>
    <w:rsid w:val="3CA75138"/>
    <w:rsid w:val="3CAD018B"/>
    <w:rsid w:val="3CAE30EB"/>
    <w:rsid w:val="3CBC3ECA"/>
    <w:rsid w:val="3CC54291"/>
    <w:rsid w:val="3CC75ED1"/>
    <w:rsid w:val="3CDF7376"/>
    <w:rsid w:val="3CE56D9D"/>
    <w:rsid w:val="3CE765AD"/>
    <w:rsid w:val="3CEE3B3B"/>
    <w:rsid w:val="3CF63F13"/>
    <w:rsid w:val="3CF872D6"/>
    <w:rsid w:val="3CFC03EA"/>
    <w:rsid w:val="3CFF31C6"/>
    <w:rsid w:val="3D04370C"/>
    <w:rsid w:val="3D062FBB"/>
    <w:rsid w:val="3D0A5CBB"/>
    <w:rsid w:val="3D1712D7"/>
    <w:rsid w:val="3D196DA1"/>
    <w:rsid w:val="3D1B7CE2"/>
    <w:rsid w:val="3D1F1D46"/>
    <w:rsid w:val="3D2B44D8"/>
    <w:rsid w:val="3D2C7353"/>
    <w:rsid w:val="3D2D0D7C"/>
    <w:rsid w:val="3D394AAA"/>
    <w:rsid w:val="3D3E0F6E"/>
    <w:rsid w:val="3D414006"/>
    <w:rsid w:val="3D422017"/>
    <w:rsid w:val="3D422603"/>
    <w:rsid w:val="3D457EED"/>
    <w:rsid w:val="3D4857DA"/>
    <w:rsid w:val="3D490779"/>
    <w:rsid w:val="3D491A9E"/>
    <w:rsid w:val="3D5252F4"/>
    <w:rsid w:val="3D567A46"/>
    <w:rsid w:val="3D5A3C91"/>
    <w:rsid w:val="3D6E10CE"/>
    <w:rsid w:val="3D7174ED"/>
    <w:rsid w:val="3D7310C6"/>
    <w:rsid w:val="3D8546B0"/>
    <w:rsid w:val="3D8C2045"/>
    <w:rsid w:val="3D8F023E"/>
    <w:rsid w:val="3D920649"/>
    <w:rsid w:val="3D9435FA"/>
    <w:rsid w:val="3D9E07E4"/>
    <w:rsid w:val="3D9E36A0"/>
    <w:rsid w:val="3DA37B38"/>
    <w:rsid w:val="3DA4205D"/>
    <w:rsid w:val="3DB86EDC"/>
    <w:rsid w:val="3DBA02C2"/>
    <w:rsid w:val="3DBA3CD3"/>
    <w:rsid w:val="3DC6669D"/>
    <w:rsid w:val="3DD92957"/>
    <w:rsid w:val="3DE360C7"/>
    <w:rsid w:val="3DF37B9D"/>
    <w:rsid w:val="3DF707AB"/>
    <w:rsid w:val="3E026055"/>
    <w:rsid w:val="3E0F2D59"/>
    <w:rsid w:val="3E0F504E"/>
    <w:rsid w:val="3E114C2D"/>
    <w:rsid w:val="3E1641AB"/>
    <w:rsid w:val="3E197B2A"/>
    <w:rsid w:val="3E1E34AC"/>
    <w:rsid w:val="3E220AFD"/>
    <w:rsid w:val="3E254D6E"/>
    <w:rsid w:val="3E287049"/>
    <w:rsid w:val="3E2B0051"/>
    <w:rsid w:val="3E2B6572"/>
    <w:rsid w:val="3E393955"/>
    <w:rsid w:val="3E3F6B72"/>
    <w:rsid w:val="3E56630A"/>
    <w:rsid w:val="3E5A30F7"/>
    <w:rsid w:val="3E650E62"/>
    <w:rsid w:val="3E690191"/>
    <w:rsid w:val="3E707B0C"/>
    <w:rsid w:val="3E721EEF"/>
    <w:rsid w:val="3E7744E2"/>
    <w:rsid w:val="3E7B328B"/>
    <w:rsid w:val="3E85606E"/>
    <w:rsid w:val="3E891C59"/>
    <w:rsid w:val="3E8A080A"/>
    <w:rsid w:val="3E900FE4"/>
    <w:rsid w:val="3E932FEC"/>
    <w:rsid w:val="3E982A7D"/>
    <w:rsid w:val="3EA80279"/>
    <w:rsid w:val="3EA954B7"/>
    <w:rsid w:val="3EB338DE"/>
    <w:rsid w:val="3EB8419E"/>
    <w:rsid w:val="3EC00BCA"/>
    <w:rsid w:val="3EC42BFB"/>
    <w:rsid w:val="3EC87A9D"/>
    <w:rsid w:val="3ECD14AF"/>
    <w:rsid w:val="3ED74A7A"/>
    <w:rsid w:val="3EE15C53"/>
    <w:rsid w:val="3EE4677D"/>
    <w:rsid w:val="3EEC45AE"/>
    <w:rsid w:val="3EED20BF"/>
    <w:rsid w:val="3EF70005"/>
    <w:rsid w:val="3EFA0E75"/>
    <w:rsid w:val="3F03277C"/>
    <w:rsid w:val="3F0663FE"/>
    <w:rsid w:val="3F080B63"/>
    <w:rsid w:val="3F0A6DD8"/>
    <w:rsid w:val="3F0B6712"/>
    <w:rsid w:val="3F100FF8"/>
    <w:rsid w:val="3F113710"/>
    <w:rsid w:val="3F1A4AAB"/>
    <w:rsid w:val="3F227D1A"/>
    <w:rsid w:val="3F3D6D1C"/>
    <w:rsid w:val="3F3E67FF"/>
    <w:rsid w:val="3F4926BD"/>
    <w:rsid w:val="3F494DA2"/>
    <w:rsid w:val="3F4D65BF"/>
    <w:rsid w:val="3F4E0C41"/>
    <w:rsid w:val="3F55328A"/>
    <w:rsid w:val="3F5C125F"/>
    <w:rsid w:val="3F651FB6"/>
    <w:rsid w:val="3F6800A6"/>
    <w:rsid w:val="3F736D94"/>
    <w:rsid w:val="3F742278"/>
    <w:rsid w:val="3F784721"/>
    <w:rsid w:val="3F784C75"/>
    <w:rsid w:val="3F86264A"/>
    <w:rsid w:val="3F8F4150"/>
    <w:rsid w:val="3F900874"/>
    <w:rsid w:val="3F914527"/>
    <w:rsid w:val="3F9B676F"/>
    <w:rsid w:val="3F9E7AC8"/>
    <w:rsid w:val="3FA56BA1"/>
    <w:rsid w:val="3FB306F9"/>
    <w:rsid w:val="3FC20254"/>
    <w:rsid w:val="3FC571E0"/>
    <w:rsid w:val="3FC85428"/>
    <w:rsid w:val="3FCC4B72"/>
    <w:rsid w:val="3FCE5CBB"/>
    <w:rsid w:val="3FD010A7"/>
    <w:rsid w:val="3FD93A52"/>
    <w:rsid w:val="3FE25BD8"/>
    <w:rsid w:val="3FEA3EB5"/>
    <w:rsid w:val="3FF6582E"/>
    <w:rsid w:val="3FF953AA"/>
    <w:rsid w:val="3FFA2333"/>
    <w:rsid w:val="40007C76"/>
    <w:rsid w:val="40021A37"/>
    <w:rsid w:val="4007705C"/>
    <w:rsid w:val="400927CB"/>
    <w:rsid w:val="40093FC3"/>
    <w:rsid w:val="40123045"/>
    <w:rsid w:val="40207AF9"/>
    <w:rsid w:val="402977FE"/>
    <w:rsid w:val="402C1C63"/>
    <w:rsid w:val="40395953"/>
    <w:rsid w:val="404149D6"/>
    <w:rsid w:val="40447E84"/>
    <w:rsid w:val="404C6691"/>
    <w:rsid w:val="40557218"/>
    <w:rsid w:val="40664F1B"/>
    <w:rsid w:val="407D12B8"/>
    <w:rsid w:val="4082725A"/>
    <w:rsid w:val="40907801"/>
    <w:rsid w:val="4091596F"/>
    <w:rsid w:val="40931078"/>
    <w:rsid w:val="40934815"/>
    <w:rsid w:val="40964283"/>
    <w:rsid w:val="40967658"/>
    <w:rsid w:val="40A43908"/>
    <w:rsid w:val="40A84BA6"/>
    <w:rsid w:val="40AD12EB"/>
    <w:rsid w:val="40B23895"/>
    <w:rsid w:val="40BE1F5F"/>
    <w:rsid w:val="40C43CFD"/>
    <w:rsid w:val="40D21C9F"/>
    <w:rsid w:val="40D44817"/>
    <w:rsid w:val="40D86720"/>
    <w:rsid w:val="40DD067A"/>
    <w:rsid w:val="40E3581B"/>
    <w:rsid w:val="40F34FD1"/>
    <w:rsid w:val="40FD6D1C"/>
    <w:rsid w:val="410026EA"/>
    <w:rsid w:val="411546AE"/>
    <w:rsid w:val="411D53AC"/>
    <w:rsid w:val="41207EF7"/>
    <w:rsid w:val="41221366"/>
    <w:rsid w:val="412E217F"/>
    <w:rsid w:val="41302C5D"/>
    <w:rsid w:val="413B302C"/>
    <w:rsid w:val="413C09BF"/>
    <w:rsid w:val="414232DD"/>
    <w:rsid w:val="414D67EA"/>
    <w:rsid w:val="41517B2D"/>
    <w:rsid w:val="416F19E1"/>
    <w:rsid w:val="4170004F"/>
    <w:rsid w:val="417E0D19"/>
    <w:rsid w:val="418C6838"/>
    <w:rsid w:val="418D69D2"/>
    <w:rsid w:val="4193170E"/>
    <w:rsid w:val="419C28B5"/>
    <w:rsid w:val="419E1C0E"/>
    <w:rsid w:val="41A044B9"/>
    <w:rsid w:val="41A173FA"/>
    <w:rsid w:val="41A42A44"/>
    <w:rsid w:val="41A674BE"/>
    <w:rsid w:val="41B73C3D"/>
    <w:rsid w:val="41C13425"/>
    <w:rsid w:val="41C56C3B"/>
    <w:rsid w:val="41C8544B"/>
    <w:rsid w:val="41D53F2C"/>
    <w:rsid w:val="41E15AD9"/>
    <w:rsid w:val="41E218E8"/>
    <w:rsid w:val="41E62D71"/>
    <w:rsid w:val="41F35EFC"/>
    <w:rsid w:val="41F40B23"/>
    <w:rsid w:val="41F53DBC"/>
    <w:rsid w:val="41F83549"/>
    <w:rsid w:val="42014F7D"/>
    <w:rsid w:val="42037FCE"/>
    <w:rsid w:val="42061478"/>
    <w:rsid w:val="420805AA"/>
    <w:rsid w:val="420E5AEE"/>
    <w:rsid w:val="4213363D"/>
    <w:rsid w:val="42140857"/>
    <w:rsid w:val="42145A64"/>
    <w:rsid w:val="42157CEF"/>
    <w:rsid w:val="421D615A"/>
    <w:rsid w:val="42241810"/>
    <w:rsid w:val="422A0490"/>
    <w:rsid w:val="42341EA0"/>
    <w:rsid w:val="423602CC"/>
    <w:rsid w:val="42370173"/>
    <w:rsid w:val="423F1891"/>
    <w:rsid w:val="423F62F9"/>
    <w:rsid w:val="4241592D"/>
    <w:rsid w:val="42421BC4"/>
    <w:rsid w:val="42522642"/>
    <w:rsid w:val="425B2438"/>
    <w:rsid w:val="42605B43"/>
    <w:rsid w:val="4263603D"/>
    <w:rsid w:val="42646C12"/>
    <w:rsid w:val="426E1959"/>
    <w:rsid w:val="42757342"/>
    <w:rsid w:val="42760AB4"/>
    <w:rsid w:val="427942DA"/>
    <w:rsid w:val="428020E7"/>
    <w:rsid w:val="428A5952"/>
    <w:rsid w:val="428D01AD"/>
    <w:rsid w:val="428E4C2C"/>
    <w:rsid w:val="42925C52"/>
    <w:rsid w:val="42957829"/>
    <w:rsid w:val="429D4C3F"/>
    <w:rsid w:val="42A075D5"/>
    <w:rsid w:val="42A135DA"/>
    <w:rsid w:val="42A239AC"/>
    <w:rsid w:val="42A34975"/>
    <w:rsid w:val="42A9148F"/>
    <w:rsid w:val="42AC2DE4"/>
    <w:rsid w:val="42B82EAC"/>
    <w:rsid w:val="42BC1327"/>
    <w:rsid w:val="42C85EA4"/>
    <w:rsid w:val="42D75AE1"/>
    <w:rsid w:val="42DA06DB"/>
    <w:rsid w:val="42DA48D4"/>
    <w:rsid w:val="42E13027"/>
    <w:rsid w:val="430279F1"/>
    <w:rsid w:val="430C2652"/>
    <w:rsid w:val="43115EDD"/>
    <w:rsid w:val="431237D3"/>
    <w:rsid w:val="43156DD5"/>
    <w:rsid w:val="43180E8C"/>
    <w:rsid w:val="4325445D"/>
    <w:rsid w:val="433057C9"/>
    <w:rsid w:val="433841D3"/>
    <w:rsid w:val="433D5051"/>
    <w:rsid w:val="43430AE7"/>
    <w:rsid w:val="43494137"/>
    <w:rsid w:val="434E76D1"/>
    <w:rsid w:val="434F071C"/>
    <w:rsid w:val="435F1CFC"/>
    <w:rsid w:val="43600C10"/>
    <w:rsid w:val="4362383B"/>
    <w:rsid w:val="43631B06"/>
    <w:rsid w:val="436508C8"/>
    <w:rsid w:val="43653E54"/>
    <w:rsid w:val="43673359"/>
    <w:rsid w:val="43686476"/>
    <w:rsid w:val="436B565E"/>
    <w:rsid w:val="437634D4"/>
    <w:rsid w:val="43776DA9"/>
    <w:rsid w:val="437930E7"/>
    <w:rsid w:val="437E1B6E"/>
    <w:rsid w:val="43806AEF"/>
    <w:rsid w:val="438615F1"/>
    <w:rsid w:val="43936956"/>
    <w:rsid w:val="439A7746"/>
    <w:rsid w:val="439F0C72"/>
    <w:rsid w:val="43A16934"/>
    <w:rsid w:val="43AA6240"/>
    <w:rsid w:val="43B508CF"/>
    <w:rsid w:val="43BB526F"/>
    <w:rsid w:val="43BC166D"/>
    <w:rsid w:val="43C305DA"/>
    <w:rsid w:val="43C45599"/>
    <w:rsid w:val="43C904A7"/>
    <w:rsid w:val="43D02E89"/>
    <w:rsid w:val="43D3107C"/>
    <w:rsid w:val="43DF105A"/>
    <w:rsid w:val="43E87144"/>
    <w:rsid w:val="43EA4921"/>
    <w:rsid w:val="43EB1484"/>
    <w:rsid w:val="43EE159D"/>
    <w:rsid w:val="43EF0BA9"/>
    <w:rsid w:val="43F15BA5"/>
    <w:rsid w:val="43F55295"/>
    <w:rsid w:val="43F85817"/>
    <w:rsid w:val="43F85AE1"/>
    <w:rsid w:val="43F908D5"/>
    <w:rsid w:val="43FB584D"/>
    <w:rsid w:val="441B0CB6"/>
    <w:rsid w:val="441C7484"/>
    <w:rsid w:val="442C2706"/>
    <w:rsid w:val="443005C2"/>
    <w:rsid w:val="443062F0"/>
    <w:rsid w:val="44336C48"/>
    <w:rsid w:val="44381304"/>
    <w:rsid w:val="4438491B"/>
    <w:rsid w:val="444556F5"/>
    <w:rsid w:val="44463AAF"/>
    <w:rsid w:val="445C3E40"/>
    <w:rsid w:val="445F61A3"/>
    <w:rsid w:val="446508F0"/>
    <w:rsid w:val="44692133"/>
    <w:rsid w:val="446A161F"/>
    <w:rsid w:val="447841A9"/>
    <w:rsid w:val="447E53C9"/>
    <w:rsid w:val="4488359C"/>
    <w:rsid w:val="448A525A"/>
    <w:rsid w:val="44933E37"/>
    <w:rsid w:val="449406DA"/>
    <w:rsid w:val="4497472B"/>
    <w:rsid w:val="449817BC"/>
    <w:rsid w:val="44995690"/>
    <w:rsid w:val="44997599"/>
    <w:rsid w:val="449B6F1E"/>
    <w:rsid w:val="44A6544B"/>
    <w:rsid w:val="44A65752"/>
    <w:rsid w:val="44AA6749"/>
    <w:rsid w:val="44B47C66"/>
    <w:rsid w:val="44C030EB"/>
    <w:rsid w:val="44C94256"/>
    <w:rsid w:val="44CA0602"/>
    <w:rsid w:val="44CA5C9C"/>
    <w:rsid w:val="44CB4974"/>
    <w:rsid w:val="44D00144"/>
    <w:rsid w:val="44D128B5"/>
    <w:rsid w:val="44D43158"/>
    <w:rsid w:val="44E842F1"/>
    <w:rsid w:val="44EA62FB"/>
    <w:rsid w:val="44ED7533"/>
    <w:rsid w:val="44FB1376"/>
    <w:rsid w:val="45040D8A"/>
    <w:rsid w:val="45135F85"/>
    <w:rsid w:val="45212F53"/>
    <w:rsid w:val="452622B7"/>
    <w:rsid w:val="452A2B39"/>
    <w:rsid w:val="4541691B"/>
    <w:rsid w:val="454E30FD"/>
    <w:rsid w:val="454F4A2D"/>
    <w:rsid w:val="455153C4"/>
    <w:rsid w:val="45544E1C"/>
    <w:rsid w:val="4563419A"/>
    <w:rsid w:val="45670630"/>
    <w:rsid w:val="45682C8D"/>
    <w:rsid w:val="456A5ADF"/>
    <w:rsid w:val="45716F09"/>
    <w:rsid w:val="4578513F"/>
    <w:rsid w:val="45820082"/>
    <w:rsid w:val="458E0429"/>
    <w:rsid w:val="458F7414"/>
    <w:rsid w:val="45984F89"/>
    <w:rsid w:val="459D345F"/>
    <w:rsid w:val="45B876DB"/>
    <w:rsid w:val="45BC0F48"/>
    <w:rsid w:val="45C5458A"/>
    <w:rsid w:val="45C61997"/>
    <w:rsid w:val="45C927B5"/>
    <w:rsid w:val="45CC09E8"/>
    <w:rsid w:val="45D033C8"/>
    <w:rsid w:val="45DE468E"/>
    <w:rsid w:val="45DF1556"/>
    <w:rsid w:val="45E70D6B"/>
    <w:rsid w:val="45E83DF4"/>
    <w:rsid w:val="45EB3CDC"/>
    <w:rsid w:val="45EB532A"/>
    <w:rsid w:val="45ED0C18"/>
    <w:rsid w:val="45ED687B"/>
    <w:rsid w:val="45FE6E7A"/>
    <w:rsid w:val="46076CCC"/>
    <w:rsid w:val="460B3E25"/>
    <w:rsid w:val="460D0843"/>
    <w:rsid w:val="46415118"/>
    <w:rsid w:val="4643132F"/>
    <w:rsid w:val="4650678A"/>
    <w:rsid w:val="46537F87"/>
    <w:rsid w:val="465E65B9"/>
    <w:rsid w:val="466310CD"/>
    <w:rsid w:val="46633CD2"/>
    <w:rsid w:val="46656A89"/>
    <w:rsid w:val="466859FD"/>
    <w:rsid w:val="46720D37"/>
    <w:rsid w:val="4674012C"/>
    <w:rsid w:val="467C1A90"/>
    <w:rsid w:val="467C5FEC"/>
    <w:rsid w:val="46804844"/>
    <w:rsid w:val="46814483"/>
    <w:rsid w:val="468330DA"/>
    <w:rsid w:val="46906D3E"/>
    <w:rsid w:val="46AE48BF"/>
    <w:rsid w:val="46BD267A"/>
    <w:rsid w:val="46C4392D"/>
    <w:rsid w:val="46D90425"/>
    <w:rsid w:val="46DB51C6"/>
    <w:rsid w:val="46DE2C8C"/>
    <w:rsid w:val="46E62E8A"/>
    <w:rsid w:val="46F37328"/>
    <w:rsid w:val="46F52FC5"/>
    <w:rsid w:val="46F569AA"/>
    <w:rsid w:val="470E3F6D"/>
    <w:rsid w:val="471243AD"/>
    <w:rsid w:val="471425AF"/>
    <w:rsid w:val="471D733A"/>
    <w:rsid w:val="47202FF3"/>
    <w:rsid w:val="47221547"/>
    <w:rsid w:val="47240A17"/>
    <w:rsid w:val="472A3580"/>
    <w:rsid w:val="472C42D4"/>
    <w:rsid w:val="473651D4"/>
    <w:rsid w:val="474970E0"/>
    <w:rsid w:val="475D186F"/>
    <w:rsid w:val="476349C1"/>
    <w:rsid w:val="47635246"/>
    <w:rsid w:val="47680629"/>
    <w:rsid w:val="476C47F6"/>
    <w:rsid w:val="477C7DBB"/>
    <w:rsid w:val="4787318A"/>
    <w:rsid w:val="478B40F0"/>
    <w:rsid w:val="478C0E47"/>
    <w:rsid w:val="478E2712"/>
    <w:rsid w:val="478F3F60"/>
    <w:rsid w:val="479565B1"/>
    <w:rsid w:val="479E2231"/>
    <w:rsid w:val="479E5C24"/>
    <w:rsid w:val="479F2099"/>
    <w:rsid w:val="47AD2E24"/>
    <w:rsid w:val="47C61872"/>
    <w:rsid w:val="47CE6F5F"/>
    <w:rsid w:val="47D13B1E"/>
    <w:rsid w:val="47D22495"/>
    <w:rsid w:val="47D34424"/>
    <w:rsid w:val="47D5591D"/>
    <w:rsid w:val="47D86081"/>
    <w:rsid w:val="47E003D9"/>
    <w:rsid w:val="480F0AF5"/>
    <w:rsid w:val="4814570B"/>
    <w:rsid w:val="48180615"/>
    <w:rsid w:val="48182427"/>
    <w:rsid w:val="481D4371"/>
    <w:rsid w:val="48212ECE"/>
    <w:rsid w:val="482354BE"/>
    <w:rsid w:val="482617A3"/>
    <w:rsid w:val="482E6712"/>
    <w:rsid w:val="48315F2D"/>
    <w:rsid w:val="4835102E"/>
    <w:rsid w:val="483729CF"/>
    <w:rsid w:val="48392C05"/>
    <w:rsid w:val="483F6230"/>
    <w:rsid w:val="484222C8"/>
    <w:rsid w:val="48447206"/>
    <w:rsid w:val="484476C0"/>
    <w:rsid w:val="4846785F"/>
    <w:rsid w:val="48494A77"/>
    <w:rsid w:val="484A3AA3"/>
    <w:rsid w:val="484C7711"/>
    <w:rsid w:val="484F317D"/>
    <w:rsid w:val="485069C7"/>
    <w:rsid w:val="48507221"/>
    <w:rsid w:val="485540DC"/>
    <w:rsid w:val="485D4618"/>
    <w:rsid w:val="486231D8"/>
    <w:rsid w:val="4877379D"/>
    <w:rsid w:val="48847298"/>
    <w:rsid w:val="4889697B"/>
    <w:rsid w:val="488B4C70"/>
    <w:rsid w:val="488D0F8A"/>
    <w:rsid w:val="488E192C"/>
    <w:rsid w:val="488E2250"/>
    <w:rsid w:val="48924773"/>
    <w:rsid w:val="48986715"/>
    <w:rsid w:val="489D543C"/>
    <w:rsid w:val="48B15377"/>
    <w:rsid w:val="48CD7211"/>
    <w:rsid w:val="48D067FE"/>
    <w:rsid w:val="48D74E1F"/>
    <w:rsid w:val="48DA40AD"/>
    <w:rsid w:val="48DB719A"/>
    <w:rsid w:val="48DD0505"/>
    <w:rsid w:val="48DD29E6"/>
    <w:rsid w:val="48E61DC7"/>
    <w:rsid w:val="48F552BD"/>
    <w:rsid w:val="490952F1"/>
    <w:rsid w:val="490A45DE"/>
    <w:rsid w:val="490B6BBE"/>
    <w:rsid w:val="490D2D2F"/>
    <w:rsid w:val="4913539F"/>
    <w:rsid w:val="491A223A"/>
    <w:rsid w:val="491B3430"/>
    <w:rsid w:val="492611D8"/>
    <w:rsid w:val="49286AA2"/>
    <w:rsid w:val="4928761D"/>
    <w:rsid w:val="492A125D"/>
    <w:rsid w:val="492A7450"/>
    <w:rsid w:val="492B7517"/>
    <w:rsid w:val="493712CC"/>
    <w:rsid w:val="493B1858"/>
    <w:rsid w:val="49423339"/>
    <w:rsid w:val="494424C8"/>
    <w:rsid w:val="49460C9A"/>
    <w:rsid w:val="494638FF"/>
    <w:rsid w:val="494672C5"/>
    <w:rsid w:val="4948475D"/>
    <w:rsid w:val="494E2073"/>
    <w:rsid w:val="495A61B3"/>
    <w:rsid w:val="495F2DE4"/>
    <w:rsid w:val="49680683"/>
    <w:rsid w:val="496A5DC1"/>
    <w:rsid w:val="49711E0A"/>
    <w:rsid w:val="49775E2C"/>
    <w:rsid w:val="497832A2"/>
    <w:rsid w:val="4979164A"/>
    <w:rsid w:val="497B47FB"/>
    <w:rsid w:val="49820691"/>
    <w:rsid w:val="49851E7C"/>
    <w:rsid w:val="498A20FD"/>
    <w:rsid w:val="498C6390"/>
    <w:rsid w:val="499404A7"/>
    <w:rsid w:val="499E54EB"/>
    <w:rsid w:val="499E7AF7"/>
    <w:rsid w:val="49A4782B"/>
    <w:rsid w:val="49A702A1"/>
    <w:rsid w:val="49A96F62"/>
    <w:rsid w:val="49B1360B"/>
    <w:rsid w:val="49B55336"/>
    <w:rsid w:val="49BB740C"/>
    <w:rsid w:val="49BE0572"/>
    <w:rsid w:val="49BF3B35"/>
    <w:rsid w:val="49CB5318"/>
    <w:rsid w:val="49CE292F"/>
    <w:rsid w:val="49D639AA"/>
    <w:rsid w:val="49D9225D"/>
    <w:rsid w:val="49DE01EF"/>
    <w:rsid w:val="49E86C92"/>
    <w:rsid w:val="49F94858"/>
    <w:rsid w:val="49FA1718"/>
    <w:rsid w:val="4A0763E4"/>
    <w:rsid w:val="4A131D6E"/>
    <w:rsid w:val="4A132EB0"/>
    <w:rsid w:val="4A165F2A"/>
    <w:rsid w:val="4A177E29"/>
    <w:rsid w:val="4A1B020F"/>
    <w:rsid w:val="4A280AB4"/>
    <w:rsid w:val="4A2854F7"/>
    <w:rsid w:val="4A2F31BA"/>
    <w:rsid w:val="4A43642E"/>
    <w:rsid w:val="4A4C6550"/>
    <w:rsid w:val="4A4C75B0"/>
    <w:rsid w:val="4A4D016A"/>
    <w:rsid w:val="4A4E5FEB"/>
    <w:rsid w:val="4A554601"/>
    <w:rsid w:val="4A561CBA"/>
    <w:rsid w:val="4A5A671F"/>
    <w:rsid w:val="4A5C0FF0"/>
    <w:rsid w:val="4A5D145D"/>
    <w:rsid w:val="4A620A54"/>
    <w:rsid w:val="4A702F2B"/>
    <w:rsid w:val="4A840DC6"/>
    <w:rsid w:val="4A902749"/>
    <w:rsid w:val="4A926276"/>
    <w:rsid w:val="4AA00FD2"/>
    <w:rsid w:val="4AAA7D7C"/>
    <w:rsid w:val="4AC20F7D"/>
    <w:rsid w:val="4ACC2A8B"/>
    <w:rsid w:val="4ACD2B90"/>
    <w:rsid w:val="4AD44255"/>
    <w:rsid w:val="4AD82F13"/>
    <w:rsid w:val="4AD96422"/>
    <w:rsid w:val="4ADB30A1"/>
    <w:rsid w:val="4ADC18A7"/>
    <w:rsid w:val="4AE6006F"/>
    <w:rsid w:val="4AE6230E"/>
    <w:rsid w:val="4AEC3AB3"/>
    <w:rsid w:val="4AEF685E"/>
    <w:rsid w:val="4AF154EB"/>
    <w:rsid w:val="4AF3018B"/>
    <w:rsid w:val="4AF52377"/>
    <w:rsid w:val="4B0E2569"/>
    <w:rsid w:val="4B0F2F76"/>
    <w:rsid w:val="4B257283"/>
    <w:rsid w:val="4B29237B"/>
    <w:rsid w:val="4B2B16A0"/>
    <w:rsid w:val="4B2C1031"/>
    <w:rsid w:val="4B35718B"/>
    <w:rsid w:val="4B3856F5"/>
    <w:rsid w:val="4B3D046D"/>
    <w:rsid w:val="4B3F3070"/>
    <w:rsid w:val="4B40760C"/>
    <w:rsid w:val="4B491417"/>
    <w:rsid w:val="4B524375"/>
    <w:rsid w:val="4B6458AB"/>
    <w:rsid w:val="4B6C754A"/>
    <w:rsid w:val="4B700EFE"/>
    <w:rsid w:val="4B792774"/>
    <w:rsid w:val="4B88550B"/>
    <w:rsid w:val="4B8A186D"/>
    <w:rsid w:val="4B8B4FBB"/>
    <w:rsid w:val="4B8D17EF"/>
    <w:rsid w:val="4B90006B"/>
    <w:rsid w:val="4B922864"/>
    <w:rsid w:val="4B9A7EBC"/>
    <w:rsid w:val="4BA51614"/>
    <w:rsid w:val="4BA7741B"/>
    <w:rsid w:val="4BAC07F0"/>
    <w:rsid w:val="4BB223ED"/>
    <w:rsid w:val="4BB555FA"/>
    <w:rsid w:val="4BB84306"/>
    <w:rsid w:val="4BB9783D"/>
    <w:rsid w:val="4BC30330"/>
    <w:rsid w:val="4BC504B6"/>
    <w:rsid w:val="4BCC4E5B"/>
    <w:rsid w:val="4BE22B6F"/>
    <w:rsid w:val="4BEE4A49"/>
    <w:rsid w:val="4BF9737C"/>
    <w:rsid w:val="4C090F58"/>
    <w:rsid w:val="4C145D65"/>
    <w:rsid w:val="4C14685F"/>
    <w:rsid w:val="4C195AB0"/>
    <w:rsid w:val="4C1F45CF"/>
    <w:rsid w:val="4C1F7AAA"/>
    <w:rsid w:val="4C2841CA"/>
    <w:rsid w:val="4C2D3605"/>
    <w:rsid w:val="4C2E5DF4"/>
    <w:rsid w:val="4C302713"/>
    <w:rsid w:val="4C3136B5"/>
    <w:rsid w:val="4C361BEE"/>
    <w:rsid w:val="4C370B02"/>
    <w:rsid w:val="4C391C1B"/>
    <w:rsid w:val="4C3A5314"/>
    <w:rsid w:val="4C3B1FC1"/>
    <w:rsid w:val="4C3F1CEB"/>
    <w:rsid w:val="4C402615"/>
    <w:rsid w:val="4C414909"/>
    <w:rsid w:val="4C424438"/>
    <w:rsid w:val="4C45125E"/>
    <w:rsid w:val="4C4B0019"/>
    <w:rsid w:val="4C522A79"/>
    <w:rsid w:val="4C525B40"/>
    <w:rsid w:val="4C535783"/>
    <w:rsid w:val="4C535FFF"/>
    <w:rsid w:val="4C574705"/>
    <w:rsid w:val="4C5D6554"/>
    <w:rsid w:val="4C5D67F9"/>
    <w:rsid w:val="4C6763F0"/>
    <w:rsid w:val="4C681F60"/>
    <w:rsid w:val="4C774AF0"/>
    <w:rsid w:val="4C8C2990"/>
    <w:rsid w:val="4C906CEC"/>
    <w:rsid w:val="4C9304B5"/>
    <w:rsid w:val="4C9C4035"/>
    <w:rsid w:val="4CA55EFB"/>
    <w:rsid w:val="4CA5686D"/>
    <w:rsid w:val="4CA61A6C"/>
    <w:rsid w:val="4CAA7F22"/>
    <w:rsid w:val="4CAB0678"/>
    <w:rsid w:val="4CBA54E2"/>
    <w:rsid w:val="4CC06044"/>
    <w:rsid w:val="4CC518B5"/>
    <w:rsid w:val="4CCA223F"/>
    <w:rsid w:val="4CCB43DD"/>
    <w:rsid w:val="4CCD51D5"/>
    <w:rsid w:val="4CCE4955"/>
    <w:rsid w:val="4CD26D01"/>
    <w:rsid w:val="4CD860C5"/>
    <w:rsid w:val="4CF169AF"/>
    <w:rsid w:val="4CF35810"/>
    <w:rsid w:val="4CF862A1"/>
    <w:rsid w:val="4D0955E0"/>
    <w:rsid w:val="4D0E7C59"/>
    <w:rsid w:val="4D13176E"/>
    <w:rsid w:val="4D1516D4"/>
    <w:rsid w:val="4D155109"/>
    <w:rsid w:val="4D160772"/>
    <w:rsid w:val="4D161C86"/>
    <w:rsid w:val="4D294D3E"/>
    <w:rsid w:val="4D2E4911"/>
    <w:rsid w:val="4D36583D"/>
    <w:rsid w:val="4D377FC9"/>
    <w:rsid w:val="4D3F3490"/>
    <w:rsid w:val="4D4205F9"/>
    <w:rsid w:val="4D4763C9"/>
    <w:rsid w:val="4D4B0F75"/>
    <w:rsid w:val="4D4B25D3"/>
    <w:rsid w:val="4D571A7B"/>
    <w:rsid w:val="4D5B1632"/>
    <w:rsid w:val="4D6C5AB4"/>
    <w:rsid w:val="4D744588"/>
    <w:rsid w:val="4D746687"/>
    <w:rsid w:val="4D843B0A"/>
    <w:rsid w:val="4D8A0553"/>
    <w:rsid w:val="4D981AE4"/>
    <w:rsid w:val="4D987F90"/>
    <w:rsid w:val="4D9A2E23"/>
    <w:rsid w:val="4DA0212D"/>
    <w:rsid w:val="4DA35103"/>
    <w:rsid w:val="4DA428DE"/>
    <w:rsid w:val="4DAD5DD7"/>
    <w:rsid w:val="4DB32910"/>
    <w:rsid w:val="4DB511D9"/>
    <w:rsid w:val="4DBF014D"/>
    <w:rsid w:val="4DC17153"/>
    <w:rsid w:val="4DC63CE9"/>
    <w:rsid w:val="4DC749EC"/>
    <w:rsid w:val="4DCF2221"/>
    <w:rsid w:val="4DCF5D33"/>
    <w:rsid w:val="4DD51F8E"/>
    <w:rsid w:val="4DE4148A"/>
    <w:rsid w:val="4DE72944"/>
    <w:rsid w:val="4DEC5CC4"/>
    <w:rsid w:val="4DF70A71"/>
    <w:rsid w:val="4DFF0035"/>
    <w:rsid w:val="4E1A1D04"/>
    <w:rsid w:val="4E1B4982"/>
    <w:rsid w:val="4E1F3BD6"/>
    <w:rsid w:val="4E25467E"/>
    <w:rsid w:val="4E2B524A"/>
    <w:rsid w:val="4E2F43B6"/>
    <w:rsid w:val="4E2F4535"/>
    <w:rsid w:val="4E31543F"/>
    <w:rsid w:val="4E3265CC"/>
    <w:rsid w:val="4E337043"/>
    <w:rsid w:val="4E35074B"/>
    <w:rsid w:val="4E3C7656"/>
    <w:rsid w:val="4E412777"/>
    <w:rsid w:val="4E41707E"/>
    <w:rsid w:val="4E463559"/>
    <w:rsid w:val="4E5E365F"/>
    <w:rsid w:val="4E704B83"/>
    <w:rsid w:val="4E750B97"/>
    <w:rsid w:val="4E7C27BA"/>
    <w:rsid w:val="4E7E2192"/>
    <w:rsid w:val="4E7F4F7B"/>
    <w:rsid w:val="4E8350BC"/>
    <w:rsid w:val="4E8532FC"/>
    <w:rsid w:val="4E8F7ECC"/>
    <w:rsid w:val="4E9F25EB"/>
    <w:rsid w:val="4EA3570B"/>
    <w:rsid w:val="4EB34EAA"/>
    <w:rsid w:val="4EBA3C30"/>
    <w:rsid w:val="4EC448B7"/>
    <w:rsid w:val="4EC507D8"/>
    <w:rsid w:val="4EC73EFA"/>
    <w:rsid w:val="4EC74A79"/>
    <w:rsid w:val="4EC9721D"/>
    <w:rsid w:val="4ECD60AD"/>
    <w:rsid w:val="4ED54F23"/>
    <w:rsid w:val="4EDB0E4C"/>
    <w:rsid w:val="4EE01FDE"/>
    <w:rsid w:val="4EE33552"/>
    <w:rsid w:val="4F047B4F"/>
    <w:rsid w:val="4F0A170B"/>
    <w:rsid w:val="4F1E7A0E"/>
    <w:rsid w:val="4F2531CF"/>
    <w:rsid w:val="4F362B9E"/>
    <w:rsid w:val="4F3F7463"/>
    <w:rsid w:val="4F403BE0"/>
    <w:rsid w:val="4F495F22"/>
    <w:rsid w:val="4F563999"/>
    <w:rsid w:val="4F5A7F0A"/>
    <w:rsid w:val="4F6A55C1"/>
    <w:rsid w:val="4F701FC0"/>
    <w:rsid w:val="4F705BF7"/>
    <w:rsid w:val="4F71167C"/>
    <w:rsid w:val="4F761B22"/>
    <w:rsid w:val="4F763905"/>
    <w:rsid w:val="4F7F4A65"/>
    <w:rsid w:val="4F813AAC"/>
    <w:rsid w:val="4F8B0221"/>
    <w:rsid w:val="4F902EF7"/>
    <w:rsid w:val="4F904D9A"/>
    <w:rsid w:val="4F940894"/>
    <w:rsid w:val="4F9862AC"/>
    <w:rsid w:val="4FA040DD"/>
    <w:rsid w:val="4FA33D51"/>
    <w:rsid w:val="4FA93E74"/>
    <w:rsid w:val="4FB12CD8"/>
    <w:rsid w:val="4FBA31CA"/>
    <w:rsid w:val="4FBC0DBA"/>
    <w:rsid w:val="4FBE3648"/>
    <w:rsid w:val="4FC0665C"/>
    <w:rsid w:val="4FC53A5B"/>
    <w:rsid w:val="4FC60C36"/>
    <w:rsid w:val="4FD96FB7"/>
    <w:rsid w:val="4FDC159C"/>
    <w:rsid w:val="4FFF62C6"/>
    <w:rsid w:val="50030B40"/>
    <w:rsid w:val="500636FB"/>
    <w:rsid w:val="50092FAB"/>
    <w:rsid w:val="500F4483"/>
    <w:rsid w:val="50242190"/>
    <w:rsid w:val="502E42C7"/>
    <w:rsid w:val="50395FA0"/>
    <w:rsid w:val="505A6BC2"/>
    <w:rsid w:val="50673B6A"/>
    <w:rsid w:val="506A3754"/>
    <w:rsid w:val="50780635"/>
    <w:rsid w:val="507E0CD2"/>
    <w:rsid w:val="5089249C"/>
    <w:rsid w:val="50902B77"/>
    <w:rsid w:val="50913525"/>
    <w:rsid w:val="50963D8A"/>
    <w:rsid w:val="50963FBA"/>
    <w:rsid w:val="509934B9"/>
    <w:rsid w:val="509E5C06"/>
    <w:rsid w:val="50A47812"/>
    <w:rsid w:val="50AB7ED3"/>
    <w:rsid w:val="50B3110D"/>
    <w:rsid w:val="50B72ACE"/>
    <w:rsid w:val="50BB383C"/>
    <w:rsid w:val="50C61C73"/>
    <w:rsid w:val="50D17A9A"/>
    <w:rsid w:val="50DA2A30"/>
    <w:rsid w:val="50E24197"/>
    <w:rsid w:val="50E667A8"/>
    <w:rsid w:val="50F25714"/>
    <w:rsid w:val="50F309D5"/>
    <w:rsid w:val="50F40D1C"/>
    <w:rsid w:val="50FA1A5E"/>
    <w:rsid w:val="50FD1D6A"/>
    <w:rsid w:val="50FE57A9"/>
    <w:rsid w:val="50FE5ABA"/>
    <w:rsid w:val="510B4104"/>
    <w:rsid w:val="5117522E"/>
    <w:rsid w:val="513F0351"/>
    <w:rsid w:val="51411303"/>
    <w:rsid w:val="514337DF"/>
    <w:rsid w:val="51435C59"/>
    <w:rsid w:val="515878DC"/>
    <w:rsid w:val="5161133E"/>
    <w:rsid w:val="51646B4B"/>
    <w:rsid w:val="51723CF3"/>
    <w:rsid w:val="517308D4"/>
    <w:rsid w:val="517443E8"/>
    <w:rsid w:val="51846035"/>
    <w:rsid w:val="518971D0"/>
    <w:rsid w:val="519D51A6"/>
    <w:rsid w:val="519E09A2"/>
    <w:rsid w:val="519F5663"/>
    <w:rsid w:val="51A030B9"/>
    <w:rsid w:val="51B366B5"/>
    <w:rsid w:val="51B85AB4"/>
    <w:rsid w:val="51C03237"/>
    <w:rsid w:val="51C1710B"/>
    <w:rsid w:val="51C509B0"/>
    <w:rsid w:val="51C57D18"/>
    <w:rsid w:val="51D07EA4"/>
    <w:rsid w:val="51DB18C2"/>
    <w:rsid w:val="51E62755"/>
    <w:rsid w:val="51EA437C"/>
    <w:rsid w:val="51EE3AFD"/>
    <w:rsid w:val="51EE7C4A"/>
    <w:rsid w:val="51F14AA4"/>
    <w:rsid w:val="51F17BE9"/>
    <w:rsid w:val="51F81E2B"/>
    <w:rsid w:val="520806BD"/>
    <w:rsid w:val="5209146F"/>
    <w:rsid w:val="522E24E8"/>
    <w:rsid w:val="522F5BA0"/>
    <w:rsid w:val="523B24E9"/>
    <w:rsid w:val="523C59A2"/>
    <w:rsid w:val="523E0049"/>
    <w:rsid w:val="523F0C59"/>
    <w:rsid w:val="5242166E"/>
    <w:rsid w:val="5247687B"/>
    <w:rsid w:val="524E350F"/>
    <w:rsid w:val="52557351"/>
    <w:rsid w:val="525C1EE8"/>
    <w:rsid w:val="525D1948"/>
    <w:rsid w:val="52605431"/>
    <w:rsid w:val="52800DF4"/>
    <w:rsid w:val="52802215"/>
    <w:rsid w:val="52816A27"/>
    <w:rsid w:val="52875D10"/>
    <w:rsid w:val="52A50B3C"/>
    <w:rsid w:val="52A82D0E"/>
    <w:rsid w:val="52AC1D41"/>
    <w:rsid w:val="52B17716"/>
    <w:rsid w:val="52BC03D5"/>
    <w:rsid w:val="52C45D80"/>
    <w:rsid w:val="52CB153A"/>
    <w:rsid w:val="52CC1D57"/>
    <w:rsid w:val="52D26885"/>
    <w:rsid w:val="52D8505C"/>
    <w:rsid w:val="52E65386"/>
    <w:rsid w:val="52F04CC5"/>
    <w:rsid w:val="52F67C18"/>
    <w:rsid w:val="52FA6D2A"/>
    <w:rsid w:val="530C64FF"/>
    <w:rsid w:val="53187567"/>
    <w:rsid w:val="53190FC1"/>
    <w:rsid w:val="53287738"/>
    <w:rsid w:val="532E5092"/>
    <w:rsid w:val="53346659"/>
    <w:rsid w:val="5336131E"/>
    <w:rsid w:val="533F0464"/>
    <w:rsid w:val="53406D4D"/>
    <w:rsid w:val="53486639"/>
    <w:rsid w:val="534913C3"/>
    <w:rsid w:val="534A6E64"/>
    <w:rsid w:val="53506F92"/>
    <w:rsid w:val="53520818"/>
    <w:rsid w:val="53564ABA"/>
    <w:rsid w:val="53727993"/>
    <w:rsid w:val="53756402"/>
    <w:rsid w:val="53914D45"/>
    <w:rsid w:val="539F1C44"/>
    <w:rsid w:val="53A2196B"/>
    <w:rsid w:val="53A53B51"/>
    <w:rsid w:val="53AB3A32"/>
    <w:rsid w:val="53AB5887"/>
    <w:rsid w:val="53B03474"/>
    <w:rsid w:val="53BA7E0C"/>
    <w:rsid w:val="53D15786"/>
    <w:rsid w:val="53D75988"/>
    <w:rsid w:val="53D9323A"/>
    <w:rsid w:val="53E257CD"/>
    <w:rsid w:val="53E35927"/>
    <w:rsid w:val="53E85A9F"/>
    <w:rsid w:val="54004971"/>
    <w:rsid w:val="54034791"/>
    <w:rsid w:val="54085300"/>
    <w:rsid w:val="540A2E61"/>
    <w:rsid w:val="541907CF"/>
    <w:rsid w:val="541D52D2"/>
    <w:rsid w:val="541E297A"/>
    <w:rsid w:val="54231FA3"/>
    <w:rsid w:val="54260EC2"/>
    <w:rsid w:val="542F6CAB"/>
    <w:rsid w:val="54303DB7"/>
    <w:rsid w:val="5434044C"/>
    <w:rsid w:val="54347B4D"/>
    <w:rsid w:val="543A6673"/>
    <w:rsid w:val="54405ACF"/>
    <w:rsid w:val="54431858"/>
    <w:rsid w:val="54433B8D"/>
    <w:rsid w:val="544554F6"/>
    <w:rsid w:val="54493918"/>
    <w:rsid w:val="544A330D"/>
    <w:rsid w:val="54522C0A"/>
    <w:rsid w:val="545C02F9"/>
    <w:rsid w:val="546576D7"/>
    <w:rsid w:val="54660239"/>
    <w:rsid w:val="546B1302"/>
    <w:rsid w:val="546C78D6"/>
    <w:rsid w:val="54721819"/>
    <w:rsid w:val="547A7ACB"/>
    <w:rsid w:val="547F2541"/>
    <w:rsid w:val="5485766F"/>
    <w:rsid w:val="548D710D"/>
    <w:rsid w:val="548E4660"/>
    <w:rsid w:val="54925ECB"/>
    <w:rsid w:val="54A0258D"/>
    <w:rsid w:val="54A31BC6"/>
    <w:rsid w:val="54A3774A"/>
    <w:rsid w:val="54AB0647"/>
    <w:rsid w:val="54AE390E"/>
    <w:rsid w:val="54B22C54"/>
    <w:rsid w:val="54B7600C"/>
    <w:rsid w:val="54B94751"/>
    <w:rsid w:val="54D20DDE"/>
    <w:rsid w:val="54E06F6F"/>
    <w:rsid w:val="54E37F89"/>
    <w:rsid w:val="54F3795C"/>
    <w:rsid w:val="54F52ADA"/>
    <w:rsid w:val="54F57EA7"/>
    <w:rsid w:val="54FD25E1"/>
    <w:rsid w:val="5502011D"/>
    <w:rsid w:val="55063441"/>
    <w:rsid w:val="550A2161"/>
    <w:rsid w:val="551243DE"/>
    <w:rsid w:val="552A1D56"/>
    <w:rsid w:val="553815A7"/>
    <w:rsid w:val="55407FB0"/>
    <w:rsid w:val="554713A5"/>
    <w:rsid w:val="554902AD"/>
    <w:rsid w:val="554961DB"/>
    <w:rsid w:val="554F4858"/>
    <w:rsid w:val="554F5EAA"/>
    <w:rsid w:val="555267FD"/>
    <w:rsid w:val="555767E6"/>
    <w:rsid w:val="555C7DD9"/>
    <w:rsid w:val="55610A21"/>
    <w:rsid w:val="55612DB0"/>
    <w:rsid w:val="55633103"/>
    <w:rsid w:val="55670D59"/>
    <w:rsid w:val="55674D6B"/>
    <w:rsid w:val="55802B99"/>
    <w:rsid w:val="55845DB9"/>
    <w:rsid w:val="5586557F"/>
    <w:rsid w:val="55916139"/>
    <w:rsid w:val="55973236"/>
    <w:rsid w:val="559B0DFC"/>
    <w:rsid w:val="559D472B"/>
    <w:rsid w:val="55AB6BF9"/>
    <w:rsid w:val="55AE7244"/>
    <w:rsid w:val="55CA05CD"/>
    <w:rsid w:val="55CD750A"/>
    <w:rsid w:val="55D3106B"/>
    <w:rsid w:val="55D60121"/>
    <w:rsid w:val="55D862C8"/>
    <w:rsid w:val="55DC4C65"/>
    <w:rsid w:val="55DE3EE8"/>
    <w:rsid w:val="55DE4B29"/>
    <w:rsid w:val="55E036F8"/>
    <w:rsid w:val="55E8293D"/>
    <w:rsid w:val="55E925F2"/>
    <w:rsid w:val="55ED44C1"/>
    <w:rsid w:val="55F20FE5"/>
    <w:rsid w:val="55F55B38"/>
    <w:rsid w:val="55FA6E3E"/>
    <w:rsid w:val="55FC46AE"/>
    <w:rsid w:val="56033689"/>
    <w:rsid w:val="5605666A"/>
    <w:rsid w:val="56125C2D"/>
    <w:rsid w:val="5613654B"/>
    <w:rsid w:val="56173FCD"/>
    <w:rsid w:val="56191810"/>
    <w:rsid w:val="5619342A"/>
    <w:rsid w:val="562B4256"/>
    <w:rsid w:val="563208A7"/>
    <w:rsid w:val="5636716D"/>
    <w:rsid w:val="563A014C"/>
    <w:rsid w:val="56404489"/>
    <w:rsid w:val="564C6CC7"/>
    <w:rsid w:val="564D57E5"/>
    <w:rsid w:val="565028E8"/>
    <w:rsid w:val="565520B1"/>
    <w:rsid w:val="565E70F3"/>
    <w:rsid w:val="566C4DCE"/>
    <w:rsid w:val="56780CBC"/>
    <w:rsid w:val="567C018B"/>
    <w:rsid w:val="56833A16"/>
    <w:rsid w:val="569424DF"/>
    <w:rsid w:val="56967967"/>
    <w:rsid w:val="569A3F3F"/>
    <w:rsid w:val="569B558F"/>
    <w:rsid w:val="56AB61AF"/>
    <w:rsid w:val="56B25003"/>
    <w:rsid w:val="56BD6F7A"/>
    <w:rsid w:val="56BF381B"/>
    <w:rsid w:val="56C01608"/>
    <w:rsid w:val="56C45ABF"/>
    <w:rsid w:val="56C635B0"/>
    <w:rsid w:val="56C716AB"/>
    <w:rsid w:val="56D156F2"/>
    <w:rsid w:val="56DE09A7"/>
    <w:rsid w:val="56DF5074"/>
    <w:rsid w:val="56ED27ED"/>
    <w:rsid w:val="56F0460C"/>
    <w:rsid w:val="56F52961"/>
    <w:rsid w:val="56F73876"/>
    <w:rsid w:val="56FE25F0"/>
    <w:rsid w:val="57042834"/>
    <w:rsid w:val="57052A37"/>
    <w:rsid w:val="570D2FAF"/>
    <w:rsid w:val="570E0991"/>
    <w:rsid w:val="570F0AD4"/>
    <w:rsid w:val="5716477B"/>
    <w:rsid w:val="57174912"/>
    <w:rsid w:val="572600DC"/>
    <w:rsid w:val="57262539"/>
    <w:rsid w:val="57272B72"/>
    <w:rsid w:val="572747C8"/>
    <w:rsid w:val="572E33A8"/>
    <w:rsid w:val="572E5501"/>
    <w:rsid w:val="57311F53"/>
    <w:rsid w:val="57362D20"/>
    <w:rsid w:val="57363BE5"/>
    <w:rsid w:val="57374423"/>
    <w:rsid w:val="57381968"/>
    <w:rsid w:val="573A1129"/>
    <w:rsid w:val="573B080F"/>
    <w:rsid w:val="573B6F60"/>
    <w:rsid w:val="57513842"/>
    <w:rsid w:val="57591215"/>
    <w:rsid w:val="57671583"/>
    <w:rsid w:val="57694B21"/>
    <w:rsid w:val="577A0EBE"/>
    <w:rsid w:val="577A55CD"/>
    <w:rsid w:val="57803FED"/>
    <w:rsid w:val="5781472A"/>
    <w:rsid w:val="57854F06"/>
    <w:rsid w:val="57882950"/>
    <w:rsid w:val="578A003C"/>
    <w:rsid w:val="57A16352"/>
    <w:rsid w:val="57AD164B"/>
    <w:rsid w:val="57AD3A54"/>
    <w:rsid w:val="57B56EB9"/>
    <w:rsid w:val="57B92A66"/>
    <w:rsid w:val="57BC1404"/>
    <w:rsid w:val="57C27083"/>
    <w:rsid w:val="57D230E2"/>
    <w:rsid w:val="57DF2F76"/>
    <w:rsid w:val="57E40BCB"/>
    <w:rsid w:val="57E61B43"/>
    <w:rsid w:val="57EC2B5F"/>
    <w:rsid w:val="57F146E7"/>
    <w:rsid w:val="57F209C6"/>
    <w:rsid w:val="57F662F9"/>
    <w:rsid w:val="58012E33"/>
    <w:rsid w:val="580F269B"/>
    <w:rsid w:val="581D7025"/>
    <w:rsid w:val="58265C3D"/>
    <w:rsid w:val="582F172F"/>
    <w:rsid w:val="583049DD"/>
    <w:rsid w:val="583E2142"/>
    <w:rsid w:val="5840588A"/>
    <w:rsid w:val="58462A3C"/>
    <w:rsid w:val="5856656E"/>
    <w:rsid w:val="58586B5D"/>
    <w:rsid w:val="586A5A6E"/>
    <w:rsid w:val="587E1725"/>
    <w:rsid w:val="58841AF6"/>
    <w:rsid w:val="588D720B"/>
    <w:rsid w:val="58A03607"/>
    <w:rsid w:val="58AE1A08"/>
    <w:rsid w:val="58B3266F"/>
    <w:rsid w:val="58C06EB6"/>
    <w:rsid w:val="58C73D2B"/>
    <w:rsid w:val="58C82205"/>
    <w:rsid w:val="58D776CB"/>
    <w:rsid w:val="58DD06FB"/>
    <w:rsid w:val="58DE3FB3"/>
    <w:rsid w:val="58DF12AD"/>
    <w:rsid w:val="58DF297B"/>
    <w:rsid w:val="58E142A2"/>
    <w:rsid w:val="58E14F84"/>
    <w:rsid w:val="58E25458"/>
    <w:rsid w:val="58EB1DD3"/>
    <w:rsid w:val="58EB4E0A"/>
    <w:rsid w:val="58F25754"/>
    <w:rsid w:val="58F25EB2"/>
    <w:rsid w:val="58F41BC7"/>
    <w:rsid w:val="58F729F0"/>
    <w:rsid w:val="58F73BA2"/>
    <w:rsid w:val="58F91827"/>
    <w:rsid w:val="5909588E"/>
    <w:rsid w:val="5917024A"/>
    <w:rsid w:val="59176FA8"/>
    <w:rsid w:val="591912F5"/>
    <w:rsid w:val="592371EC"/>
    <w:rsid w:val="59263577"/>
    <w:rsid w:val="59311929"/>
    <w:rsid w:val="59325938"/>
    <w:rsid w:val="5933381E"/>
    <w:rsid w:val="593858AE"/>
    <w:rsid w:val="593C2CB6"/>
    <w:rsid w:val="593C7DD5"/>
    <w:rsid w:val="593F4915"/>
    <w:rsid w:val="594713E2"/>
    <w:rsid w:val="594B128F"/>
    <w:rsid w:val="5958499C"/>
    <w:rsid w:val="59641C93"/>
    <w:rsid w:val="596A2F2D"/>
    <w:rsid w:val="59732BF2"/>
    <w:rsid w:val="59790CAD"/>
    <w:rsid w:val="597A18D8"/>
    <w:rsid w:val="59816957"/>
    <w:rsid w:val="5995631A"/>
    <w:rsid w:val="599F6673"/>
    <w:rsid w:val="59A92790"/>
    <w:rsid w:val="59A95CB0"/>
    <w:rsid w:val="59BB56BE"/>
    <w:rsid w:val="59CA0298"/>
    <w:rsid w:val="59CE1795"/>
    <w:rsid w:val="59DB6E0B"/>
    <w:rsid w:val="59ED6FDB"/>
    <w:rsid w:val="59F315E2"/>
    <w:rsid w:val="59F70AB4"/>
    <w:rsid w:val="59FA2BD7"/>
    <w:rsid w:val="59FB3E84"/>
    <w:rsid w:val="59FE6E8A"/>
    <w:rsid w:val="5A024C6A"/>
    <w:rsid w:val="5A102A90"/>
    <w:rsid w:val="5A24295A"/>
    <w:rsid w:val="5A267BEA"/>
    <w:rsid w:val="5A2D1CE5"/>
    <w:rsid w:val="5A2D24DC"/>
    <w:rsid w:val="5A2E3C40"/>
    <w:rsid w:val="5A4171AD"/>
    <w:rsid w:val="5A516035"/>
    <w:rsid w:val="5A565B83"/>
    <w:rsid w:val="5A571F20"/>
    <w:rsid w:val="5A594852"/>
    <w:rsid w:val="5A5E5663"/>
    <w:rsid w:val="5A614394"/>
    <w:rsid w:val="5A6817E3"/>
    <w:rsid w:val="5A6A29C0"/>
    <w:rsid w:val="5A6E10D0"/>
    <w:rsid w:val="5A7B040C"/>
    <w:rsid w:val="5A802998"/>
    <w:rsid w:val="5A990100"/>
    <w:rsid w:val="5A9B019A"/>
    <w:rsid w:val="5AA35606"/>
    <w:rsid w:val="5AA709E6"/>
    <w:rsid w:val="5AAA69D0"/>
    <w:rsid w:val="5AB34EDF"/>
    <w:rsid w:val="5AB37ACF"/>
    <w:rsid w:val="5AB63055"/>
    <w:rsid w:val="5AB83F23"/>
    <w:rsid w:val="5AB94538"/>
    <w:rsid w:val="5ACE2362"/>
    <w:rsid w:val="5AD01F77"/>
    <w:rsid w:val="5AD32BA5"/>
    <w:rsid w:val="5AE17BDC"/>
    <w:rsid w:val="5AE7419B"/>
    <w:rsid w:val="5B0559DC"/>
    <w:rsid w:val="5B0B74F9"/>
    <w:rsid w:val="5B1B4356"/>
    <w:rsid w:val="5B1C10F6"/>
    <w:rsid w:val="5B1E0CE9"/>
    <w:rsid w:val="5B1F2396"/>
    <w:rsid w:val="5B282AE1"/>
    <w:rsid w:val="5B2F074D"/>
    <w:rsid w:val="5B365C93"/>
    <w:rsid w:val="5B3F3F8B"/>
    <w:rsid w:val="5B433170"/>
    <w:rsid w:val="5B454E59"/>
    <w:rsid w:val="5B564CB8"/>
    <w:rsid w:val="5B565C6A"/>
    <w:rsid w:val="5B581D86"/>
    <w:rsid w:val="5B5A46F0"/>
    <w:rsid w:val="5B61635C"/>
    <w:rsid w:val="5B6345C4"/>
    <w:rsid w:val="5B694969"/>
    <w:rsid w:val="5B726A32"/>
    <w:rsid w:val="5B760B02"/>
    <w:rsid w:val="5B773BBC"/>
    <w:rsid w:val="5B7808F6"/>
    <w:rsid w:val="5B852AF2"/>
    <w:rsid w:val="5B8A3523"/>
    <w:rsid w:val="5B8B34B8"/>
    <w:rsid w:val="5B962799"/>
    <w:rsid w:val="5B9D46AE"/>
    <w:rsid w:val="5B9F289F"/>
    <w:rsid w:val="5BA135F4"/>
    <w:rsid w:val="5BA20012"/>
    <w:rsid w:val="5BA650E9"/>
    <w:rsid w:val="5BAA1F6A"/>
    <w:rsid w:val="5BAD01EC"/>
    <w:rsid w:val="5BAF4D36"/>
    <w:rsid w:val="5BB24252"/>
    <w:rsid w:val="5BB43D1D"/>
    <w:rsid w:val="5BB97460"/>
    <w:rsid w:val="5BB977D1"/>
    <w:rsid w:val="5BC17FFF"/>
    <w:rsid w:val="5BD867C7"/>
    <w:rsid w:val="5BD9294F"/>
    <w:rsid w:val="5BEC1ACF"/>
    <w:rsid w:val="5C023827"/>
    <w:rsid w:val="5C052A04"/>
    <w:rsid w:val="5C096858"/>
    <w:rsid w:val="5C0A4328"/>
    <w:rsid w:val="5C0A7448"/>
    <w:rsid w:val="5C0C53B4"/>
    <w:rsid w:val="5C13781A"/>
    <w:rsid w:val="5C191FC5"/>
    <w:rsid w:val="5C280690"/>
    <w:rsid w:val="5C3C208E"/>
    <w:rsid w:val="5C3C57E9"/>
    <w:rsid w:val="5C400642"/>
    <w:rsid w:val="5C4006F6"/>
    <w:rsid w:val="5C417C90"/>
    <w:rsid w:val="5C436C0C"/>
    <w:rsid w:val="5C4E4BE2"/>
    <w:rsid w:val="5C525E67"/>
    <w:rsid w:val="5C5D4170"/>
    <w:rsid w:val="5C6122EA"/>
    <w:rsid w:val="5C62151D"/>
    <w:rsid w:val="5C690F7A"/>
    <w:rsid w:val="5C700BF3"/>
    <w:rsid w:val="5C74712D"/>
    <w:rsid w:val="5C774085"/>
    <w:rsid w:val="5C81790A"/>
    <w:rsid w:val="5C8452C1"/>
    <w:rsid w:val="5C8978EB"/>
    <w:rsid w:val="5C8B3E05"/>
    <w:rsid w:val="5C912A62"/>
    <w:rsid w:val="5C94342A"/>
    <w:rsid w:val="5C9A78C6"/>
    <w:rsid w:val="5CA80DD7"/>
    <w:rsid w:val="5CB6325A"/>
    <w:rsid w:val="5CB63678"/>
    <w:rsid w:val="5CC03B13"/>
    <w:rsid w:val="5CD14F44"/>
    <w:rsid w:val="5CD95364"/>
    <w:rsid w:val="5CE15B5F"/>
    <w:rsid w:val="5CE26051"/>
    <w:rsid w:val="5CF55F73"/>
    <w:rsid w:val="5D003B9E"/>
    <w:rsid w:val="5D0433A7"/>
    <w:rsid w:val="5D053AA5"/>
    <w:rsid w:val="5D0568C6"/>
    <w:rsid w:val="5D097FDA"/>
    <w:rsid w:val="5D0B129F"/>
    <w:rsid w:val="5D0F3700"/>
    <w:rsid w:val="5D177E53"/>
    <w:rsid w:val="5D1D20C1"/>
    <w:rsid w:val="5D24022A"/>
    <w:rsid w:val="5D272EA3"/>
    <w:rsid w:val="5D2D78D4"/>
    <w:rsid w:val="5D341CC2"/>
    <w:rsid w:val="5D3C610A"/>
    <w:rsid w:val="5D5078D2"/>
    <w:rsid w:val="5D6243CB"/>
    <w:rsid w:val="5D625DA6"/>
    <w:rsid w:val="5D645AE4"/>
    <w:rsid w:val="5D69465F"/>
    <w:rsid w:val="5D6A32A6"/>
    <w:rsid w:val="5D786DAE"/>
    <w:rsid w:val="5D787612"/>
    <w:rsid w:val="5D7B4941"/>
    <w:rsid w:val="5D844E75"/>
    <w:rsid w:val="5D846AB7"/>
    <w:rsid w:val="5D880EDF"/>
    <w:rsid w:val="5D8C4380"/>
    <w:rsid w:val="5D987769"/>
    <w:rsid w:val="5D99074E"/>
    <w:rsid w:val="5D990BA1"/>
    <w:rsid w:val="5D9C50E2"/>
    <w:rsid w:val="5D9C7F22"/>
    <w:rsid w:val="5DB67292"/>
    <w:rsid w:val="5DC24512"/>
    <w:rsid w:val="5DC86E2A"/>
    <w:rsid w:val="5DCB1B79"/>
    <w:rsid w:val="5DCE4A0E"/>
    <w:rsid w:val="5DD8243E"/>
    <w:rsid w:val="5DD9159E"/>
    <w:rsid w:val="5DDA4464"/>
    <w:rsid w:val="5DDC256A"/>
    <w:rsid w:val="5DDF631F"/>
    <w:rsid w:val="5DE141DD"/>
    <w:rsid w:val="5DE971C5"/>
    <w:rsid w:val="5DED34F2"/>
    <w:rsid w:val="5DF11774"/>
    <w:rsid w:val="5E087C08"/>
    <w:rsid w:val="5E0C6097"/>
    <w:rsid w:val="5E165596"/>
    <w:rsid w:val="5E177386"/>
    <w:rsid w:val="5E215240"/>
    <w:rsid w:val="5E275A40"/>
    <w:rsid w:val="5E3512D6"/>
    <w:rsid w:val="5E380327"/>
    <w:rsid w:val="5E38283E"/>
    <w:rsid w:val="5E396476"/>
    <w:rsid w:val="5E3F1023"/>
    <w:rsid w:val="5E453A24"/>
    <w:rsid w:val="5E484FCA"/>
    <w:rsid w:val="5E5028CE"/>
    <w:rsid w:val="5E532DB9"/>
    <w:rsid w:val="5E575414"/>
    <w:rsid w:val="5E5F128B"/>
    <w:rsid w:val="5E5F1A91"/>
    <w:rsid w:val="5E603E2D"/>
    <w:rsid w:val="5E610551"/>
    <w:rsid w:val="5E625BE7"/>
    <w:rsid w:val="5E6E0C0A"/>
    <w:rsid w:val="5E6F4495"/>
    <w:rsid w:val="5E7941AF"/>
    <w:rsid w:val="5E865ED7"/>
    <w:rsid w:val="5E8B3797"/>
    <w:rsid w:val="5E8C5504"/>
    <w:rsid w:val="5E94045D"/>
    <w:rsid w:val="5E957156"/>
    <w:rsid w:val="5E9B3F2C"/>
    <w:rsid w:val="5E9E1513"/>
    <w:rsid w:val="5EA3053D"/>
    <w:rsid w:val="5EA52A3E"/>
    <w:rsid w:val="5EA71748"/>
    <w:rsid w:val="5EA94306"/>
    <w:rsid w:val="5EA97FF0"/>
    <w:rsid w:val="5EAD2E70"/>
    <w:rsid w:val="5EB240C6"/>
    <w:rsid w:val="5EB24A8D"/>
    <w:rsid w:val="5EBB253D"/>
    <w:rsid w:val="5EBB30E1"/>
    <w:rsid w:val="5EBB6B59"/>
    <w:rsid w:val="5EBD61FE"/>
    <w:rsid w:val="5EC23D29"/>
    <w:rsid w:val="5ECA6085"/>
    <w:rsid w:val="5ECB286C"/>
    <w:rsid w:val="5ED73F99"/>
    <w:rsid w:val="5EE132DF"/>
    <w:rsid w:val="5EE31C71"/>
    <w:rsid w:val="5EEB540B"/>
    <w:rsid w:val="5EEC6D03"/>
    <w:rsid w:val="5EEF3DD7"/>
    <w:rsid w:val="5EF3776B"/>
    <w:rsid w:val="5EF47884"/>
    <w:rsid w:val="5F021163"/>
    <w:rsid w:val="5F06045A"/>
    <w:rsid w:val="5F0957EA"/>
    <w:rsid w:val="5F0A1374"/>
    <w:rsid w:val="5F13532E"/>
    <w:rsid w:val="5F1B16B2"/>
    <w:rsid w:val="5F20227F"/>
    <w:rsid w:val="5F206759"/>
    <w:rsid w:val="5F251A63"/>
    <w:rsid w:val="5F282E0A"/>
    <w:rsid w:val="5F2B5B2C"/>
    <w:rsid w:val="5F2F23F6"/>
    <w:rsid w:val="5F3B4F99"/>
    <w:rsid w:val="5F450064"/>
    <w:rsid w:val="5F580F23"/>
    <w:rsid w:val="5F5A5079"/>
    <w:rsid w:val="5F5F25E2"/>
    <w:rsid w:val="5F5F4531"/>
    <w:rsid w:val="5F621CAD"/>
    <w:rsid w:val="5F675784"/>
    <w:rsid w:val="5F6A5203"/>
    <w:rsid w:val="5F6A7AE4"/>
    <w:rsid w:val="5F6C193A"/>
    <w:rsid w:val="5F7C28A3"/>
    <w:rsid w:val="5F7D6EFC"/>
    <w:rsid w:val="5F9153D7"/>
    <w:rsid w:val="5F9779BF"/>
    <w:rsid w:val="5FA05683"/>
    <w:rsid w:val="5FA51ADF"/>
    <w:rsid w:val="5FA53DFB"/>
    <w:rsid w:val="5FA858AE"/>
    <w:rsid w:val="5FAC77F1"/>
    <w:rsid w:val="5FAF154F"/>
    <w:rsid w:val="5FB72A38"/>
    <w:rsid w:val="5FBA722C"/>
    <w:rsid w:val="5FC0149F"/>
    <w:rsid w:val="5FC3621F"/>
    <w:rsid w:val="5FCB72C4"/>
    <w:rsid w:val="5FDB50CC"/>
    <w:rsid w:val="5FE76AC9"/>
    <w:rsid w:val="5FEB7354"/>
    <w:rsid w:val="5FEC6653"/>
    <w:rsid w:val="5FF51AF7"/>
    <w:rsid w:val="5FFA000C"/>
    <w:rsid w:val="5FFC64AB"/>
    <w:rsid w:val="600C46C2"/>
    <w:rsid w:val="600F3527"/>
    <w:rsid w:val="600F7B09"/>
    <w:rsid w:val="601530CD"/>
    <w:rsid w:val="601F4BC4"/>
    <w:rsid w:val="6020568B"/>
    <w:rsid w:val="602616BC"/>
    <w:rsid w:val="602B73A6"/>
    <w:rsid w:val="60353358"/>
    <w:rsid w:val="603762EA"/>
    <w:rsid w:val="60401190"/>
    <w:rsid w:val="60410F2C"/>
    <w:rsid w:val="6043279C"/>
    <w:rsid w:val="604C0C1D"/>
    <w:rsid w:val="60624B92"/>
    <w:rsid w:val="606759A5"/>
    <w:rsid w:val="606C7176"/>
    <w:rsid w:val="60704B6C"/>
    <w:rsid w:val="60735710"/>
    <w:rsid w:val="60760557"/>
    <w:rsid w:val="60850D72"/>
    <w:rsid w:val="608762D7"/>
    <w:rsid w:val="608A35BD"/>
    <w:rsid w:val="608B2E33"/>
    <w:rsid w:val="608E5194"/>
    <w:rsid w:val="608F3BE5"/>
    <w:rsid w:val="60925707"/>
    <w:rsid w:val="609529A9"/>
    <w:rsid w:val="609D0946"/>
    <w:rsid w:val="60AF28D2"/>
    <w:rsid w:val="60BC3E20"/>
    <w:rsid w:val="60CC429D"/>
    <w:rsid w:val="60D23868"/>
    <w:rsid w:val="60D77A66"/>
    <w:rsid w:val="60D801CA"/>
    <w:rsid w:val="60DB3A8C"/>
    <w:rsid w:val="60E37CB4"/>
    <w:rsid w:val="60E82759"/>
    <w:rsid w:val="60F32C80"/>
    <w:rsid w:val="60F74C00"/>
    <w:rsid w:val="61036B12"/>
    <w:rsid w:val="610F5FB1"/>
    <w:rsid w:val="61136A61"/>
    <w:rsid w:val="611E49D5"/>
    <w:rsid w:val="61205CC1"/>
    <w:rsid w:val="6128702F"/>
    <w:rsid w:val="612C63A0"/>
    <w:rsid w:val="613260BA"/>
    <w:rsid w:val="613B70C0"/>
    <w:rsid w:val="6143028B"/>
    <w:rsid w:val="614C5C14"/>
    <w:rsid w:val="61692875"/>
    <w:rsid w:val="616D1214"/>
    <w:rsid w:val="61722E2C"/>
    <w:rsid w:val="61771D19"/>
    <w:rsid w:val="617B5D1B"/>
    <w:rsid w:val="61840F78"/>
    <w:rsid w:val="6187733B"/>
    <w:rsid w:val="618B0B87"/>
    <w:rsid w:val="618B7596"/>
    <w:rsid w:val="61943858"/>
    <w:rsid w:val="61990B98"/>
    <w:rsid w:val="619A2588"/>
    <w:rsid w:val="619B058F"/>
    <w:rsid w:val="619D35CF"/>
    <w:rsid w:val="619F31FE"/>
    <w:rsid w:val="61A05C0F"/>
    <w:rsid w:val="61A22766"/>
    <w:rsid w:val="61A407C5"/>
    <w:rsid w:val="61B6042F"/>
    <w:rsid w:val="61B720F4"/>
    <w:rsid w:val="61BD3D2F"/>
    <w:rsid w:val="61BF046F"/>
    <w:rsid w:val="61BF1FFF"/>
    <w:rsid w:val="61C36638"/>
    <w:rsid w:val="61D7653F"/>
    <w:rsid w:val="61DB3A19"/>
    <w:rsid w:val="61DE1191"/>
    <w:rsid w:val="61ED23D5"/>
    <w:rsid w:val="61EF0ECD"/>
    <w:rsid w:val="61F26F42"/>
    <w:rsid w:val="61F91C17"/>
    <w:rsid w:val="620643AB"/>
    <w:rsid w:val="62082A2F"/>
    <w:rsid w:val="62097515"/>
    <w:rsid w:val="6210729B"/>
    <w:rsid w:val="62116F98"/>
    <w:rsid w:val="621E6AE3"/>
    <w:rsid w:val="62200932"/>
    <w:rsid w:val="6224450C"/>
    <w:rsid w:val="623F0996"/>
    <w:rsid w:val="62434EDC"/>
    <w:rsid w:val="62446DF1"/>
    <w:rsid w:val="62584404"/>
    <w:rsid w:val="625C328D"/>
    <w:rsid w:val="626D60B9"/>
    <w:rsid w:val="62775293"/>
    <w:rsid w:val="627938DC"/>
    <w:rsid w:val="628665D7"/>
    <w:rsid w:val="62904E26"/>
    <w:rsid w:val="62975023"/>
    <w:rsid w:val="629939E2"/>
    <w:rsid w:val="629E4022"/>
    <w:rsid w:val="62A8028B"/>
    <w:rsid w:val="62A904BF"/>
    <w:rsid w:val="62AA315B"/>
    <w:rsid w:val="62B54F29"/>
    <w:rsid w:val="62B641CE"/>
    <w:rsid w:val="62BE6A24"/>
    <w:rsid w:val="62CE631C"/>
    <w:rsid w:val="62D13935"/>
    <w:rsid w:val="62D71FAE"/>
    <w:rsid w:val="62E30C1B"/>
    <w:rsid w:val="62E45F1F"/>
    <w:rsid w:val="62E65394"/>
    <w:rsid w:val="62F15FE8"/>
    <w:rsid w:val="62F31E13"/>
    <w:rsid w:val="62F75922"/>
    <w:rsid w:val="62F82FE1"/>
    <w:rsid w:val="62FB1B74"/>
    <w:rsid w:val="63010748"/>
    <w:rsid w:val="630F0E2E"/>
    <w:rsid w:val="63102DA9"/>
    <w:rsid w:val="63121DE5"/>
    <w:rsid w:val="63185F69"/>
    <w:rsid w:val="632705B4"/>
    <w:rsid w:val="6335712F"/>
    <w:rsid w:val="6338336D"/>
    <w:rsid w:val="633A6FD2"/>
    <w:rsid w:val="634516D6"/>
    <w:rsid w:val="63460FA4"/>
    <w:rsid w:val="63494A2A"/>
    <w:rsid w:val="634B4E44"/>
    <w:rsid w:val="634B7199"/>
    <w:rsid w:val="634D1F57"/>
    <w:rsid w:val="634D30BF"/>
    <w:rsid w:val="635007C6"/>
    <w:rsid w:val="6364191F"/>
    <w:rsid w:val="63641F83"/>
    <w:rsid w:val="6365229E"/>
    <w:rsid w:val="63717600"/>
    <w:rsid w:val="637B6F38"/>
    <w:rsid w:val="637D6348"/>
    <w:rsid w:val="637E7914"/>
    <w:rsid w:val="638849A2"/>
    <w:rsid w:val="63885157"/>
    <w:rsid w:val="638B597B"/>
    <w:rsid w:val="639707E6"/>
    <w:rsid w:val="639D1949"/>
    <w:rsid w:val="63A23F48"/>
    <w:rsid w:val="63A31EB4"/>
    <w:rsid w:val="63B16ED0"/>
    <w:rsid w:val="63B20D9B"/>
    <w:rsid w:val="63B94F18"/>
    <w:rsid w:val="63BA484F"/>
    <w:rsid w:val="63BB3118"/>
    <w:rsid w:val="63C47114"/>
    <w:rsid w:val="63CD7484"/>
    <w:rsid w:val="63CE7C55"/>
    <w:rsid w:val="63D06BB7"/>
    <w:rsid w:val="63D53221"/>
    <w:rsid w:val="63E36FF2"/>
    <w:rsid w:val="63EC2BA8"/>
    <w:rsid w:val="63F53709"/>
    <w:rsid w:val="63F702DC"/>
    <w:rsid w:val="63FB2D01"/>
    <w:rsid w:val="63FF5098"/>
    <w:rsid w:val="64066B40"/>
    <w:rsid w:val="640A7CFF"/>
    <w:rsid w:val="64100980"/>
    <w:rsid w:val="641A11E0"/>
    <w:rsid w:val="641E6B1E"/>
    <w:rsid w:val="641F316D"/>
    <w:rsid w:val="64202477"/>
    <w:rsid w:val="642E1225"/>
    <w:rsid w:val="642E7E6B"/>
    <w:rsid w:val="644E03D7"/>
    <w:rsid w:val="644F29EE"/>
    <w:rsid w:val="64581B32"/>
    <w:rsid w:val="64584691"/>
    <w:rsid w:val="64683238"/>
    <w:rsid w:val="646D5415"/>
    <w:rsid w:val="646F7AB3"/>
    <w:rsid w:val="647669FF"/>
    <w:rsid w:val="648026AB"/>
    <w:rsid w:val="6487233A"/>
    <w:rsid w:val="648A147F"/>
    <w:rsid w:val="648D48BF"/>
    <w:rsid w:val="648F3856"/>
    <w:rsid w:val="6495552F"/>
    <w:rsid w:val="649F3E0A"/>
    <w:rsid w:val="64A22404"/>
    <w:rsid w:val="64A506EC"/>
    <w:rsid w:val="64AD12CC"/>
    <w:rsid w:val="64AD7A97"/>
    <w:rsid w:val="64AF0990"/>
    <w:rsid w:val="64AF4120"/>
    <w:rsid w:val="64B058E0"/>
    <w:rsid w:val="64B4348D"/>
    <w:rsid w:val="64B9580D"/>
    <w:rsid w:val="64C23E9B"/>
    <w:rsid w:val="64C81840"/>
    <w:rsid w:val="64CA2B88"/>
    <w:rsid w:val="64CC0A0E"/>
    <w:rsid w:val="64D27B8D"/>
    <w:rsid w:val="64D370D6"/>
    <w:rsid w:val="64D527E8"/>
    <w:rsid w:val="64D92DBE"/>
    <w:rsid w:val="64E32F3F"/>
    <w:rsid w:val="64E6172F"/>
    <w:rsid w:val="64E86FA9"/>
    <w:rsid w:val="64EF5299"/>
    <w:rsid w:val="64EF580D"/>
    <w:rsid w:val="64F0143E"/>
    <w:rsid w:val="64FF7EE0"/>
    <w:rsid w:val="6507187C"/>
    <w:rsid w:val="650E2FA8"/>
    <w:rsid w:val="653F5E6C"/>
    <w:rsid w:val="65423201"/>
    <w:rsid w:val="655B2B87"/>
    <w:rsid w:val="656731AB"/>
    <w:rsid w:val="65674F7C"/>
    <w:rsid w:val="65676008"/>
    <w:rsid w:val="65773727"/>
    <w:rsid w:val="65790FD3"/>
    <w:rsid w:val="657A0356"/>
    <w:rsid w:val="657B43D4"/>
    <w:rsid w:val="658D1C66"/>
    <w:rsid w:val="659257DC"/>
    <w:rsid w:val="659363F6"/>
    <w:rsid w:val="659821EE"/>
    <w:rsid w:val="65997273"/>
    <w:rsid w:val="65A2414A"/>
    <w:rsid w:val="65B250A0"/>
    <w:rsid w:val="65B85461"/>
    <w:rsid w:val="65BA6CAF"/>
    <w:rsid w:val="65C532ED"/>
    <w:rsid w:val="65C63AE3"/>
    <w:rsid w:val="65C97926"/>
    <w:rsid w:val="65CC1055"/>
    <w:rsid w:val="65CC3D8A"/>
    <w:rsid w:val="65CC77A6"/>
    <w:rsid w:val="65CF78B0"/>
    <w:rsid w:val="65D86766"/>
    <w:rsid w:val="65E114B3"/>
    <w:rsid w:val="65E5731B"/>
    <w:rsid w:val="65E73D67"/>
    <w:rsid w:val="65E94D0A"/>
    <w:rsid w:val="65F052E3"/>
    <w:rsid w:val="65F633BF"/>
    <w:rsid w:val="65F83B3B"/>
    <w:rsid w:val="66047635"/>
    <w:rsid w:val="660D0DEA"/>
    <w:rsid w:val="660F1EA8"/>
    <w:rsid w:val="660F2EC6"/>
    <w:rsid w:val="661243F2"/>
    <w:rsid w:val="66150ED4"/>
    <w:rsid w:val="66253465"/>
    <w:rsid w:val="662A2399"/>
    <w:rsid w:val="663536E9"/>
    <w:rsid w:val="66376D83"/>
    <w:rsid w:val="663B18D7"/>
    <w:rsid w:val="66403FF3"/>
    <w:rsid w:val="664917BD"/>
    <w:rsid w:val="664A0F9D"/>
    <w:rsid w:val="664D5C7F"/>
    <w:rsid w:val="664D76C0"/>
    <w:rsid w:val="665B77F3"/>
    <w:rsid w:val="666971C5"/>
    <w:rsid w:val="666E6F40"/>
    <w:rsid w:val="66737359"/>
    <w:rsid w:val="66814ECE"/>
    <w:rsid w:val="66884EA2"/>
    <w:rsid w:val="668E790E"/>
    <w:rsid w:val="66936AF1"/>
    <w:rsid w:val="66946997"/>
    <w:rsid w:val="66947844"/>
    <w:rsid w:val="669716F7"/>
    <w:rsid w:val="669D3CB1"/>
    <w:rsid w:val="669E0760"/>
    <w:rsid w:val="66A57339"/>
    <w:rsid w:val="66A64819"/>
    <w:rsid w:val="66AB4946"/>
    <w:rsid w:val="66AF2330"/>
    <w:rsid w:val="66C27D00"/>
    <w:rsid w:val="66C41AA4"/>
    <w:rsid w:val="66D20119"/>
    <w:rsid w:val="66D26855"/>
    <w:rsid w:val="66E4326F"/>
    <w:rsid w:val="66EC7D68"/>
    <w:rsid w:val="66F40766"/>
    <w:rsid w:val="66FC1377"/>
    <w:rsid w:val="66FE38F4"/>
    <w:rsid w:val="670B4A16"/>
    <w:rsid w:val="670F0CF4"/>
    <w:rsid w:val="67183051"/>
    <w:rsid w:val="672020E6"/>
    <w:rsid w:val="672459EB"/>
    <w:rsid w:val="672742A4"/>
    <w:rsid w:val="672D6F5B"/>
    <w:rsid w:val="673531EA"/>
    <w:rsid w:val="67357AB0"/>
    <w:rsid w:val="673A0D3B"/>
    <w:rsid w:val="673A7C6C"/>
    <w:rsid w:val="673B5233"/>
    <w:rsid w:val="673D23B0"/>
    <w:rsid w:val="6747733F"/>
    <w:rsid w:val="674A67F5"/>
    <w:rsid w:val="674C4184"/>
    <w:rsid w:val="675562D1"/>
    <w:rsid w:val="67566502"/>
    <w:rsid w:val="675A1EA3"/>
    <w:rsid w:val="6769166A"/>
    <w:rsid w:val="6773312C"/>
    <w:rsid w:val="67750237"/>
    <w:rsid w:val="677A4F6B"/>
    <w:rsid w:val="677D7738"/>
    <w:rsid w:val="67805F58"/>
    <w:rsid w:val="67856B9E"/>
    <w:rsid w:val="678B0CE6"/>
    <w:rsid w:val="678B2084"/>
    <w:rsid w:val="678B75EF"/>
    <w:rsid w:val="679A715C"/>
    <w:rsid w:val="67A7705F"/>
    <w:rsid w:val="67A9736D"/>
    <w:rsid w:val="67AA6681"/>
    <w:rsid w:val="67AE1208"/>
    <w:rsid w:val="67AF6B0F"/>
    <w:rsid w:val="67B3757C"/>
    <w:rsid w:val="67C029FF"/>
    <w:rsid w:val="67C1097F"/>
    <w:rsid w:val="67C22F25"/>
    <w:rsid w:val="67C93395"/>
    <w:rsid w:val="67CD3BBF"/>
    <w:rsid w:val="67D145C3"/>
    <w:rsid w:val="67E175A1"/>
    <w:rsid w:val="67E65243"/>
    <w:rsid w:val="67ED6EEB"/>
    <w:rsid w:val="67F15E56"/>
    <w:rsid w:val="67F22154"/>
    <w:rsid w:val="67F34CFC"/>
    <w:rsid w:val="67F96914"/>
    <w:rsid w:val="67FE4B5E"/>
    <w:rsid w:val="68062501"/>
    <w:rsid w:val="68070204"/>
    <w:rsid w:val="68073DD9"/>
    <w:rsid w:val="680D06FD"/>
    <w:rsid w:val="68107848"/>
    <w:rsid w:val="68121662"/>
    <w:rsid w:val="68155B5B"/>
    <w:rsid w:val="681910C6"/>
    <w:rsid w:val="681938D2"/>
    <w:rsid w:val="681E3BC7"/>
    <w:rsid w:val="681F7AC7"/>
    <w:rsid w:val="68207F5F"/>
    <w:rsid w:val="68244969"/>
    <w:rsid w:val="682E0A98"/>
    <w:rsid w:val="682E6253"/>
    <w:rsid w:val="68385B60"/>
    <w:rsid w:val="68400450"/>
    <w:rsid w:val="68414C08"/>
    <w:rsid w:val="684418D5"/>
    <w:rsid w:val="684D30E6"/>
    <w:rsid w:val="685C5285"/>
    <w:rsid w:val="68617557"/>
    <w:rsid w:val="68646F22"/>
    <w:rsid w:val="686A786C"/>
    <w:rsid w:val="686C56A1"/>
    <w:rsid w:val="686E05AE"/>
    <w:rsid w:val="687F2164"/>
    <w:rsid w:val="68822C0A"/>
    <w:rsid w:val="688344C7"/>
    <w:rsid w:val="6886329D"/>
    <w:rsid w:val="688E2CA7"/>
    <w:rsid w:val="6893341A"/>
    <w:rsid w:val="68940D9C"/>
    <w:rsid w:val="689705A5"/>
    <w:rsid w:val="689F6D79"/>
    <w:rsid w:val="68A4766D"/>
    <w:rsid w:val="68A711FD"/>
    <w:rsid w:val="68A7223F"/>
    <w:rsid w:val="68AB348C"/>
    <w:rsid w:val="68AD08CA"/>
    <w:rsid w:val="68AD54CE"/>
    <w:rsid w:val="68CA2DFA"/>
    <w:rsid w:val="68CC1584"/>
    <w:rsid w:val="68CE5B6F"/>
    <w:rsid w:val="68CF1A3B"/>
    <w:rsid w:val="68D1428C"/>
    <w:rsid w:val="68D51F5F"/>
    <w:rsid w:val="68E56CF3"/>
    <w:rsid w:val="68EA7973"/>
    <w:rsid w:val="68ED5E3F"/>
    <w:rsid w:val="68F0351C"/>
    <w:rsid w:val="68F71EA4"/>
    <w:rsid w:val="68FD3D2D"/>
    <w:rsid w:val="6900126F"/>
    <w:rsid w:val="69044874"/>
    <w:rsid w:val="690D7BC6"/>
    <w:rsid w:val="690F6293"/>
    <w:rsid w:val="691909FD"/>
    <w:rsid w:val="691B4EB4"/>
    <w:rsid w:val="691E52F0"/>
    <w:rsid w:val="691E788E"/>
    <w:rsid w:val="692D5F2E"/>
    <w:rsid w:val="692E2FE5"/>
    <w:rsid w:val="692F568E"/>
    <w:rsid w:val="69317FF0"/>
    <w:rsid w:val="69321FFD"/>
    <w:rsid w:val="69344A4E"/>
    <w:rsid w:val="693E6BC7"/>
    <w:rsid w:val="69451E5A"/>
    <w:rsid w:val="69466635"/>
    <w:rsid w:val="694E5B3B"/>
    <w:rsid w:val="69527D16"/>
    <w:rsid w:val="695D1F03"/>
    <w:rsid w:val="696504D2"/>
    <w:rsid w:val="697A53F8"/>
    <w:rsid w:val="697E27FC"/>
    <w:rsid w:val="697E7E86"/>
    <w:rsid w:val="698108AE"/>
    <w:rsid w:val="698C09C5"/>
    <w:rsid w:val="699329F6"/>
    <w:rsid w:val="69943848"/>
    <w:rsid w:val="699A713E"/>
    <w:rsid w:val="699B4CA3"/>
    <w:rsid w:val="69A10931"/>
    <w:rsid w:val="69AE5124"/>
    <w:rsid w:val="69B73E0C"/>
    <w:rsid w:val="69B93736"/>
    <w:rsid w:val="69C92D08"/>
    <w:rsid w:val="69E533E8"/>
    <w:rsid w:val="69F803FB"/>
    <w:rsid w:val="69F97171"/>
    <w:rsid w:val="69FC3345"/>
    <w:rsid w:val="6A03080C"/>
    <w:rsid w:val="6A0451E7"/>
    <w:rsid w:val="6A0A01F1"/>
    <w:rsid w:val="6A0A685B"/>
    <w:rsid w:val="6A0F1075"/>
    <w:rsid w:val="6A1840F6"/>
    <w:rsid w:val="6A1D6552"/>
    <w:rsid w:val="6A1E690D"/>
    <w:rsid w:val="6A217FBD"/>
    <w:rsid w:val="6A35656D"/>
    <w:rsid w:val="6A3B5ECC"/>
    <w:rsid w:val="6A3D79AE"/>
    <w:rsid w:val="6A4236C9"/>
    <w:rsid w:val="6A5D26C8"/>
    <w:rsid w:val="6A5D2CE4"/>
    <w:rsid w:val="6A6560C6"/>
    <w:rsid w:val="6A695165"/>
    <w:rsid w:val="6A782301"/>
    <w:rsid w:val="6A793123"/>
    <w:rsid w:val="6A7A6831"/>
    <w:rsid w:val="6A7A7AEF"/>
    <w:rsid w:val="6A846FA2"/>
    <w:rsid w:val="6A862D26"/>
    <w:rsid w:val="6A8B32BC"/>
    <w:rsid w:val="6A8E044C"/>
    <w:rsid w:val="6A9002A2"/>
    <w:rsid w:val="6A927616"/>
    <w:rsid w:val="6A941DBA"/>
    <w:rsid w:val="6A991473"/>
    <w:rsid w:val="6AA0031C"/>
    <w:rsid w:val="6AA560D1"/>
    <w:rsid w:val="6AAD512E"/>
    <w:rsid w:val="6AAF2BA9"/>
    <w:rsid w:val="6AB00E44"/>
    <w:rsid w:val="6AB50BA6"/>
    <w:rsid w:val="6AB87CA2"/>
    <w:rsid w:val="6ABF0F28"/>
    <w:rsid w:val="6AC303A6"/>
    <w:rsid w:val="6ACD4F82"/>
    <w:rsid w:val="6AD11CDB"/>
    <w:rsid w:val="6AD85B0C"/>
    <w:rsid w:val="6AE40625"/>
    <w:rsid w:val="6AE77883"/>
    <w:rsid w:val="6AEB6A8C"/>
    <w:rsid w:val="6AF175F5"/>
    <w:rsid w:val="6AF3169B"/>
    <w:rsid w:val="6B060C97"/>
    <w:rsid w:val="6B1160EA"/>
    <w:rsid w:val="6B121C58"/>
    <w:rsid w:val="6B1C67CF"/>
    <w:rsid w:val="6B2267B2"/>
    <w:rsid w:val="6B244B72"/>
    <w:rsid w:val="6B2B264C"/>
    <w:rsid w:val="6B2D4BAA"/>
    <w:rsid w:val="6B3B1038"/>
    <w:rsid w:val="6B4A3DE5"/>
    <w:rsid w:val="6B4B351E"/>
    <w:rsid w:val="6B4C7A28"/>
    <w:rsid w:val="6B502C52"/>
    <w:rsid w:val="6B526A2B"/>
    <w:rsid w:val="6B551D09"/>
    <w:rsid w:val="6B585D87"/>
    <w:rsid w:val="6B5C49C2"/>
    <w:rsid w:val="6B660D2B"/>
    <w:rsid w:val="6B68777D"/>
    <w:rsid w:val="6B6A4531"/>
    <w:rsid w:val="6B6B58FF"/>
    <w:rsid w:val="6B700255"/>
    <w:rsid w:val="6B722668"/>
    <w:rsid w:val="6B731AA8"/>
    <w:rsid w:val="6B7542BE"/>
    <w:rsid w:val="6B757AB9"/>
    <w:rsid w:val="6B7C0C6F"/>
    <w:rsid w:val="6B7D2AE4"/>
    <w:rsid w:val="6B8E66E4"/>
    <w:rsid w:val="6B9259C6"/>
    <w:rsid w:val="6B954C4D"/>
    <w:rsid w:val="6B984171"/>
    <w:rsid w:val="6B994D3E"/>
    <w:rsid w:val="6B9F797D"/>
    <w:rsid w:val="6BA260BD"/>
    <w:rsid w:val="6BAA5CA7"/>
    <w:rsid w:val="6BAB7270"/>
    <w:rsid w:val="6BAD7854"/>
    <w:rsid w:val="6BAE24E5"/>
    <w:rsid w:val="6BB10498"/>
    <w:rsid w:val="6BC05C14"/>
    <w:rsid w:val="6BC34A2C"/>
    <w:rsid w:val="6BCE46E7"/>
    <w:rsid w:val="6BD46073"/>
    <w:rsid w:val="6BDA540B"/>
    <w:rsid w:val="6BDB169E"/>
    <w:rsid w:val="6BDD64E7"/>
    <w:rsid w:val="6BE35AAA"/>
    <w:rsid w:val="6BE50141"/>
    <w:rsid w:val="6BE56022"/>
    <w:rsid w:val="6BE60141"/>
    <w:rsid w:val="6BE91303"/>
    <w:rsid w:val="6BF35000"/>
    <w:rsid w:val="6BFD7CC2"/>
    <w:rsid w:val="6BFF2A20"/>
    <w:rsid w:val="6C0E5AF8"/>
    <w:rsid w:val="6C0E780C"/>
    <w:rsid w:val="6C1121BE"/>
    <w:rsid w:val="6C1455AD"/>
    <w:rsid w:val="6C202FFF"/>
    <w:rsid w:val="6C2131DC"/>
    <w:rsid w:val="6C2A678A"/>
    <w:rsid w:val="6C382A9F"/>
    <w:rsid w:val="6C404AD6"/>
    <w:rsid w:val="6C41211F"/>
    <w:rsid w:val="6C52345D"/>
    <w:rsid w:val="6C5839F1"/>
    <w:rsid w:val="6C587807"/>
    <w:rsid w:val="6C6319AA"/>
    <w:rsid w:val="6C69724B"/>
    <w:rsid w:val="6C6A7A21"/>
    <w:rsid w:val="6C6D159A"/>
    <w:rsid w:val="6C742BBE"/>
    <w:rsid w:val="6C79732B"/>
    <w:rsid w:val="6C864BA0"/>
    <w:rsid w:val="6C8A39AF"/>
    <w:rsid w:val="6C9309D2"/>
    <w:rsid w:val="6CA128B4"/>
    <w:rsid w:val="6CA173AD"/>
    <w:rsid w:val="6CA3574A"/>
    <w:rsid w:val="6CA6550A"/>
    <w:rsid w:val="6CA82595"/>
    <w:rsid w:val="6CA90AF6"/>
    <w:rsid w:val="6CAF54B1"/>
    <w:rsid w:val="6CB1291D"/>
    <w:rsid w:val="6CB41A04"/>
    <w:rsid w:val="6CC531B9"/>
    <w:rsid w:val="6CC854E3"/>
    <w:rsid w:val="6CD153D3"/>
    <w:rsid w:val="6CD20C40"/>
    <w:rsid w:val="6CD87BED"/>
    <w:rsid w:val="6CDF3C53"/>
    <w:rsid w:val="6CED4A0E"/>
    <w:rsid w:val="6D011B72"/>
    <w:rsid w:val="6D020F07"/>
    <w:rsid w:val="6D0E3B4D"/>
    <w:rsid w:val="6D150E64"/>
    <w:rsid w:val="6D164616"/>
    <w:rsid w:val="6D182158"/>
    <w:rsid w:val="6D215676"/>
    <w:rsid w:val="6D242707"/>
    <w:rsid w:val="6D263DF1"/>
    <w:rsid w:val="6D271560"/>
    <w:rsid w:val="6D310140"/>
    <w:rsid w:val="6D312E2B"/>
    <w:rsid w:val="6D3512C5"/>
    <w:rsid w:val="6D3531D1"/>
    <w:rsid w:val="6D3935F1"/>
    <w:rsid w:val="6D487742"/>
    <w:rsid w:val="6D5150A2"/>
    <w:rsid w:val="6D5249F0"/>
    <w:rsid w:val="6D5B6273"/>
    <w:rsid w:val="6D65744F"/>
    <w:rsid w:val="6D6F29A6"/>
    <w:rsid w:val="6D8B6B20"/>
    <w:rsid w:val="6D925C42"/>
    <w:rsid w:val="6D9452B8"/>
    <w:rsid w:val="6D9D42FC"/>
    <w:rsid w:val="6DA01B83"/>
    <w:rsid w:val="6DAA00C2"/>
    <w:rsid w:val="6DAD6CA6"/>
    <w:rsid w:val="6DB17873"/>
    <w:rsid w:val="6DBF717D"/>
    <w:rsid w:val="6DC027F8"/>
    <w:rsid w:val="6DC30AF7"/>
    <w:rsid w:val="6DC422E0"/>
    <w:rsid w:val="6DD005A8"/>
    <w:rsid w:val="6DD65337"/>
    <w:rsid w:val="6DDA3872"/>
    <w:rsid w:val="6DDD7E1A"/>
    <w:rsid w:val="6DE05AAF"/>
    <w:rsid w:val="6DE340CC"/>
    <w:rsid w:val="6DE80E46"/>
    <w:rsid w:val="6DFC47E1"/>
    <w:rsid w:val="6E0A1F1F"/>
    <w:rsid w:val="6E0D06C6"/>
    <w:rsid w:val="6E0E1448"/>
    <w:rsid w:val="6E1063C0"/>
    <w:rsid w:val="6E153ED3"/>
    <w:rsid w:val="6E2A6565"/>
    <w:rsid w:val="6E2B45C3"/>
    <w:rsid w:val="6E3747DE"/>
    <w:rsid w:val="6E3E315A"/>
    <w:rsid w:val="6E3E38C7"/>
    <w:rsid w:val="6E4D1BB3"/>
    <w:rsid w:val="6E6475E7"/>
    <w:rsid w:val="6E690C14"/>
    <w:rsid w:val="6E6F67CF"/>
    <w:rsid w:val="6E717867"/>
    <w:rsid w:val="6E7B01A5"/>
    <w:rsid w:val="6E801957"/>
    <w:rsid w:val="6E915149"/>
    <w:rsid w:val="6E9746C1"/>
    <w:rsid w:val="6E9D5A4D"/>
    <w:rsid w:val="6EAA2C05"/>
    <w:rsid w:val="6EC172FF"/>
    <w:rsid w:val="6EC42575"/>
    <w:rsid w:val="6EC61E3C"/>
    <w:rsid w:val="6EC826AA"/>
    <w:rsid w:val="6EDC05BD"/>
    <w:rsid w:val="6EDD6D02"/>
    <w:rsid w:val="6EFC0B8B"/>
    <w:rsid w:val="6EFE7E21"/>
    <w:rsid w:val="6F0A0530"/>
    <w:rsid w:val="6F0C7D4A"/>
    <w:rsid w:val="6F223007"/>
    <w:rsid w:val="6F3E7621"/>
    <w:rsid w:val="6F4D6644"/>
    <w:rsid w:val="6F5131B5"/>
    <w:rsid w:val="6F51451F"/>
    <w:rsid w:val="6F551510"/>
    <w:rsid w:val="6F5F7808"/>
    <w:rsid w:val="6F6513D7"/>
    <w:rsid w:val="6F6C7EFA"/>
    <w:rsid w:val="6F757BE0"/>
    <w:rsid w:val="6F7B3B29"/>
    <w:rsid w:val="6F7D002F"/>
    <w:rsid w:val="6F7F4ED7"/>
    <w:rsid w:val="6F82615C"/>
    <w:rsid w:val="6F846693"/>
    <w:rsid w:val="6F883BBD"/>
    <w:rsid w:val="6F901BA7"/>
    <w:rsid w:val="6F9857AB"/>
    <w:rsid w:val="6F9C054E"/>
    <w:rsid w:val="6F9C366C"/>
    <w:rsid w:val="6F9F08F6"/>
    <w:rsid w:val="6FA30573"/>
    <w:rsid w:val="6FAD0D41"/>
    <w:rsid w:val="6FB065F5"/>
    <w:rsid w:val="6FB378CC"/>
    <w:rsid w:val="6FB441B0"/>
    <w:rsid w:val="6FB522D9"/>
    <w:rsid w:val="6FBF560E"/>
    <w:rsid w:val="6FC136B5"/>
    <w:rsid w:val="6FC70267"/>
    <w:rsid w:val="6FD33CDB"/>
    <w:rsid w:val="6FD547F0"/>
    <w:rsid w:val="6FD76722"/>
    <w:rsid w:val="6FDD3136"/>
    <w:rsid w:val="6FE645E6"/>
    <w:rsid w:val="6FFA27AE"/>
    <w:rsid w:val="70003D2A"/>
    <w:rsid w:val="70044E4C"/>
    <w:rsid w:val="7007414B"/>
    <w:rsid w:val="7008395F"/>
    <w:rsid w:val="700C360A"/>
    <w:rsid w:val="702036F6"/>
    <w:rsid w:val="702166AA"/>
    <w:rsid w:val="702275F4"/>
    <w:rsid w:val="702A1868"/>
    <w:rsid w:val="702F159B"/>
    <w:rsid w:val="70340CD0"/>
    <w:rsid w:val="70392228"/>
    <w:rsid w:val="703A7A36"/>
    <w:rsid w:val="70470A5A"/>
    <w:rsid w:val="704735CB"/>
    <w:rsid w:val="70481F9F"/>
    <w:rsid w:val="70483BD1"/>
    <w:rsid w:val="704B59CB"/>
    <w:rsid w:val="704F6F86"/>
    <w:rsid w:val="70593932"/>
    <w:rsid w:val="705B05DF"/>
    <w:rsid w:val="705B4C8F"/>
    <w:rsid w:val="70657D19"/>
    <w:rsid w:val="706E0460"/>
    <w:rsid w:val="70745923"/>
    <w:rsid w:val="707D6997"/>
    <w:rsid w:val="707E058E"/>
    <w:rsid w:val="707F5E9F"/>
    <w:rsid w:val="70825596"/>
    <w:rsid w:val="70846AA1"/>
    <w:rsid w:val="7089164F"/>
    <w:rsid w:val="708C2B1F"/>
    <w:rsid w:val="708D1DCC"/>
    <w:rsid w:val="70906793"/>
    <w:rsid w:val="70913862"/>
    <w:rsid w:val="709272E8"/>
    <w:rsid w:val="7094303A"/>
    <w:rsid w:val="7094685C"/>
    <w:rsid w:val="709746CE"/>
    <w:rsid w:val="70980A7C"/>
    <w:rsid w:val="709D41FC"/>
    <w:rsid w:val="709E42BF"/>
    <w:rsid w:val="709F3AC0"/>
    <w:rsid w:val="70B46E8E"/>
    <w:rsid w:val="70B83BBD"/>
    <w:rsid w:val="70B9672D"/>
    <w:rsid w:val="70C87938"/>
    <w:rsid w:val="70D93730"/>
    <w:rsid w:val="70D96D56"/>
    <w:rsid w:val="70E12DF2"/>
    <w:rsid w:val="70EB4404"/>
    <w:rsid w:val="70EC11CE"/>
    <w:rsid w:val="70ED67FE"/>
    <w:rsid w:val="70F8730C"/>
    <w:rsid w:val="70FF58BE"/>
    <w:rsid w:val="70FF72AC"/>
    <w:rsid w:val="712E135F"/>
    <w:rsid w:val="71326597"/>
    <w:rsid w:val="713B0921"/>
    <w:rsid w:val="714A2B0E"/>
    <w:rsid w:val="71575147"/>
    <w:rsid w:val="71620540"/>
    <w:rsid w:val="7163552A"/>
    <w:rsid w:val="716943BF"/>
    <w:rsid w:val="716D4AB8"/>
    <w:rsid w:val="71713F64"/>
    <w:rsid w:val="71721FB0"/>
    <w:rsid w:val="717A0D38"/>
    <w:rsid w:val="717B21EA"/>
    <w:rsid w:val="717E15D6"/>
    <w:rsid w:val="71844169"/>
    <w:rsid w:val="71846CD6"/>
    <w:rsid w:val="718575B0"/>
    <w:rsid w:val="71895FE3"/>
    <w:rsid w:val="71897B0C"/>
    <w:rsid w:val="718A1DFB"/>
    <w:rsid w:val="71B41020"/>
    <w:rsid w:val="71B908F5"/>
    <w:rsid w:val="71BA56D5"/>
    <w:rsid w:val="71BA6C85"/>
    <w:rsid w:val="71BD5F7F"/>
    <w:rsid w:val="71CD1778"/>
    <w:rsid w:val="71D26A5A"/>
    <w:rsid w:val="71D30BE6"/>
    <w:rsid w:val="71D73A97"/>
    <w:rsid w:val="71DD446B"/>
    <w:rsid w:val="71E509E7"/>
    <w:rsid w:val="71E61F91"/>
    <w:rsid w:val="71E945D8"/>
    <w:rsid w:val="71EB59B9"/>
    <w:rsid w:val="71F521CB"/>
    <w:rsid w:val="71FA6C60"/>
    <w:rsid w:val="71FC10BB"/>
    <w:rsid w:val="71FE2889"/>
    <w:rsid w:val="7204013C"/>
    <w:rsid w:val="7205669E"/>
    <w:rsid w:val="72093D99"/>
    <w:rsid w:val="720E04DE"/>
    <w:rsid w:val="720F7339"/>
    <w:rsid w:val="72114FE7"/>
    <w:rsid w:val="7212600E"/>
    <w:rsid w:val="72134ED5"/>
    <w:rsid w:val="722713CF"/>
    <w:rsid w:val="722E72DC"/>
    <w:rsid w:val="72317640"/>
    <w:rsid w:val="72391C4C"/>
    <w:rsid w:val="724D0AE8"/>
    <w:rsid w:val="72500B1E"/>
    <w:rsid w:val="72532F96"/>
    <w:rsid w:val="7257161F"/>
    <w:rsid w:val="725873ED"/>
    <w:rsid w:val="725C0EDC"/>
    <w:rsid w:val="725E11F3"/>
    <w:rsid w:val="72691556"/>
    <w:rsid w:val="72710DC5"/>
    <w:rsid w:val="72736DF1"/>
    <w:rsid w:val="72867856"/>
    <w:rsid w:val="72896BD6"/>
    <w:rsid w:val="728B729F"/>
    <w:rsid w:val="729D7FA3"/>
    <w:rsid w:val="72AE55C4"/>
    <w:rsid w:val="72B00F61"/>
    <w:rsid w:val="72B800A3"/>
    <w:rsid w:val="72C47E3F"/>
    <w:rsid w:val="72C652FB"/>
    <w:rsid w:val="72D5137C"/>
    <w:rsid w:val="72D65611"/>
    <w:rsid w:val="72DA2113"/>
    <w:rsid w:val="72DF1F4A"/>
    <w:rsid w:val="72E15A3F"/>
    <w:rsid w:val="72E57C2C"/>
    <w:rsid w:val="72E94C99"/>
    <w:rsid w:val="73077FD0"/>
    <w:rsid w:val="730906B9"/>
    <w:rsid w:val="73117380"/>
    <w:rsid w:val="731E4AA1"/>
    <w:rsid w:val="73283D62"/>
    <w:rsid w:val="73365DF0"/>
    <w:rsid w:val="733C293E"/>
    <w:rsid w:val="733F075F"/>
    <w:rsid w:val="73436DCC"/>
    <w:rsid w:val="73440D38"/>
    <w:rsid w:val="73442B35"/>
    <w:rsid w:val="734637C0"/>
    <w:rsid w:val="73472666"/>
    <w:rsid w:val="73574A09"/>
    <w:rsid w:val="735B753A"/>
    <w:rsid w:val="735B7CEA"/>
    <w:rsid w:val="735C6E7C"/>
    <w:rsid w:val="735D682A"/>
    <w:rsid w:val="736B5758"/>
    <w:rsid w:val="736D415E"/>
    <w:rsid w:val="736F06DA"/>
    <w:rsid w:val="73724734"/>
    <w:rsid w:val="7373670C"/>
    <w:rsid w:val="737459E1"/>
    <w:rsid w:val="73762E31"/>
    <w:rsid w:val="73765D04"/>
    <w:rsid w:val="737C44A3"/>
    <w:rsid w:val="738E6040"/>
    <w:rsid w:val="73922911"/>
    <w:rsid w:val="73947F78"/>
    <w:rsid w:val="73955D18"/>
    <w:rsid w:val="73965DC9"/>
    <w:rsid w:val="73AC72C8"/>
    <w:rsid w:val="73AD36EC"/>
    <w:rsid w:val="73B35F1B"/>
    <w:rsid w:val="73B60B89"/>
    <w:rsid w:val="73B93A09"/>
    <w:rsid w:val="73BA3AB5"/>
    <w:rsid w:val="73C36B87"/>
    <w:rsid w:val="73C628F7"/>
    <w:rsid w:val="73D12FBE"/>
    <w:rsid w:val="73D472AE"/>
    <w:rsid w:val="73D7017A"/>
    <w:rsid w:val="73DA1ACD"/>
    <w:rsid w:val="73DB3EFC"/>
    <w:rsid w:val="73DB7DB7"/>
    <w:rsid w:val="73F47856"/>
    <w:rsid w:val="73F478A3"/>
    <w:rsid w:val="73F66304"/>
    <w:rsid w:val="73FF6571"/>
    <w:rsid w:val="74003083"/>
    <w:rsid w:val="74054C42"/>
    <w:rsid w:val="740D55BE"/>
    <w:rsid w:val="74125C44"/>
    <w:rsid w:val="741645F3"/>
    <w:rsid w:val="741905BA"/>
    <w:rsid w:val="74193740"/>
    <w:rsid w:val="741E11DB"/>
    <w:rsid w:val="741E6F8A"/>
    <w:rsid w:val="742059A1"/>
    <w:rsid w:val="74233C69"/>
    <w:rsid w:val="742E161B"/>
    <w:rsid w:val="74352946"/>
    <w:rsid w:val="743556C3"/>
    <w:rsid w:val="7437114C"/>
    <w:rsid w:val="743C303D"/>
    <w:rsid w:val="744243A4"/>
    <w:rsid w:val="74466B10"/>
    <w:rsid w:val="744864A5"/>
    <w:rsid w:val="745777ED"/>
    <w:rsid w:val="74604830"/>
    <w:rsid w:val="74671263"/>
    <w:rsid w:val="74697AF9"/>
    <w:rsid w:val="746F6EA7"/>
    <w:rsid w:val="74772F2B"/>
    <w:rsid w:val="747C72A9"/>
    <w:rsid w:val="748518A1"/>
    <w:rsid w:val="748676C5"/>
    <w:rsid w:val="74874717"/>
    <w:rsid w:val="748D5E7E"/>
    <w:rsid w:val="748E00AD"/>
    <w:rsid w:val="74B1481B"/>
    <w:rsid w:val="74B16D79"/>
    <w:rsid w:val="74B279AD"/>
    <w:rsid w:val="74B357F8"/>
    <w:rsid w:val="74B46A13"/>
    <w:rsid w:val="74B95BD4"/>
    <w:rsid w:val="74BB65AB"/>
    <w:rsid w:val="74CB0A1C"/>
    <w:rsid w:val="74CB50E2"/>
    <w:rsid w:val="74DA6BCA"/>
    <w:rsid w:val="74EE5612"/>
    <w:rsid w:val="74F31AC8"/>
    <w:rsid w:val="74FA0F92"/>
    <w:rsid w:val="74FA312C"/>
    <w:rsid w:val="74FA74EB"/>
    <w:rsid w:val="750174AD"/>
    <w:rsid w:val="750560A9"/>
    <w:rsid w:val="750F4869"/>
    <w:rsid w:val="75104E11"/>
    <w:rsid w:val="75312523"/>
    <w:rsid w:val="75362DC9"/>
    <w:rsid w:val="75374B5D"/>
    <w:rsid w:val="753F3635"/>
    <w:rsid w:val="75403DD6"/>
    <w:rsid w:val="754123CA"/>
    <w:rsid w:val="75462D3E"/>
    <w:rsid w:val="754F4411"/>
    <w:rsid w:val="7561057F"/>
    <w:rsid w:val="756D5B81"/>
    <w:rsid w:val="757337FB"/>
    <w:rsid w:val="758013F6"/>
    <w:rsid w:val="758105DF"/>
    <w:rsid w:val="75830A4B"/>
    <w:rsid w:val="759164C6"/>
    <w:rsid w:val="759B4B71"/>
    <w:rsid w:val="75A04280"/>
    <w:rsid w:val="75A6101B"/>
    <w:rsid w:val="75A84444"/>
    <w:rsid w:val="75AA2392"/>
    <w:rsid w:val="75AC2D74"/>
    <w:rsid w:val="75AD2C91"/>
    <w:rsid w:val="75B00EF5"/>
    <w:rsid w:val="75B374B6"/>
    <w:rsid w:val="75B464FF"/>
    <w:rsid w:val="75B909B6"/>
    <w:rsid w:val="75C90FC2"/>
    <w:rsid w:val="75D32612"/>
    <w:rsid w:val="75DE7884"/>
    <w:rsid w:val="75F90966"/>
    <w:rsid w:val="75FB430F"/>
    <w:rsid w:val="7617028A"/>
    <w:rsid w:val="76286C12"/>
    <w:rsid w:val="76433D89"/>
    <w:rsid w:val="764428BF"/>
    <w:rsid w:val="764A0304"/>
    <w:rsid w:val="76570F28"/>
    <w:rsid w:val="765931BF"/>
    <w:rsid w:val="76671E92"/>
    <w:rsid w:val="766E25FA"/>
    <w:rsid w:val="7679523A"/>
    <w:rsid w:val="768600F9"/>
    <w:rsid w:val="768604AE"/>
    <w:rsid w:val="76881499"/>
    <w:rsid w:val="769E27B1"/>
    <w:rsid w:val="769F1EA8"/>
    <w:rsid w:val="76A403AB"/>
    <w:rsid w:val="76A45896"/>
    <w:rsid w:val="76A62B60"/>
    <w:rsid w:val="76B21BE0"/>
    <w:rsid w:val="76B37FBB"/>
    <w:rsid w:val="76B7222A"/>
    <w:rsid w:val="76BA575E"/>
    <w:rsid w:val="76BB66C2"/>
    <w:rsid w:val="76C24A13"/>
    <w:rsid w:val="76DF7D94"/>
    <w:rsid w:val="76E123C5"/>
    <w:rsid w:val="76EB546E"/>
    <w:rsid w:val="76F0501E"/>
    <w:rsid w:val="76F371C9"/>
    <w:rsid w:val="770352E1"/>
    <w:rsid w:val="770A01CA"/>
    <w:rsid w:val="770F0CAD"/>
    <w:rsid w:val="77106C57"/>
    <w:rsid w:val="77173070"/>
    <w:rsid w:val="77181A85"/>
    <w:rsid w:val="771B7F88"/>
    <w:rsid w:val="771E3648"/>
    <w:rsid w:val="772143C2"/>
    <w:rsid w:val="773347AA"/>
    <w:rsid w:val="7734341B"/>
    <w:rsid w:val="773916B7"/>
    <w:rsid w:val="77403A15"/>
    <w:rsid w:val="77421578"/>
    <w:rsid w:val="77444826"/>
    <w:rsid w:val="774623E9"/>
    <w:rsid w:val="774B69D0"/>
    <w:rsid w:val="774C2830"/>
    <w:rsid w:val="77526F8F"/>
    <w:rsid w:val="775320A9"/>
    <w:rsid w:val="775D56D6"/>
    <w:rsid w:val="775F1442"/>
    <w:rsid w:val="77643816"/>
    <w:rsid w:val="77666B29"/>
    <w:rsid w:val="7767374D"/>
    <w:rsid w:val="777042CC"/>
    <w:rsid w:val="777B6468"/>
    <w:rsid w:val="778014DF"/>
    <w:rsid w:val="778F5AD6"/>
    <w:rsid w:val="77904FC9"/>
    <w:rsid w:val="7791437F"/>
    <w:rsid w:val="7799094A"/>
    <w:rsid w:val="779937D1"/>
    <w:rsid w:val="77A03EAD"/>
    <w:rsid w:val="77A622BD"/>
    <w:rsid w:val="77A95CBE"/>
    <w:rsid w:val="77AB7E89"/>
    <w:rsid w:val="77B32AAB"/>
    <w:rsid w:val="77B86FEA"/>
    <w:rsid w:val="77BA37C3"/>
    <w:rsid w:val="77BE7767"/>
    <w:rsid w:val="77C357AB"/>
    <w:rsid w:val="77C73C29"/>
    <w:rsid w:val="77CA6D8B"/>
    <w:rsid w:val="77D960E5"/>
    <w:rsid w:val="77DA0062"/>
    <w:rsid w:val="77DA184E"/>
    <w:rsid w:val="77DB409E"/>
    <w:rsid w:val="77E03771"/>
    <w:rsid w:val="77E70CB3"/>
    <w:rsid w:val="77F7571F"/>
    <w:rsid w:val="77F85BBE"/>
    <w:rsid w:val="77FD0F31"/>
    <w:rsid w:val="77FD2FA6"/>
    <w:rsid w:val="78054BBA"/>
    <w:rsid w:val="78062CFD"/>
    <w:rsid w:val="78092727"/>
    <w:rsid w:val="780D7482"/>
    <w:rsid w:val="781A4188"/>
    <w:rsid w:val="781E375E"/>
    <w:rsid w:val="78207506"/>
    <w:rsid w:val="782D6375"/>
    <w:rsid w:val="782F4B28"/>
    <w:rsid w:val="783412D4"/>
    <w:rsid w:val="7836766C"/>
    <w:rsid w:val="78440392"/>
    <w:rsid w:val="784629E5"/>
    <w:rsid w:val="784C3F61"/>
    <w:rsid w:val="784F5FBB"/>
    <w:rsid w:val="785054BD"/>
    <w:rsid w:val="78597E08"/>
    <w:rsid w:val="7864685B"/>
    <w:rsid w:val="786D7880"/>
    <w:rsid w:val="787020E7"/>
    <w:rsid w:val="78863804"/>
    <w:rsid w:val="78864A05"/>
    <w:rsid w:val="788B58B9"/>
    <w:rsid w:val="78932690"/>
    <w:rsid w:val="7899330E"/>
    <w:rsid w:val="78A066F8"/>
    <w:rsid w:val="78A233CB"/>
    <w:rsid w:val="78AB1BCD"/>
    <w:rsid w:val="78BF3A6A"/>
    <w:rsid w:val="78C64BB0"/>
    <w:rsid w:val="78CE72C4"/>
    <w:rsid w:val="78D478FB"/>
    <w:rsid w:val="78D83A0E"/>
    <w:rsid w:val="78DD4E9B"/>
    <w:rsid w:val="78E45C13"/>
    <w:rsid w:val="78E5688F"/>
    <w:rsid w:val="78E6418C"/>
    <w:rsid w:val="78E95AD1"/>
    <w:rsid w:val="78F1702B"/>
    <w:rsid w:val="78F56FFE"/>
    <w:rsid w:val="78FC452F"/>
    <w:rsid w:val="79034CEA"/>
    <w:rsid w:val="790A439B"/>
    <w:rsid w:val="790C0BDA"/>
    <w:rsid w:val="7920629F"/>
    <w:rsid w:val="792B56AF"/>
    <w:rsid w:val="792D66E0"/>
    <w:rsid w:val="79334536"/>
    <w:rsid w:val="795F545A"/>
    <w:rsid w:val="7962607D"/>
    <w:rsid w:val="79636DEC"/>
    <w:rsid w:val="797701F7"/>
    <w:rsid w:val="797A69DD"/>
    <w:rsid w:val="79824B61"/>
    <w:rsid w:val="7984176E"/>
    <w:rsid w:val="798425F7"/>
    <w:rsid w:val="79886DF4"/>
    <w:rsid w:val="798A64B0"/>
    <w:rsid w:val="799D694E"/>
    <w:rsid w:val="79A4029F"/>
    <w:rsid w:val="79AA13CA"/>
    <w:rsid w:val="79AD230A"/>
    <w:rsid w:val="79AD7CED"/>
    <w:rsid w:val="79AE3344"/>
    <w:rsid w:val="79AF35BA"/>
    <w:rsid w:val="79C26BF9"/>
    <w:rsid w:val="79C404E5"/>
    <w:rsid w:val="79D31296"/>
    <w:rsid w:val="79D413E8"/>
    <w:rsid w:val="79D70977"/>
    <w:rsid w:val="79D91DA6"/>
    <w:rsid w:val="79DA4B64"/>
    <w:rsid w:val="79DA6EE8"/>
    <w:rsid w:val="79DF37C2"/>
    <w:rsid w:val="79E007AE"/>
    <w:rsid w:val="79EE1516"/>
    <w:rsid w:val="79F04F41"/>
    <w:rsid w:val="79FD7B49"/>
    <w:rsid w:val="7A023D5D"/>
    <w:rsid w:val="7A056E5B"/>
    <w:rsid w:val="7A0A3862"/>
    <w:rsid w:val="7A176B47"/>
    <w:rsid w:val="7A195490"/>
    <w:rsid w:val="7A1E4836"/>
    <w:rsid w:val="7A204072"/>
    <w:rsid w:val="7A282272"/>
    <w:rsid w:val="7A357667"/>
    <w:rsid w:val="7A403AF7"/>
    <w:rsid w:val="7A452E92"/>
    <w:rsid w:val="7A49060E"/>
    <w:rsid w:val="7A49493E"/>
    <w:rsid w:val="7A4D1F16"/>
    <w:rsid w:val="7A52077A"/>
    <w:rsid w:val="7A5A424D"/>
    <w:rsid w:val="7A661E96"/>
    <w:rsid w:val="7A7352A1"/>
    <w:rsid w:val="7A7915C4"/>
    <w:rsid w:val="7A7E4590"/>
    <w:rsid w:val="7A864661"/>
    <w:rsid w:val="7A892987"/>
    <w:rsid w:val="7A894653"/>
    <w:rsid w:val="7A8B2687"/>
    <w:rsid w:val="7A8F5498"/>
    <w:rsid w:val="7A9C1475"/>
    <w:rsid w:val="7A9F4ADB"/>
    <w:rsid w:val="7AA32FE3"/>
    <w:rsid w:val="7AAA26A5"/>
    <w:rsid w:val="7ABE5562"/>
    <w:rsid w:val="7AC31970"/>
    <w:rsid w:val="7AC50B37"/>
    <w:rsid w:val="7AC553E7"/>
    <w:rsid w:val="7ACE2273"/>
    <w:rsid w:val="7ACF4119"/>
    <w:rsid w:val="7AD943C1"/>
    <w:rsid w:val="7AE55C4D"/>
    <w:rsid w:val="7AE61C3A"/>
    <w:rsid w:val="7AF05102"/>
    <w:rsid w:val="7AF2550C"/>
    <w:rsid w:val="7AFF3DA9"/>
    <w:rsid w:val="7B0302E3"/>
    <w:rsid w:val="7B0E5BD1"/>
    <w:rsid w:val="7B1055EB"/>
    <w:rsid w:val="7B1777D7"/>
    <w:rsid w:val="7B1931CE"/>
    <w:rsid w:val="7B1B412B"/>
    <w:rsid w:val="7B1E10F3"/>
    <w:rsid w:val="7B211732"/>
    <w:rsid w:val="7B2C77BB"/>
    <w:rsid w:val="7B327DED"/>
    <w:rsid w:val="7B335600"/>
    <w:rsid w:val="7B35389F"/>
    <w:rsid w:val="7B4221F9"/>
    <w:rsid w:val="7B500227"/>
    <w:rsid w:val="7B516004"/>
    <w:rsid w:val="7B5E63EC"/>
    <w:rsid w:val="7B600532"/>
    <w:rsid w:val="7B654028"/>
    <w:rsid w:val="7B66773B"/>
    <w:rsid w:val="7B683245"/>
    <w:rsid w:val="7B7E30C3"/>
    <w:rsid w:val="7B810054"/>
    <w:rsid w:val="7B8304B6"/>
    <w:rsid w:val="7B860404"/>
    <w:rsid w:val="7B890FB2"/>
    <w:rsid w:val="7B8A3D1E"/>
    <w:rsid w:val="7B9B05DC"/>
    <w:rsid w:val="7B9D0521"/>
    <w:rsid w:val="7B9F70DA"/>
    <w:rsid w:val="7BA2591F"/>
    <w:rsid w:val="7BA54219"/>
    <w:rsid w:val="7BAD5E3F"/>
    <w:rsid w:val="7BB04478"/>
    <w:rsid w:val="7BB072BA"/>
    <w:rsid w:val="7BB958F8"/>
    <w:rsid w:val="7BB95978"/>
    <w:rsid w:val="7BBF6155"/>
    <w:rsid w:val="7BC30313"/>
    <w:rsid w:val="7BD43EC8"/>
    <w:rsid w:val="7BD45A0E"/>
    <w:rsid w:val="7BDB7086"/>
    <w:rsid w:val="7BDD5587"/>
    <w:rsid w:val="7BDE7A9F"/>
    <w:rsid w:val="7BDF28F7"/>
    <w:rsid w:val="7BED3793"/>
    <w:rsid w:val="7BED5ABD"/>
    <w:rsid w:val="7BEE1753"/>
    <w:rsid w:val="7BFB405E"/>
    <w:rsid w:val="7BFE5FE1"/>
    <w:rsid w:val="7C0038FA"/>
    <w:rsid w:val="7C0067CB"/>
    <w:rsid w:val="7C030FA4"/>
    <w:rsid w:val="7C0F2E62"/>
    <w:rsid w:val="7C124C63"/>
    <w:rsid w:val="7C147A44"/>
    <w:rsid w:val="7C163016"/>
    <w:rsid w:val="7C1716A9"/>
    <w:rsid w:val="7C1C65FF"/>
    <w:rsid w:val="7C2433FB"/>
    <w:rsid w:val="7C2B3E20"/>
    <w:rsid w:val="7C2D44BB"/>
    <w:rsid w:val="7C2D4E87"/>
    <w:rsid w:val="7C30686A"/>
    <w:rsid w:val="7C3936C3"/>
    <w:rsid w:val="7C3D486A"/>
    <w:rsid w:val="7C61158D"/>
    <w:rsid w:val="7C6800E7"/>
    <w:rsid w:val="7C6D4642"/>
    <w:rsid w:val="7C755D05"/>
    <w:rsid w:val="7C77228A"/>
    <w:rsid w:val="7C86125B"/>
    <w:rsid w:val="7C870210"/>
    <w:rsid w:val="7C87237D"/>
    <w:rsid w:val="7C875B36"/>
    <w:rsid w:val="7C8C379B"/>
    <w:rsid w:val="7C923789"/>
    <w:rsid w:val="7C965B05"/>
    <w:rsid w:val="7C9B2AC4"/>
    <w:rsid w:val="7C9E5377"/>
    <w:rsid w:val="7C9F7F06"/>
    <w:rsid w:val="7CA104BD"/>
    <w:rsid w:val="7CA92545"/>
    <w:rsid w:val="7CB0643F"/>
    <w:rsid w:val="7CB272DE"/>
    <w:rsid w:val="7CC317BC"/>
    <w:rsid w:val="7CC43C6E"/>
    <w:rsid w:val="7CCA154B"/>
    <w:rsid w:val="7CD3320B"/>
    <w:rsid w:val="7CD76883"/>
    <w:rsid w:val="7CDF0C1D"/>
    <w:rsid w:val="7CE0455E"/>
    <w:rsid w:val="7CE42818"/>
    <w:rsid w:val="7CE949BB"/>
    <w:rsid w:val="7CED0DB6"/>
    <w:rsid w:val="7CEF38D8"/>
    <w:rsid w:val="7CF740E8"/>
    <w:rsid w:val="7CFF61DC"/>
    <w:rsid w:val="7D0470EC"/>
    <w:rsid w:val="7D18748C"/>
    <w:rsid w:val="7D2160EB"/>
    <w:rsid w:val="7D2D742B"/>
    <w:rsid w:val="7D2E0111"/>
    <w:rsid w:val="7D4707FC"/>
    <w:rsid w:val="7D4D78F8"/>
    <w:rsid w:val="7D554357"/>
    <w:rsid w:val="7D5A5C00"/>
    <w:rsid w:val="7D6560E6"/>
    <w:rsid w:val="7D6C7CF4"/>
    <w:rsid w:val="7D736652"/>
    <w:rsid w:val="7D7B3A24"/>
    <w:rsid w:val="7D826E76"/>
    <w:rsid w:val="7D844FEB"/>
    <w:rsid w:val="7D845E4E"/>
    <w:rsid w:val="7D850086"/>
    <w:rsid w:val="7D850D0E"/>
    <w:rsid w:val="7D9277F7"/>
    <w:rsid w:val="7DA00666"/>
    <w:rsid w:val="7DA357C3"/>
    <w:rsid w:val="7DA56A3E"/>
    <w:rsid w:val="7DB34064"/>
    <w:rsid w:val="7DB6681A"/>
    <w:rsid w:val="7DBE023E"/>
    <w:rsid w:val="7DC02D00"/>
    <w:rsid w:val="7DCF1844"/>
    <w:rsid w:val="7DD21A77"/>
    <w:rsid w:val="7DD41408"/>
    <w:rsid w:val="7DD91074"/>
    <w:rsid w:val="7DDE30FB"/>
    <w:rsid w:val="7DE02DAE"/>
    <w:rsid w:val="7DE16037"/>
    <w:rsid w:val="7DEB0215"/>
    <w:rsid w:val="7DEE6F9D"/>
    <w:rsid w:val="7DF3F317"/>
    <w:rsid w:val="7DF53971"/>
    <w:rsid w:val="7DFF4A4C"/>
    <w:rsid w:val="7E026B8A"/>
    <w:rsid w:val="7E0C0F0B"/>
    <w:rsid w:val="7E0F69AB"/>
    <w:rsid w:val="7E130ED1"/>
    <w:rsid w:val="7E1B482C"/>
    <w:rsid w:val="7E1D4F1F"/>
    <w:rsid w:val="7E206F7E"/>
    <w:rsid w:val="7E2770A8"/>
    <w:rsid w:val="7E294CF4"/>
    <w:rsid w:val="7E3514D0"/>
    <w:rsid w:val="7E356BEA"/>
    <w:rsid w:val="7E49529F"/>
    <w:rsid w:val="7E56378B"/>
    <w:rsid w:val="7E687B07"/>
    <w:rsid w:val="7E7B5A55"/>
    <w:rsid w:val="7E8E046B"/>
    <w:rsid w:val="7E8F39E1"/>
    <w:rsid w:val="7E913CCC"/>
    <w:rsid w:val="7E9F74E0"/>
    <w:rsid w:val="7EAA3C11"/>
    <w:rsid w:val="7EB515D0"/>
    <w:rsid w:val="7EB622E4"/>
    <w:rsid w:val="7EB93122"/>
    <w:rsid w:val="7EBA6623"/>
    <w:rsid w:val="7EBD5CCD"/>
    <w:rsid w:val="7EBE6A65"/>
    <w:rsid w:val="7EBF4DD7"/>
    <w:rsid w:val="7EC31A7E"/>
    <w:rsid w:val="7EC75497"/>
    <w:rsid w:val="7ED3678D"/>
    <w:rsid w:val="7EDA5112"/>
    <w:rsid w:val="7EDA5286"/>
    <w:rsid w:val="7EE5790A"/>
    <w:rsid w:val="7EEA1B49"/>
    <w:rsid w:val="7EED0B2F"/>
    <w:rsid w:val="7F01433E"/>
    <w:rsid w:val="7F015692"/>
    <w:rsid w:val="7F08561A"/>
    <w:rsid w:val="7F0B2F20"/>
    <w:rsid w:val="7F0D0622"/>
    <w:rsid w:val="7F0D3F24"/>
    <w:rsid w:val="7F130F27"/>
    <w:rsid w:val="7F286013"/>
    <w:rsid w:val="7F2D27E9"/>
    <w:rsid w:val="7F3200CE"/>
    <w:rsid w:val="7F352CE1"/>
    <w:rsid w:val="7F390999"/>
    <w:rsid w:val="7F4E6622"/>
    <w:rsid w:val="7F527B4B"/>
    <w:rsid w:val="7F6463DC"/>
    <w:rsid w:val="7F6D4EAF"/>
    <w:rsid w:val="7F70432F"/>
    <w:rsid w:val="7F742DA0"/>
    <w:rsid w:val="7F771787"/>
    <w:rsid w:val="7F881F61"/>
    <w:rsid w:val="7F940B50"/>
    <w:rsid w:val="7FA51EE9"/>
    <w:rsid w:val="7FA721A0"/>
    <w:rsid w:val="7FA75005"/>
    <w:rsid w:val="7FA80C8F"/>
    <w:rsid w:val="7FAD43F0"/>
    <w:rsid w:val="7FB144C9"/>
    <w:rsid w:val="7FB163B0"/>
    <w:rsid w:val="7FB7126B"/>
    <w:rsid w:val="7FC1796A"/>
    <w:rsid w:val="7FCD4530"/>
    <w:rsid w:val="7FCD65E6"/>
    <w:rsid w:val="7FD67D4B"/>
    <w:rsid w:val="7FDF71A6"/>
    <w:rsid w:val="7FF00272"/>
    <w:rsid w:val="7FF31C8D"/>
    <w:rsid w:val="7FFE5FB7"/>
    <w:rsid w:val="FF7A3004"/>
    <w:rsid w:val="FFFD935F"/>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39" w:semiHidden="0" w:name="toc 2"/>
    <w:lsdException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4">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16">
    <w:name w:val="Default Paragraph Font"/>
    <w:semiHidden/>
    <w:qFormat/>
    <w:uiPriority w:val="0"/>
  </w:style>
  <w:style w:type="table" w:default="1" w:styleId="15">
    <w:name w:val="Normal Table"/>
    <w:semiHidden/>
    <w:qFormat/>
    <w:uiPriority w:val="0"/>
    <w:tblPr>
      <w:tblCellMar>
        <w:top w:w="0" w:type="dxa"/>
        <w:left w:w="108" w:type="dxa"/>
        <w:bottom w:w="0" w:type="dxa"/>
        <w:right w:w="108" w:type="dxa"/>
      </w:tblCellMar>
    </w:tblPr>
  </w:style>
  <w:style w:type="paragraph" w:styleId="5">
    <w:name w:val="Body Text"/>
    <w:basedOn w:val="1"/>
    <w:qFormat/>
    <w:uiPriority w:val="0"/>
    <w:rPr>
      <w:rFonts w:ascii="仿宋_GB2312" w:eastAsia="仿宋_GB2312"/>
      <w:sz w:val="32"/>
    </w:rPr>
  </w:style>
  <w:style w:type="paragraph" w:styleId="6">
    <w:name w:val="toc 3"/>
    <w:basedOn w:val="1"/>
    <w:next w:val="1"/>
    <w:uiPriority w:val="39"/>
    <w:pPr>
      <w:ind w:left="840" w:leftChars="400"/>
    </w:pPr>
  </w:style>
  <w:style w:type="paragraph" w:styleId="7">
    <w:name w:val="Plain Text"/>
    <w:basedOn w:val="1"/>
    <w:qFormat/>
    <w:uiPriority w:val="0"/>
    <w:rPr>
      <w:rFonts w:ascii="宋体" w:hAnsi="Courier New"/>
      <w:sz w:val="21"/>
    </w:rPr>
  </w:style>
  <w:style w:type="paragraph" w:styleId="8">
    <w:name w:val="Date"/>
    <w:basedOn w:val="1"/>
    <w:next w:val="1"/>
    <w:uiPriority w:val="0"/>
  </w:style>
  <w:style w:type="paragraph" w:styleId="9">
    <w:name w:val="Body Text Indent 2"/>
    <w:basedOn w:val="1"/>
    <w:qFormat/>
    <w:uiPriority w:val="0"/>
    <w:pPr>
      <w:snapToGrid w:val="0"/>
      <w:spacing w:line="560" w:lineRule="atLeast"/>
      <w:ind w:firstLine="540"/>
    </w:pPr>
  </w:style>
  <w:style w:type="paragraph" w:styleId="10">
    <w:name w:val="footer"/>
    <w:basedOn w:val="1"/>
    <w:next w:val="11"/>
    <w:qFormat/>
    <w:uiPriority w:val="0"/>
    <w:pPr>
      <w:tabs>
        <w:tab w:val="center" w:pos="4153"/>
        <w:tab w:val="right" w:pos="8306"/>
      </w:tabs>
      <w:snapToGrid w:val="0"/>
      <w:jc w:val="left"/>
    </w:pPr>
    <w:rPr>
      <w:sz w:val="18"/>
    </w:rPr>
  </w:style>
  <w:style w:type="paragraph" w:customStyle="1" w:styleId="11">
    <w:name w:val="索引 51"/>
    <w:basedOn w:val="1"/>
    <w:next w:val="1"/>
    <w:qFormat/>
    <w:uiPriority w:val="0"/>
    <w:pPr>
      <w:ind w:left="1680"/>
    </w:pPr>
  </w:style>
  <w:style w:type="paragraph" w:styleId="12">
    <w:name w:val="header"/>
    <w:basedOn w:val="1"/>
    <w:qFormat/>
    <w:uiPriority w:val="0"/>
    <w:pPr>
      <w:pBdr>
        <w:bottom w:val="single" w:color="auto" w:sz="6" w:space="1"/>
      </w:pBdr>
      <w:tabs>
        <w:tab w:val="center" w:pos="4153"/>
        <w:tab w:val="right" w:pos="8306"/>
      </w:tabs>
      <w:snapToGrid w:val="0"/>
      <w:jc w:val="center"/>
    </w:pPr>
    <w:rPr>
      <w:sz w:val="18"/>
    </w:rPr>
  </w:style>
  <w:style w:type="paragraph" w:styleId="13">
    <w:name w:val="toc 2"/>
    <w:basedOn w:val="1"/>
    <w:next w:val="1"/>
    <w:uiPriority w:val="39"/>
    <w:pPr>
      <w:ind w:left="420" w:leftChars="200"/>
    </w:pPr>
  </w:style>
  <w:style w:type="paragraph" w:styleId="14">
    <w:name w:val="Normal (Web)"/>
    <w:basedOn w:val="1"/>
    <w:uiPriority w:val="0"/>
    <w:pPr>
      <w:widowControl/>
      <w:spacing w:before="100" w:beforeLines="0" w:beforeAutospacing="1" w:after="100" w:afterLines="0" w:afterAutospacing="1"/>
      <w:jc w:val="left"/>
    </w:pPr>
    <w:rPr>
      <w:rFonts w:ascii="宋体" w:hAnsi="宋体"/>
      <w:kern w:val="0"/>
      <w:sz w:val="24"/>
    </w:rPr>
  </w:style>
  <w:style w:type="character" w:styleId="17">
    <w:name w:val="Strong"/>
    <w:basedOn w:val="16"/>
    <w:qFormat/>
    <w:uiPriority w:val="0"/>
    <w:rPr>
      <w:b/>
    </w:rPr>
  </w:style>
  <w:style w:type="character" w:styleId="18">
    <w:name w:val="page number"/>
    <w:basedOn w:val="16"/>
    <w:qFormat/>
    <w:uiPriority w:val="0"/>
  </w:style>
  <w:style w:type="paragraph" w:customStyle="1" w:styleId="19">
    <w:name w:val="1"/>
    <w:basedOn w:val="1"/>
    <w:next w:val="7"/>
    <w:qFormat/>
    <w:uiPriority w:val="0"/>
    <w:rPr>
      <w:rFonts w:ascii="宋体" w:hAnsi="Courier New"/>
      <w:sz w:val="21"/>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header" Target="header3.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40</Pages>
  <Words>1243</Words>
  <Characters>1311</Characters>
  <Lines>0</Lines>
  <Paragraphs>0</Paragraphs>
  <TotalTime>0</TotalTime>
  <ScaleCrop>false</ScaleCrop>
  <LinksUpToDate>false</LinksUpToDate>
  <CharactersWithSpaces>1380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2025-10-14T00:15:00Z</dcterms:created>
  <dc:creator>WPS_1478610647</dc:creator>
  <cp:lastModifiedBy>杜幽桥</cp:lastModifiedBy>
  <dcterms:modified xsi:type="dcterms:W3CDTF">2026-05-08T02:31:12Z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B7D607C585EA4A8AB2FF28A1908747BD_11</vt:lpwstr>
  </property>
  <property fmtid="{D5CDD505-2E9C-101B-9397-08002B2CF9AE}" pid="4" name="KSOTemplateDocerSaveRecord">
    <vt:lpwstr>eyJoZGlkIjoiMTE3YmZmMjM5NmI0ZGZkNDU1Mzk4NzUzYzMxNTBhZGIiLCJ1c2VySWQiOiIxNjU0MDI5MjYzIn0=</vt:lpwstr>
  </property>
</Properties>
</file>