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81C13E">
      <w:pPr>
        <w:pStyle w:val="4"/>
        <w:keepNext w:val="0"/>
        <w:keepLines w:val="0"/>
        <w:pageBreakBefore w:val="0"/>
        <w:widowControl w:val="0"/>
        <w:kinsoku/>
        <w:wordWrap/>
        <w:overflowPunct/>
        <w:topLinePunct w:val="0"/>
        <w:autoSpaceDE/>
        <w:autoSpaceDN/>
        <w:bidi w:val="0"/>
        <w:adjustRightInd/>
        <w:snapToGrid/>
        <w:spacing w:beforeAutospacing="0" w:afterAutospacing="0" w:line="500" w:lineRule="exact"/>
        <w:jc w:val="center"/>
        <w:textAlignment w:val="auto"/>
      </w:pPr>
      <w:r>
        <w:t>关于《</w:t>
      </w:r>
      <w:r>
        <w:rPr>
          <w:rFonts w:hint="eastAsia"/>
          <w:lang w:eastAsia="zh-CN"/>
        </w:rPr>
        <w:t>文旅集团职工食堂劳务外包服务</w:t>
      </w:r>
      <w:r>
        <w:t>采购项目》</w:t>
      </w:r>
    </w:p>
    <w:p w14:paraId="253AB436">
      <w:pPr>
        <w:pStyle w:val="4"/>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482" w:firstLineChars="100"/>
        <w:jc w:val="both"/>
        <w:textAlignment w:val="auto"/>
      </w:pPr>
      <w:r>
        <w:t>公平竞争审查公开征求意见的通告</w:t>
      </w:r>
    </w:p>
    <w:p w14:paraId="4910A341">
      <w:pPr>
        <w:rPr>
          <w:rFonts w:hint="default"/>
          <w:lang w:val="en-US" w:eastAsia="zh-CN"/>
        </w:rPr>
      </w:pPr>
    </w:p>
    <w:p w14:paraId="33F5F415">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为贯彻落实《反垄断法》《公平竞争审查条例》等法律法规要求，构建统一开放、竞争有序的政府采购市场体系，保障各类市场主体平等参与市场竞争的权利，我单位组织开展《文旅集团职工食堂劳务外包服务采购项目》（以下简称“本项目”）的公平竞争审查工作。根据《关于推进落实工程建设项目招标投标和采购领域公平竞争审查程序的通知》（大足双反办〔2025〕11号）等相关要求，现就本项目公平竞争审查有关内容向社会公开征求意见。有关事项通告如下：</w:t>
      </w:r>
    </w:p>
    <w:p w14:paraId="701288EF">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2" w:firstLineChars="200"/>
        <w:textAlignment w:val="auto"/>
        <w:rPr>
          <w:rFonts w:hint="eastAsia" w:ascii="仿宋" w:hAnsi="仿宋" w:eastAsia="仿宋" w:cs="仿宋"/>
          <w:b/>
          <w:bCs/>
          <w:sz w:val="30"/>
          <w:szCs w:val="30"/>
        </w:rPr>
      </w:pPr>
      <w:r>
        <w:rPr>
          <w:rFonts w:hint="eastAsia" w:ascii="仿宋" w:hAnsi="仿宋" w:eastAsia="仿宋" w:cs="仿宋"/>
          <w:b/>
          <w:bCs/>
          <w:sz w:val="30"/>
          <w:szCs w:val="30"/>
        </w:rPr>
        <w:t>一、项目基本情况</w:t>
      </w:r>
    </w:p>
    <w:p w14:paraId="01BA545D">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项目名称：</w:t>
      </w:r>
      <w:r>
        <w:rPr>
          <w:rFonts w:hint="eastAsia" w:ascii="仿宋" w:hAnsi="仿宋" w:eastAsia="仿宋" w:cs="仿宋"/>
          <w:sz w:val="30"/>
          <w:szCs w:val="30"/>
          <w:lang w:eastAsia="zh-CN"/>
        </w:rPr>
        <w:t>文旅集团职工食堂劳务外包服务</w:t>
      </w:r>
    </w:p>
    <w:p w14:paraId="69DF1DC8">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eastAsia="zh-CN"/>
        </w:rPr>
        <w:t>招标单位</w:t>
      </w:r>
      <w:r>
        <w:rPr>
          <w:rFonts w:hint="eastAsia" w:ascii="仿宋" w:hAnsi="仿宋" w:eastAsia="仿宋" w:cs="仿宋"/>
          <w:sz w:val="30"/>
          <w:szCs w:val="30"/>
        </w:rPr>
        <w:t>：</w:t>
      </w:r>
      <w:r>
        <w:rPr>
          <w:rFonts w:hint="eastAsia" w:ascii="仿宋" w:hAnsi="仿宋" w:eastAsia="仿宋" w:cs="仿宋"/>
          <w:sz w:val="30"/>
          <w:szCs w:val="30"/>
          <w:lang w:eastAsia="zh-CN"/>
        </w:rPr>
        <w:t>重庆大足石刻国际文化旅游集团有限公司</w:t>
      </w:r>
    </w:p>
    <w:p w14:paraId="6C9308D9">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default" w:ascii="仿宋" w:hAnsi="仿宋" w:eastAsia="仿宋" w:cs="仿宋"/>
          <w:sz w:val="30"/>
          <w:szCs w:val="30"/>
          <w:lang w:eastAsia="zh-CN"/>
          <w:woUserID w:val="1"/>
        </w:rPr>
        <w:t>招标公告</w:t>
      </w:r>
      <w:r>
        <w:rPr>
          <w:rFonts w:hint="eastAsia" w:ascii="仿宋" w:hAnsi="仿宋" w:eastAsia="仿宋" w:cs="仿宋"/>
          <w:sz w:val="30"/>
          <w:szCs w:val="30"/>
          <w:lang w:eastAsia="zh-CN"/>
        </w:rPr>
        <w:t>主要</w:t>
      </w:r>
      <w:r>
        <w:rPr>
          <w:rFonts w:hint="eastAsia" w:ascii="仿宋" w:hAnsi="仿宋" w:eastAsia="仿宋" w:cs="仿宋"/>
          <w:sz w:val="30"/>
          <w:szCs w:val="30"/>
        </w:rPr>
        <w:t>内容：</w:t>
      </w:r>
      <w:r>
        <w:rPr>
          <w:rFonts w:hint="eastAsia" w:ascii="仿宋" w:hAnsi="仿宋" w:eastAsia="仿宋" w:cs="仿宋"/>
          <w:sz w:val="30"/>
          <w:szCs w:val="30"/>
          <w:lang w:val="en-US" w:eastAsia="zh-CN"/>
        </w:rPr>
        <w:t>全天候提供餐饮保障和服务；</w:t>
      </w:r>
    </w:p>
    <w:p w14:paraId="1FEFCCAF">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项目制定依据：</w:t>
      </w:r>
      <w:r>
        <w:rPr>
          <w:rFonts w:hint="eastAsia" w:ascii="仿宋" w:hAnsi="仿宋" w:eastAsia="仿宋" w:cs="仿宋"/>
          <w:sz w:val="30"/>
          <w:szCs w:val="30"/>
          <w:highlight w:val="none"/>
          <w:shd w:val="clear" w:color="auto" w:fill="auto"/>
          <w:lang w:val="en-US" w:eastAsia="zh-CN"/>
        </w:rPr>
        <w:t>文旅集团党委会纪要</w:t>
      </w:r>
      <w:r>
        <w:rPr>
          <w:rFonts w:ascii="方正仿宋_GBK" w:hAnsi="方正仿宋_GBK" w:eastAsia="方正仿宋_GBK" w:cs="方正仿宋_GBK"/>
          <w:color w:val="000000"/>
          <w:kern w:val="0"/>
          <w:sz w:val="31"/>
          <w:szCs w:val="31"/>
          <w:highlight w:val="none"/>
          <w:shd w:val="clear" w:color="auto" w:fill="auto"/>
          <w:lang w:val="en-US" w:eastAsia="zh-CN" w:bidi="ar"/>
        </w:rPr>
        <w:t>〔</w:t>
      </w:r>
      <w:r>
        <w:rPr>
          <w:rFonts w:hint="default" w:ascii="Times New Roman" w:hAnsi="Times New Roman" w:eastAsia="宋体" w:cs="Times New Roman"/>
          <w:color w:val="000000"/>
          <w:kern w:val="0"/>
          <w:sz w:val="31"/>
          <w:szCs w:val="31"/>
          <w:highlight w:val="none"/>
          <w:shd w:val="clear" w:color="auto" w:fill="auto"/>
          <w:lang w:val="en-US" w:eastAsia="zh-CN" w:bidi="ar"/>
        </w:rPr>
        <w:t>2026</w:t>
      </w:r>
      <w:r>
        <w:rPr>
          <w:rFonts w:hint="eastAsia" w:ascii="方正仿宋_GBK" w:hAnsi="方正仿宋_GBK" w:eastAsia="方正仿宋_GBK" w:cs="方正仿宋_GBK"/>
          <w:color w:val="000000"/>
          <w:kern w:val="0"/>
          <w:sz w:val="31"/>
          <w:szCs w:val="31"/>
          <w:highlight w:val="none"/>
          <w:shd w:val="clear" w:color="auto" w:fill="auto"/>
          <w:lang w:val="en-US" w:eastAsia="zh-CN" w:bidi="ar"/>
        </w:rPr>
        <w:t>〕第 6 期</w:t>
      </w:r>
    </w:p>
    <w:p w14:paraId="4CDACFDD">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2" w:firstLineChars="200"/>
        <w:textAlignment w:val="auto"/>
        <w:rPr>
          <w:rFonts w:hint="eastAsia" w:ascii="仿宋" w:hAnsi="仿宋" w:eastAsia="仿宋" w:cs="仿宋"/>
          <w:b/>
          <w:bCs/>
          <w:sz w:val="30"/>
          <w:szCs w:val="30"/>
        </w:rPr>
      </w:pPr>
      <w:r>
        <w:rPr>
          <w:rFonts w:hint="eastAsia" w:ascii="仿宋" w:hAnsi="仿宋" w:eastAsia="仿宋" w:cs="仿宋"/>
          <w:b/>
          <w:bCs/>
          <w:sz w:val="30"/>
          <w:szCs w:val="30"/>
        </w:rPr>
        <w:t>二、公平竞争审查重点内容</w:t>
      </w:r>
    </w:p>
    <w:p w14:paraId="7F14E150">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根据公平竞争审查相关标准，本次重点审查以下内容是否存在排除、限制市场竞争情形：</w:t>
      </w:r>
    </w:p>
    <w:p w14:paraId="3825F690">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1、是否以供应商的所有制形式、组织形式或者股权结构为由，实施差别待遇或歧视待遇；</w:t>
      </w:r>
    </w:p>
    <w:p w14:paraId="17C1F99D">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w:t>
      </w:r>
      <w:r>
        <w:rPr>
          <w:rFonts w:hint="default" w:ascii="仿宋" w:hAnsi="仿宋" w:eastAsia="仿宋" w:cs="仿宋"/>
          <w:sz w:val="30"/>
          <w:szCs w:val="30"/>
          <w:lang w:val="en-US" w:eastAsia="zh-CN"/>
        </w:rPr>
        <w:t>是否通过设置备选库、名录库、资格库等入围方式，变相限制供应商进入市场；</w:t>
      </w:r>
    </w:p>
    <w:p w14:paraId="067A1EA1">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w:t>
      </w:r>
      <w:r>
        <w:rPr>
          <w:rFonts w:hint="default" w:ascii="仿宋" w:hAnsi="仿宋" w:eastAsia="仿宋" w:cs="仿宋"/>
          <w:sz w:val="30"/>
          <w:szCs w:val="30"/>
          <w:lang w:val="en-US" w:eastAsia="zh-CN"/>
        </w:rPr>
        <w:t>是否要求供应商设立分支机构、满足特定规模或成立年限等不合理门槛；</w:t>
      </w:r>
    </w:p>
    <w:p w14:paraId="5C3CCAFE">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4、</w:t>
      </w:r>
      <w:r>
        <w:rPr>
          <w:rFonts w:hint="default" w:ascii="仿宋" w:hAnsi="仿宋" w:eastAsia="仿宋" w:cs="仿宋"/>
          <w:sz w:val="30"/>
          <w:szCs w:val="30"/>
          <w:lang w:val="en-US" w:eastAsia="zh-CN"/>
        </w:rPr>
        <w:t>是否强制要求供应商购买指定</w:t>
      </w:r>
      <w:r>
        <w:rPr>
          <w:rFonts w:hint="eastAsia" w:ascii="仿宋" w:hAnsi="仿宋" w:eastAsia="仿宋" w:cs="仿宋"/>
          <w:sz w:val="30"/>
          <w:szCs w:val="30"/>
          <w:lang w:val="en-US" w:eastAsia="zh-CN"/>
        </w:rPr>
        <w:t>品牌</w:t>
      </w:r>
      <w:r>
        <w:rPr>
          <w:rFonts w:hint="default" w:ascii="仿宋" w:hAnsi="仿宋" w:eastAsia="仿宋" w:cs="仿宋"/>
          <w:sz w:val="30"/>
          <w:szCs w:val="30"/>
          <w:lang w:val="en-US" w:eastAsia="zh-CN"/>
        </w:rPr>
        <w:t>或接受其他附加条件作为参与投标的前提；</w:t>
      </w:r>
    </w:p>
    <w:p w14:paraId="388656EB">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5、</w:t>
      </w:r>
      <w:r>
        <w:rPr>
          <w:rFonts w:hint="default" w:ascii="仿宋" w:hAnsi="仿宋" w:eastAsia="仿宋" w:cs="仿宋"/>
          <w:sz w:val="30"/>
          <w:szCs w:val="30"/>
          <w:lang w:val="en-US" w:eastAsia="zh-CN"/>
        </w:rPr>
        <w:t>是否存在不依法及时、完整公开采购信息，妨碍供应商参与竞争的情况；</w:t>
      </w:r>
    </w:p>
    <w:p w14:paraId="74F8E861">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6、</w:t>
      </w:r>
      <w:r>
        <w:rPr>
          <w:rFonts w:hint="default" w:ascii="仿宋" w:hAnsi="仿宋" w:eastAsia="仿宋" w:cs="仿宋"/>
          <w:sz w:val="30"/>
          <w:szCs w:val="30"/>
          <w:lang w:val="en-US" w:eastAsia="zh-CN"/>
        </w:rPr>
        <w:t>是否设置无法律法规依据的审批、备案或收费事项；</w:t>
      </w:r>
    </w:p>
    <w:p w14:paraId="6735BBC8">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7、</w:t>
      </w:r>
      <w:r>
        <w:rPr>
          <w:rFonts w:hint="default" w:ascii="仿宋" w:hAnsi="仿宋" w:eastAsia="仿宋" w:cs="仿宋"/>
          <w:sz w:val="30"/>
          <w:szCs w:val="30"/>
          <w:lang w:val="en-US" w:eastAsia="zh-CN"/>
        </w:rPr>
        <w:t>其他可能妨碍公平竞争的情形。</w:t>
      </w:r>
      <w:r>
        <w:rPr>
          <w:rFonts w:hint="eastAsia" w:ascii="仿宋" w:hAnsi="仿宋" w:eastAsia="仿宋" w:cs="仿宋"/>
          <w:sz w:val="30"/>
          <w:szCs w:val="30"/>
          <w:lang w:val="en-US" w:eastAsia="zh-CN"/>
        </w:rPr>
        <w:t xml:space="preserve">                        </w:t>
      </w:r>
    </w:p>
    <w:p w14:paraId="53282643">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2" w:firstLineChars="200"/>
        <w:textAlignment w:val="auto"/>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三、意见反馈方式及期限</w:t>
      </w:r>
    </w:p>
    <w:p w14:paraId="138E2475">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（一）反馈途径</w:t>
      </w:r>
    </w:p>
    <w:p w14:paraId="0EC8769A">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1、</w:t>
      </w:r>
      <w:r>
        <w:rPr>
          <w:rFonts w:hint="eastAsia" w:ascii="仿宋" w:hAnsi="仿宋" w:eastAsia="仿宋" w:cs="仿宋"/>
          <w:sz w:val="30"/>
          <w:szCs w:val="30"/>
        </w:rPr>
        <w:t>电子邮件：发送至[</w:t>
      </w:r>
      <w:r>
        <w:rPr>
          <w:rFonts w:hint="eastAsia" w:ascii="仿宋" w:hAnsi="仿宋" w:eastAsia="仿宋" w:cs="仿宋"/>
          <w:sz w:val="30"/>
          <w:szCs w:val="30"/>
          <w:lang w:val="en-US" w:eastAsia="zh-CN"/>
        </w:rPr>
        <w:t>3022181286@qq.com</w:t>
      </w:r>
      <w:r>
        <w:rPr>
          <w:rFonts w:hint="eastAsia" w:ascii="仿宋" w:hAnsi="仿宋" w:eastAsia="仿宋" w:cs="仿宋"/>
          <w:sz w:val="30"/>
          <w:szCs w:val="30"/>
        </w:rPr>
        <w:t>]，邮件主题请注明“《</w:t>
      </w:r>
      <w:r>
        <w:rPr>
          <w:rFonts w:hint="eastAsia" w:ascii="仿宋" w:hAnsi="仿宋" w:eastAsia="仿宋" w:cs="仿宋"/>
          <w:sz w:val="30"/>
          <w:szCs w:val="30"/>
          <w:lang w:val="en-US" w:eastAsia="zh-CN"/>
        </w:rPr>
        <w:t>文旅集团职工食堂劳务外包服务</w:t>
      </w:r>
      <w:r>
        <w:rPr>
          <w:rFonts w:hint="eastAsia" w:ascii="仿宋" w:hAnsi="仿宋" w:eastAsia="仿宋" w:cs="仿宋"/>
          <w:sz w:val="30"/>
          <w:szCs w:val="30"/>
        </w:rPr>
        <w:t>采购项目》公平竞争审查反馈意见”。</w:t>
      </w:r>
    </w:p>
    <w:p w14:paraId="3C6BA627">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2、</w:t>
      </w:r>
      <w:r>
        <w:rPr>
          <w:rFonts w:hint="eastAsia" w:ascii="仿宋" w:hAnsi="仿宋" w:eastAsia="仿宋" w:cs="仿宋"/>
          <w:sz w:val="30"/>
          <w:szCs w:val="30"/>
        </w:rPr>
        <w:t>信函邮寄：寄送至[重庆市大足区棠香街道大铜路污水处理厂内]，收件人：[</w:t>
      </w:r>
      <w:r>
        <w:rPr>
          <w:rFonts w:hint="eastAsia" w:ascii="仿宋" w:hAnsi="仿宋" w:eastAsia="仿宋" w:cs="仿宋"/>
          <w:sz w:val="30"/>
          <w:szCs w:val="30"/>
          <w:lang w:eastAsia="zh-CN"/>
        </w:rPr>
        <w:t>杜幽桥</w:t>
      </w:r>
      <w:r>
        <w:rPr>
          <w:rFonts w:hint="eastAsia" w:ascii="仿宋" w:hAnsi="仿宋" w:eastAsia="仿宋" w:cs="仿宋"/>
          <w:sz w:val="30"/>
          <w:szCs w:val="30"/>
        </w:rPr>
        <w:t>]，邮政编码：[</w:t>
      </w:r>
      <w:r>
        <w:rPr>
          <w:rFonts w:hint="eastAsia" w:ascii="仿宋" w:hAnsi="仿宋" w:eastAsia="仿宋" w:cs="仿宋"/>
          <w:sz w:val="30"/>
          <w:szCs w:val="30"/>
          <w:lang w:val="en-US" w:eastAsia="zh-CN"/>
        </w:rPr>
        <w:t>402360</w:t>
      </w:r>
      <w:r>
        <w:rPr>
          <w:rFonts w:hint="eastAsia" w:ascii="仿宋" w:hAnsi="仿宋" w:eastAsia="仿宋" w:cs="仿宋"/>
          <w:sz w:val="30"/>
          <w:szCs w:val="30"/>
        </w:rPr>
        <w:t>]，信封上请注明 “《</w:t>
      </w:r>
      <w:r>
        <w:rPr>
          <w:rFonts w:hint="eastAsia" w:ascii="仿宋" w:hAnsi="仿宋" w:eastAsia="仿宋" w:cs="仿宋"/>
          <w:sz w:val="30"/>
          <w:szCs w:val="30"/>
          <w:lang w:val="en-US" w:eastAsia="zh-CN"/>
        </w:rPr>
        <w:t>文旅集团职工食堂劳务外包服务</w:t>
      </w:r>
      <w:r>
        <w:rPr>
          <w:rFonts w:hint="eastAsia" w:ascii="仿宋" w:hAnsi="仿宋" w:eastAsia="仿宋" w:cs="仿宋"/>
          <w:sz w:val="30"/>
          <w:szCs w:val="30"/>
        </w:rPr>
        <w:t>采购项目》公平竞争审查反馈意见”字样。</w:t>
      </w:r>
    </w:p>
    <w:p w14:paraId="0DF49499">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3、</w:t>
      </w:r>
      <w:r>
        <w:rPr>
          <w:rFonts w:hint="eastAsia" w:ascii="仿宋" w:hAnsi="仿宋" w:eastAsia="仿宋" w:cs="仿宋"/>
          <w:sz w:val="30"/>
          <w:szCs w:val="30"/>
        </w:rPr>
        <w:t>现场提交：地址：[重庆市大足区棠香街道大铜路污水处理厂内]，联系电话：[</w:t>
      </w:r>
      <w:r>
        <w:rPr>
          <w:rFonts w:hint="eastAsia" w:ascii="仿宋" w:hAnsi="仿宋" w:eastAsia="仿宋" w:cs="仿宋"/>
          <w:sz w:val="30"/>
          <w:szCs w:val="30"/>
          <w:lang w:val="en-US" w:eastAsia="zh-CN"/>
        </w:rPr>
        <w:t>15856060343</w:t>
      </w:r>
      <w:r>
        <w:rPr>
          <w:rFonts w:hint="eastAsia" w:ascii="仿宋" w:hAnsi="仿宋" w:eastAsia="仿宋" w:cs="仿宋"/>
          <w:sz w:val="30"/>
          <w:szCs w:val="30"/>
        </w:rPr>
        <w:t>]，提交时间：工作日9:00-11:30、14:00-17:00。</w:t>
      </w:r>
    </w:p>
    <w:p w14:paraId="76275B18">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（二）反馈期限</w:t>
      </w:r>
    </w:p>
    <w:p w14:paraId="60FC48E7">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highlight w:val="none"/>
        </w:rPr>
      </w:pPr>
      <w:r>
        <w:rPr>
          <w:rFonts w:hint="eastAsia" w:ascii="仿宋" w:hAnsi="仿宋" w:eastAsia="仿宋" w:cs="仿宋"/>
          <w:sz w:val="30"/>
          <w:szCs w:val="30"/>
          <w:lang w:val="en-US" w:eastAsia="zh-CN"/>
        </w:rPr>
        <w:t>本次公开征求意见期限为自本通告发布之日起7天内</w:t>
      </w:r>
      <w:r>
        <w:rPr>
          <w:rFonts w:hint="eastAsia" w:ascii="仿宋" w:hAnsi="仿宋" w:eastAsia="仿宋" w:cs="仿宋"/>
          <w:sz w:val="30"/>
          <w:szCs w:val="30"/>
          <w:highlight w:val="none"/>
          <w:lang w:val="en-US" w:eastAsia="zh-CN"/>
        </w:rPr>
        <w:t>，</w:t>
      </w:r>
      <w:r>
        <w:rPr>
          <w:rFonts w:hint="eastAsia" w:ascii="仿宋" w:hAnsi="仿宋" w:eastAsia="仿宋" w:cs="仿宋"/>
          <w:sz w:val="30"/>
          <w:szCs w:val="30"/>
          <w:highlight w:val="none"/>
          <w:lang w:eastAsia="zh-CN"/>
        </w:rPr>
        <w:t>于</w:t>
      </w:r>
      <w:r>
        <w:rPr>
          <w:rFonts w:hint="eastAsia" w:ascii="仿宋" w:hAnsi="仿宋" w:eastAsia="仿宋" w:cs="仿宋"/>
          <w:sz w:val="30"/>
          <w:szCs w:val="30"/>
          <w:highlight w:val="none"/>
          <w:lang w:val="en-US" w:eastAsia="zh-CN"/>
        </w:rPr>
        <w:t>2026</w:t>
      </w:r>
      <w:r>
        <w:rPr>
          <w:rFonts w:hint="eastAsia" w:ascii="仿宋" w:hAnsi="仿宋" w:eastAsia="仿宋" w:cs="仿宋"/>
          <w:sz w:val="30"/>
          <w:szCs w:val="30"/>
          <w:highlight w:val="none"/>
        </w:rPr>
        <w:t>年</w:t>
      </w:r>
      <w:r>
        <w:rPr>
          <w:rFonts w:hint="eastAsia" w:ascii="仿宋" w:hAnsi="仿宋" w:eastAsia="仿宋" w:cs="仿宋"/>
          <w:sz w:val="30"/>
          <w:szCs w:val="30"/>
          <w:highlight w:val="none"/>
          <w:lang w:val="en-US" w:eastAsia="zh-CN"/>
        </w:rPr>
        <w:t>5</w:t>
      </w:r>
      <w:r>
        <w:rPr>
          <w:rFonts w:hint="eastAsia" w:ascii="仿宋" w:hAnsi="仿宋" w:eastAsia="仿宋" w:cs="仿宋"/>
          <w:sz w:val="30"/>
          <w:szCs w:val="30"/>
          <w:highlight w:val="none"/>
        </w:rPr>
        <w:t>月</w:t>
      </w:r>
      <w:r>
        <w:rPr>
          <w:rFonts w:hint="eastAsia" w:ascii="仿宋" w:hAnsi="仿宋" w:eastAsia="仿宋" w:cs="仿宋"/>
          <w:sz w:val="30"/>
          <w:szCs w:val="30"/>
          <w:highlight w:val="none"/>
          <w:lang w:val="en-US" w:eastAsia="zh-CN"/>
        </w:rPr>
        <w:t>14</w:t>
      </w:r>
      <w:r>
        <w:rPr>
          <w:rFonts w:hint="eastAsia" w:ascii="仿宋" w:hAnsi="仿宋" w:eastAsia="仿宋" w:cs="仿宋"/>
          <w:sz w:val="30"/>
          <w:szCs w:val="30"/>
          <w:highlight w:val="none"/>
        </w:rPr>
        <w:t>日前</w:t>
      </w:r>
      <w:r>
        <w:rPr>
          <w:rFonts w:hint="eastAsia" w:ascii="仿宋" w:hAnsi="仿宋" w:eastAsia="仿宋" w:cs="仿宋"/>
          <w:sz w:val="30"/>
          <w:szCs w:val="30"/>
          <w:highlight w:val="none"/>
          <w:lang w:eastAsia="zh-CN"/>
        </w:rPr>
        <w:t>按</w:t>
      </w:r>
      <w:r>
        <w:rPr>
          <w:rFonts w:hint="default" w:ascii="仿宋" w:hAnsi="仿宋" w:eastAsia="仿宋" w:cs="仿宋"/>
          <w:sz w:val="30"/>
          <w:szCs w:val="30"/>
          <w:highlight w:val="none"/>
          <w:lang w:eastAsia="zh-CN"/>
          <w:woUserID w:val="2"/>
        </w:rPr>
        <w:t>上述</w:t>
      </w:r>
      <w:r>
        <w:rPr>
          <w:rFonts w:hint="eastAsia" w:ascii="仿宋" w:hAnsi="仿宋" w:eastAsia="仿宋" w:cs="仿宋"/>
          <w:sz w:val="30"/>
          <w:szCs w:val="30"/>
          <w:highlight w:val="none"/>
          <w:lang w:eastAsia="zh-CN"/>
        </w:rPr>
        <w:t>途径反馈。</w:t>
      </w:r>
    </w:p>
    <w:p w14:paraId="1BC6E9F7">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2" w:firstLineChars="200"/>
        <w:textAlignment w:val="auto"/>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四、其他事项</w:t>
      </w:r>
    </w:p>
    <w:p w14:paraId="0C71BEDB">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反馈意见需明确提出具体修改建议及理由，可附相关事实依据或政策支撑材料。</w:t>
      </w:r>
    </w:p>
    <w:p w14:paraId="7AA5ADDF">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为便于沟通交流，请在反馈意见中注明联系人姓名、单位（如适用）、联系电话及电子邮箱。</w:t>
      </w:r>
    </w:p>
    <w:p w14:paraId="4D86FC60">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我单位将对收到的意见建议进行汇总梳理和研究论证，对合理意见予以采纳，并在后续审查结论中说明意见采纳情况及理由。</w:t>
      </w:r>
    </w:p>
    <w:p w14:paraId="6FE03AAE">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有关本项目公平竞争审查的疑问，可致电[联系电话]咨询，咨询时间：工作日9:00-11:30、14:00-17:00。</w:t>
      </w:r>
    </w:p>
    <w:p w14:paraId="385DEC24">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2" w:firstLineChars="200"/>
        <w:textAlignment w:val="auto"/>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五、附件</w:t>
      </w:r>
    </w:p>
    <w:p w14:paraId="4A53E193">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900" w:firstLineChars="3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1、项目招标（采购）文件、招标（采购）公告；</w:t>
      </w:r>
    </w:p>
    <w:p w14:paraId="748690CE">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900" w:firstLineChars="3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2、</w:t>
      </w:r>
      <w:r>
        <w:rPr>
          <w:rFonts w:hint="eastAsia" w:ascii="仿宋" w:hAnsi="仿宋" w:eastAsia="仿宋" w:cs="仿宋"/>
          <w:sz w:val="30"/>
          <w:szCs w:val="30"/>
        </w:rPr>
        <w:t>项目制定依据：</w:t>
      </w:r>
      <w:r>
        <w:rPr>
          <w:rFonts w:hint="eastAsia" w:ascii="仿宋" w:hAnsi="仿宋" w:eastAsia="仿宋" w:cs="仿宋"/>
          <w:sz w:val="30"/>
          <w:szCs w:val="30"/>
          <w:highlight w:val="none"/>
          <w:lang w:val="en-US" w:eastAsia="zh-CN"/>
        </w:rPr>
        <w:t>文旅集团党委会纪要</w:t>
      </w:r>
      <w:r>
        <w:rPr>
          <w:rFonts w:ascii="方正仿宋_GBK" w:hAnsi="方正仿宋_GBK" w:eastAsia="方正仿宋_GBK" w:cs="方正仿宋_GBK"/>
          <w:color w:val="000000"/>
          <w:kern w:val="0"/>
          <w:sz w:val="31"/>
          <w:szCs w:val="31"/>
          <w:highlight w:val="none"/>
          <w:lang w:val="en-US" w:eastAsia="zh-CN" w:bidi="ar"/>
        </w:rPr>
        <w:t>〔</w:t>
      </w:r>
      <w:r>
        <w:rPr>
          <w:rFonts w:hint="default" w:ascii="Times New Roman" w:hAnsi="Times New Roman" w:eastAsia="宋体" w:cs="Times New Roman"/>
          <w:color w:val="000000"/>
          <w:kern w:val="0"/>
          <w:sz w:val="31"/>
          <w:szCs w:val="31"/>
          <w:highlight w:val="none"/>
          <w:lang w:val="en-US" w:eastAsia="zh-CN" w:bidi="ar"/>
        </w:rPr>
        <w:t>2</w:t>
      </w:r>
      <w:r>
        <w:rPr>
          <w:rFonts w:hint="default" w:ascii="Times New Roman" w:hAnsi="Times New Roman" w:eastAsia="宋体" w:cs="Times New Roman"/>
          <w:color w:val="000000"/>
          <w:kern w:val="0"/>
          <w:sz w:val="31"/>
          <w:szCs w:val="31"/>
          <w:lang w:val="en-US" w:eastAsia="zh-CN" w:bidi="ar"/>
        </w:rPr>
        <w:t>026</w:t>
      </w:r>
      <w:r>
        <w:rPr>
          <w:rFonts w:hint="eastAsia" w:ascii="方正仿宋_GBK" w:hAnsi="方正仿宋_GBK" w:eastAsia="方正仿宋_GBK" w:cs="方正仿宋_GBK"/>
          <w:color w:val="000000"/>
          <w:kern w:val="0"/>
          <w:sz w:val="31"/>
          <w:szCs w:val="31"/>
          <w:lang w:val="en-US" w:eastAsia="zh-CN" w:bidi="ar"/>
        </w:rPr>
        <w:t>〕第 6 期</w:t>
      </w:r>
    </w:p>
    <w:p w14:paraId="0106C522">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900" w:firstLineChars="300"/>
        <w:textAlignment w:val="auto"/>
        <w:rPr>
          <w:rFonts w:hint="eastAsia" w:ascii="仿宋" w:hAnsi="仿宋" w:eastAsia="仿宋" w:cs="仿宋"/>
          <w:sz w:val="30"/>
          <w:szCs w:val="30"/>
        </w:rPr>
      </w:pPr>
    </w:p>
    <w:p w14:paraId="3A25912E">
      <w:pPr>
        <w:keepNext w:val="0"/>
        <w:keepLines w:val="0"/>
        <w:pageBreakBefore w:val="0"/>
        <w:widowControl w:val="0"/>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30"/>
          <w:szCs w:val="30"/>
          <w:lang w:val="en-US" w:eastAsia="zh-CN"/>
        </w:rPr>
      </w:pPr>
    </w:p>
    <w:p w14:paraId="6ABF43AE">
      <w:pPr>
        <w:keepNext w:val="0"/>
        <w:keepLines w:val="0"/>
        <w:pageBreakBefore w:val="0"/>
        <w:widowControl w:val="0"/>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30"/>
          <w:szCs w:val="30"/>
          <w:lang w:val="en-US" w:eastAsia="zh-CN"/>
        </w:rPr>
      </w:pPr>
    </w:p>
    <w:p w14:paraId="6E34B134">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right"/>
        <w:textAlignment w:val="auto"/>
        <w:rPr>
          <w:rFonts w:hint="default" w:ascii="仿宋" w:hAnsi="仿宋" w:eastAsia="仿宋" w:cs="仿宋"/>
          <w:sz w:val="30"/>
          <w:szCs w:val="30"/>
          <w:woUserID w:val="2"/>
        </w:rPr>
      </w:pPr>
      <w:r>
        <w:rPr>
          <w:rFonts w:hint="default" w:ascii="仿宋" w:hAnsi="仿宋" w:eastAsia="仿宋" w:cs="仿宋"/>
          <w:sz w:val="30"/>
          <w:szCs w:val="30"/>
          <w:woUserID w:val="1"/>
        </w:rPr>
        <w:t xml:space="preserve">  </w:t>
      </w:r>
      <w:r>
        <w:rPr>
          <w:rFonts w:hint="default" w:ascii="仿宋" w:hAnsi="仿宋" w:eastAsia="仿宋" w:cs="仿宋"/>
          <w:sz w:val="30"/>
          <w:szCs w:val="30"/>
          <w:lang w:eastAsia="zh-CN"/>
          <w:woUserID w:val="1"/>
        </w:rPr>
        <w:t>重庆大足石刻国际文化旅游集团有限公司</w:t>
      </w:r>
      <w:r>
        <w:rPr>
          <w:rFonts w:hint="default" w:ascii="仿宋" w:hAnsi="仿宋" w:eastAsia="仿宋" w:cs="仿宋"/>
          <w:sz w:val="30"/>
          <w:szCs w:val="30"/>
          <w:woUserID w:val="1"/>
        </w:rPr>
        <w:t xml:space="preserve">                                      </w:t>
      </w:r>
      <w:r>
        <w:rPr>
          <w:rFonts w:hint="eastAsia" w:ascii="仿宋" w:hAnsi="仿宋" w:eastAsia="仿宋" w:cs="仿宋"/>
          <w:sz w:val="30"/>
          <w:szCs w:val="30"/>
          <w:lang w:val="en-US" w:eastAsia="zh-CN"/>
          <w:woUserID w:val="1"/>
        </w:rPr>
        <w:t>2026</w:t>
      </w:r>
      <w:r>
        <w:rPr>
          <w:rFonts w:hint="default" w:ascii="仿宋" w:hAnsi="仿宋" w:eastAsia="仿宋" w:cs="仿宋"/>
          <w:sz w:val="30"/>
          <w:szCs w:val="30"/>
          <w:woUserID w:val="1"/>
        </w:rPr>
        <w:t xml:space="preserve">年 </w:t>
      </w:r>
      <w:r>
        <w:rPr>
          <w:rFonts w:hint="eastAsia" w:ascii="仿宋" w:hAnsi="仿宋" w:eastAsia="仿宋" w:cs="仿宋"/>
          <w:sz w:val="30"/>
          <w:szCs w:val="30"/>
          <w:lang w:val="en-US" w:eastAsia="zh-CN"/>
          <w:woUserID w:val="1"/>
        </w:rPr>
        <w:t>5</w:t>
      </w:r>
      <w:r>
        <w:rPr>
          <w:rFonts w:hint="default" w:ascii="仿宋" w:hAnsi="仿宋" w:eastAsia="仿宋" w:cs="仿宋"/>
          <w:sz w:val="30"/>
          <w:szCs w:val="30"/>
          <w:woUserID w:val="1"/>
        </w:rPr>
        <w:t>月</w:t>
      </w:r>
      <w:r>
        <w:rPr>
          <w:rFonts w:hint="eastAsia" w:ascii="仿宋" w:hAnsi="仿宋" w:eastAsia="仿宋" w:cs="仿宋"/>
          <w:sz w:val="30"/>
          <w:szCs w:val="30"/>
          <w:lang w:val="en-US" w:eastAsia="zh-CN"/>
          <w:woUserID w:val="1"/>
        </w:rPr>
        <w:t>8</w:t>
      </w:r>
      <w:r>
        <w:rPr>
          <w:rFonts w:hint="default" w:ascii="仿宋" w:hAnsi="仿宋" w:eastAsia="仿宋" w:cs="仿宋"/>
          <w:sz w:val="30"/>
          <w:szCs w:val="30"/>
          <w:woUserID w:val="1"/>
        </w:rPr>
        <w:t xml:space="preserve"> 日</w:t>
      </w:r>
      <w:r>
        <w:rPr>
          <w:rFonts w:hint="default" w:ascii="仿宋" w:hAnsi="仿宋" w:eastAsia="仿宋" w:cs="仿宋"/>
          <w:sz w:val="30"/>
          <w:szCs w:val="30"/>
          <w:woUserID w:val="2"/>
        </w:rPr>
        <w:t xml:space="preserve">  </w:t>
      </w:r>
    </w:p>
    <w:p w14:paraId="46309631">
      <w:pPr>
        <w:pStyle w:val="3"/>
        <w:rPr>
          <w:rFonts w:hint="default" w:ascii="仿宋" w:hAnsi="仿宋" w:eastAsia="仿宋" w:cs="仿宋"/>
          <w:sz w:val="30"/>
          <w:szCs w:val="30"/>
          <w:woUserID w:val="2"/>
        </w:rPr>
      </w:pPr>
    </w:p>
    <w:p w14:paraId="38DAE59A">
      <w:pPr>
        <w:rPr>
          <w:rFonts w:hint="default" w:ascii="仿宋" w:hAnsi="仿宋" w:eastAsia="仿宋" w:cs="仿宋"/>
          <w:sz w:val="30"/>
          <w:szCs w:val="30"/>
          <w:woUserID w:val="2"/>
        </w:rPr>
      </w:pPr>
    </w:p>
    <w:p w14:paraId="3AA30E27">
      <w:pPr>
        <w:pStyle w:val="3"/>
        <w:rPr>
          <w:rFonts w:hint="default" w:ascii="仿宋" w:hAnsi="仿宋" w:eastAsia="仿宋" w:cs="仿宋"/>
          <w:sz w:val="30"/>
          <w:szCs w:val="30"/>
          <w:woUserID w:val="2"/>
        </w:rPr>
      </w:pPr>
    </w:p>
    <w:p w14:paraId="5E1FF540">
      <w:pPr>
        <w:rPr>
          <w:rFonts w:hint="default" w:ascii="仿宋" w:hAnsi="仿宋" w:eastAsia="仿宋" w:cs="仿宋"/>
          <w:sz w:val="30"/>
          <w:szCs w:val="30"/>
          <w:woUserID w:val="2"/>
        </w:rPr>
      </w:pPr>
    </w:p>
    <w:p w14:paraId="151011D8">
      <w:pPr>
        <w:pStyle w:val="3"/>
        <w:rPr>
          <w:rFonts w:hint="default" w:ascii="仿宋" w:hAnsi="仿宋" w:eastAsia="仿宋" w:cs="仿宋"/>
          <w:sz w:val="30"/>
          <w:szCs w:val="30"/>
          <w:woUserID w:val="2"/>
        </w:rPr>
      </w:pPr>
    </w:p>
    <w:p w14:paraId="3C509211">
      <w:pPr>
        <w:rPr>
          <w:rFonts w:hint="default" w:ascii="仿宋" w:hAnsi="仿宋" w:eastAsia="仿宋" w:cs="仿宋"/>
          <w:sz w:val="30"/>
          <w:szCs w:val="30"/>
          <w:woUserID w:val="2"/>
        </w:rPr>
      </w:pPr>
    </w:p>
    <w:p w14:paraId="758D1A93">
      <w:pPr>
        <w:pStyle w:val="3"/>
        <w:rPr>
          <w:rFonts w:hint="default" w:ascii="仿宋" w:hAnsi="仿宋" w:eastAsia="仿宋" w:cs="仿宋"/>
          <w:sz w:val="30"/>
          <w:szCs w:val="30"/>
          <w:woUserID w:val="2"/>
        </w:rPr>
      </w:pPr>
    </w:p>
    <w:p w14:paraId="0B02F346">
      <w:pPr>
        <w:rPr>
          <w:rFonts w:hint="default" w:ascii="仿宋" w:hAnsi="仿宋" w:eastAsia="仿宋" w:cs="仿宋"/>
          <w:sz w:val="30"/>
          <w:szCs w:val="30"/>
          <w:woUserID w:val="2"/>
        </w:rPr>
      </w:pPr>
    </w:p>
    <w:p w14:paraId="43B9735D">
      <w:pPr>
        <w:pStyle w:val="3"/>
        <w:rPr>
          <w:rFonts w:hint="default" w:ascii="仿宋" w:hAnsi="仿宋" w:eastAsia="仿宋" w:cs="仿宋"/>
          <w:sz w:val="30"/>
          <w:szCs w:val="30"/>
          <w:woUserID w:val="2"/>
        </w:rPr>
      </w:pPr>
    </w:p>
    <w:p w14:paraId="09D3BED6">
      <w:pPr>
        <w:rPr>
          <w:rFonts w:hint="default" w:ascii="仿宋" w:hAnsi="仿宋" w:eastAsia="仿宋" w:cs="仿宋"/>
          <w:sz w:val="30"/>
          <w:szCs w:val="30"/>
          <w:woUserID w:val="2"/>
        </w:rPr>
      </w:pPr>
    </w:p>
    <w:p w14:paraId="4928A429">
      <w:pPr>
        <w:pStyle w:val="3"/>
        <w:rPr>
          <w:rFonts w:hint="default" w:ascii="仿宋" w:hAnsi="仿宋" w:eastAsia="仿宋" w:cs="仿宋"/>
          <w:sz w:val="30"/>
          <w:szCs w:val="30"/>
          <w:woUserID w:val="2"/>
        </w:rPr>
      </w:pPr>
    </w:p>
    <w:p w14:paraId="16EECBEC">
      <w:pPr>
        <w:rPr>
          <w:rFonts w:hint="default" w:ascii="仿宋" w:hAnsi="仿宋" w:eastAsia="仿宋" w:cs="仿宋"/>
          <w:sz w:val="30"/>
          <w:szCs w:val="30"/>
          <w:woUserID w:val="2"/>
        </w:rPr>
      </w:pPr>
    </w:p>
    <w:p w14:paraId="66686FA6">
      <w:pPr>
        <w:pStyle w:val="3"/>
        <w:rPr>
          <w:rFonts w:hint="default" w:ascii="仿宋" w:hAnsi="仿宋" w:eastAsia="仿宋" w:cs="仿宋"/>
          <w:sz w:val="30"/>
          <w:szCs w:val="30"/>
          <w:woUserID w:val="2"/>
        </w:rPr>
      </w:pPr>
    </w:p>
    <w:p w14:paraId="1F3F4F29">
      <w:pPr>
        <w:rPr>
          <w:rFonts w:hint="default" w:ascii="仿宋" w:hAnsi="仿宋" w:eastAsia="仿宋" w:cs="仿宋"/>
          <w:sz w:val="30"/>
          <w:szCs w:val="30"/>
          <w:woUserID w:val="2"/>
        </w:rPr>
      </w:pPr>
    </w:p>
    <w:p w14:paraId="2697E4BB">
      <w:pPr>
        <w:pStyle w:val="3"/>
        <w:rPr>
          <w:rFonts w:hint="default" w:ascii="仿宋" w:hAnsi="仿宋" w:eastAsia="仿宋" w:cs="仿宋"/>
          <w:sz w:val="30"/>
          <w:szCs w:val="30"/>
          <w:woUserID w:val="2"/>
        </w:rPr>
      </w:pPr>
    </w:p>
    <w:p w14:paraId="0886DA01">
      <w:pPr>
        <w:rPr>
          <w:rFonts w:hint="default" w:ascii="仿宋" w:hAnsi="仿宋" w:eastAsia="仿宋" w:cs="仿宋"/>
          <w:sz w:val="30"/>
          <w:szCs w:val="30"/>
          <w:woUserID w:val="2"/>
        </w:rPr>
      </w:pPr>
    </w:p>
    <w:p w14:paraId="4E8D04CB">
      <w:pPr>
        <w:pStyle w:val="2"/>
        <w:rPr>
          <w:rFonts w:hint="default" w:ascii="仿宋" w:hAnsi="仿宋" w:eastAsia="仿宋" w:cs="仿宋"/>
          <w:sz w:val="30"/>
          <w:szCs w:val="30"/>
          <w:woUserID w:val="2"/>
        </w:rPr>
      </w:pPr>
    </w:p>
    <w:p w14:paraId="375DD1F5">
      <w:pPr>
        <w:rPr>
          <w:rFonts w:hint="default" w:ascii="仿宋" w:hAnsi="仿宋" w:eastAsia="仿宋" w:cs="仿宋"/>
          <w:sz w:val="30"/>
          <w:szCs w:val="30"/>
          <w:woUserID w:val="2"/>
        </w:rPr>
      </w:pPr>
    </w:p>
    <w:p w14:paraId="14AC8AB2">
      <w:pPr>
        <w:pStyle w:val="2"/>
        <w:rPr>
          <w:rFonts w:hint="default" w:ascii="仿宋" w:hAnsi="仿宋" w:eastAsia="仿宋" w:cs="仿宋"/>
          <w:sz w:val="30"/>
          <w:szCs w:val="30"/>
          <w:woUserID w:val="2"/>
        </w:rPr>
      </w:pPr>
    </w:p>
    <w:p w14:paraId="4A910A72">
      <w:pPr>
        <w:rPr>
          <w:rFonts w:hint="default" w:ascii="仿宋" w:hAnsi="仿宋" w:eastAsia="仿宋" w:cs="仿宋"/>
          <w:sz w:val="30"/>
          <w:szCs w:val="30"/>
          <w:woUserID w:val="2"/>
        </w:rPr>
      </w:pPr>
    </w:p>
    <w:p w14:paraId="5CDDA166">
      <w:pPr>
        <w:pStyle w:val="2"/>
        <w:rPr>
          <w:rFonts w:hint="default"/>
        </w:rPr>
      </w:pPr>
    </w:p>
    <w:p w14:paraId="45EDEEA7">
      <w:pPr>
        <w:rPr>
          <w:rFonts w:hint="eastAsia" w:ascii="仿宋" w:hAnsi="仿宋" w:eastAsia="仿宋" w:cs="仿宋"/>
          <w:color w:val="auto"/>
          <w:sz w:val="30"/>
          <w:szCs w:val="30"/>
          <w:lang w:val="en-US" w:eastAsia="zh-CN"/>
          <w:woUserID w:val="2"/>
        </w:rPr>
      </w:pPr>
    </w:p>
    <w:p w14:paraId="4C76D150">
      <w:pPr>
        <w:rPr>
          <w:rFonts w:hint="eastAsia" w:ascii="仿宋" w:hAnsi="仿宋" w:eastAsia="仿宋" w:cs="仿宋"/>
          <w:color w:val="auto"/>
          <w:sz w:val="30"/>
          <w:szCs w:val="30"/>
          <w:lang w:val="en-US" w:eastAsia="zh-CN"/>
          <w:woUserID w:val="2"/>
        </w:rPr>
      </w:pPr>
    </w:p>
    <w:p w14:paraId="6A24BA57">
      <w:pPr>
        <w:rPr>
          <w:rFonts w:hint="eastAsia" w:ascii="仿宋" w:hAnsi="仿宋" w:eastAsia="仿宋" w:cs="仿宋"/>
          <w:color w:val="auto"/>
          <w:sz w:val="30"/>
          <w:szCs w:val="30"/>
          <w:lang w:val="en-US" w:eastAsia="zh-CN"/>
          <w:woUserID w:val="2"/>
        </w:rPr>
      </w:pPr>
    </w:p>
    <w:p w14:paraId="0F411E44">
      <w:pPr>
        <w:rPr>
          <w:rFonts w:hint="eastAsia" w:ascii="仿宋" w:hAnsi="仿宋" w:eastAsia="仿宋" w:cs="仿宋"/>
          <w:color w:val="auto"/>
          <w:sz w:val="30"/>
          <w:szCs w:val="30"/>
          <w:lang w:val="en-US" w:eastAsia="zh-CN"/>
          <w:woUserID w:val="2"/>
        </w:rPr>
      </w:pPr>
    </w:p>
    <w:p w14:paraId="456E4245">
      <w:pPr>
        <w:rPr>
          <w:rFonts w:hint="eastAsia" w:ascii="仿宋" w:hAnsi="仿宋" w:eastAsia="仿宋" w:cs="仿宋"/>
          <w:color w:val="auto"/>
          <w:sz w:val="30"/>
          <w:szCs w:val="30"/>
          <w:lang w:val="en-US" w:eastAsia="zh-CN"/>
          <w:woUserID w:val="2"/>
        </w:rPr>
      </w:pPr>
    </w:p>
    <w:p w14:paraId="5F25713F">
      <w:pPr>
        <w:rPr>
          <w:rFonts w:hint="eastAsia" w:ascii="仿宋" w:hAnsi="仿宋" w:eastAsia="仿宋" w:cs="仿宋"/>
          <w:color w:val="auto"/>
          <w:sz w:val="30"/>
          <w:szCs w:val="30"/>
          <w:lang w:val="en-US" w:eastAsia="zh-CN"/>
          <w:woUserID w:val="2"/>
        </w:rPr>
      </w:pPr>
    </w:p>
    <w:p w14:paraId="2CFC52A4">
      <w:pPr>
        <w:rPr>
          <w:rFonts w:hint="eastAsia" w:ascii="仿宋" w:hAnsi="仿宋" w:eastAsia="仿宋" w:cs="仿宋"/>
          <w:color w:val="auto"/>
          <w:sz w:val="30"/>
          <w:szCs w:val="30"/>
          <w:lang w:val="en-US" w:eastAsia="zh-CN"/>
          <w:woUserID w:val="2"/>
        </w:rPr>
      </w:pPr>
    </w:p>
    <w:p w14:paraId="31F1FDC5">
      <w:pPr>
        <w:rPr>
          <w:rFonts w:hint="eastAsia" w:ascii="仿宋" w:hAnsi="仿宋" w:eastAsia="仿宋" w:cs="仿宋"/>
          <w:color w:val="auto"/>
          <w:sz w:val="30"/>
          <w:szCs w:val="30"/>
          <w:lang w:val="en-US" w:eastAsia="zh-CN"/>
          <w:woUserID w:val="2"/>
        </w:rPr>
      </w:pPr>
    </w:p>
    <w:p w14:paraId="5309344C">
      <w:pPr>
        <w:rPr>
          <w:rFonts w:hint="eastAsia" w:ascii="仿宋" w:hAnsi="仿宋" w:eastAsia="仿宋" w:cs="仿宋"/>
          <w:color w:val="auto"/>
          <w:sz w:val="30"/>
          <w:szCs w:val="30"/>
          <w:lang w:val="en-US" w:eastAsia="zh-CN"/>
          <w:woUserID w:val="2"/>
        </w:rPr>
      </w:pPr>
    </w:p>
    <w:p w14:paraId="6783961C">
      <w:pPr>
        <w:rPr>
          <w:rFonts w:hint="eastAsia" w:ascii="仿宋" w:hAnsi="仿宋" w:eastAsia="仿宋" w:cs="仿宋"/>
          <w:color w:val="auto"/>
          <w:sz w:val="30"/>
          <w:szCs w:val="30"/>
          <w:lang w:val="en-US" w:eastAsia="zh-CN"/>
          <w:woUserID w:val="2"/>
        </w:rPr>
      </w:pPr>
    </w:p>
    <w:p w14:paraId="6F5FD806">
      <w:pPr>
        <w:rPr>
          <w:rFonts w:hint="eastAsia" w:ascii="仿宋" w:hAnsi="仿宋" w:eastAsia="仿宋" w:cs="仿宋"/>
          <w:color w:val="auto"/>
          <w:sz w:val="30"/>
          <w:szCs w:val="30"/>
          <w:lang w:val="en-US" w:eastAsia="zh-CN"/>
          <w:woUserID w:val="2"/>
        </w:rPr>
      </w:pPr>
    </w:p>
    <w:p w14:paraId="3FB964D7">
      <w:pPr>
        <w:rPr>
          <w:rFonts w:hint="eastAsia" w:ascii="仿宋" w:hAnsi="仿宋" w:eastAsia="仿宋" w:cs="仿宋"/>
          <w:color w:val="auto"/>
          <w:sz w:val="30"/>
          <w:szCs w:val="30"/>
          <w:lang w:val="en-US" w:eastAsia="zh-CN"/>
          <w:woUserID w:val="2"/>
        </w:rPr>
      </w:pPr>
    </w:p>
    <w:p w14:paraId="7A5A5D94">
      <w:pPr>
        <w:rPr>
          <w:rFonts w:hint="eastAsia" w:ascii="仿宋" w:hAnsi="仿宋" w:eastAsia="仿宋" w:cs="仿宋"/>
          <w:color w:val="auto"/>
          <w:sz w:val="30"/>
          <w:szCs w:val="30"/>
          <w:lang w:val="en-US" w:eastAsia="zh-CN"/>
          <w:woUserID w:val="2"/>
        </w:rPr>
      </w:pPr>
      <w:r>
        <w:rPr>
          <w:rFonts w:hint="eastAsia" w:ascii="仿宋" w:hAnsi="仿宋" w:eastAsia="仿宋" w:cs="仿宋"/>
          <w:color w:val="auto"/>
          <w:sz w:val="30"/>
          <w:szCs w:val="30"/>
          <w:lang w:val="en-US" w:eastAsia="zh-CN"/>
          <w:woUserID w:val="2"/>
        </w:rPr>
        <w:t>附件1：</w:t>
      </w:r>
    </w:p>
    <w:p w14:paraId="42BCB9FB">
      <w:pPr>
        <w:suppressAutoHyphens/>
        <w:jc w:val="center"/>
        <w:rPr>
          <w:rFonts w:hint="eastAsia" w:ascii="仿宋" w:hAnsi="仿宋" w:eastAsia="仿宋" w:cs="仿宋"/>
          <w:b/>
          <w:bCs/>
          <w:color w:val="auto"/>
          <w:sz w:val="48"/>
          <w:szCs w:val="48"/>
          <w:highlight w:val="none"/>
          <w:lang w:eastAsia="zh-CN"/>
        </w:rPr>
      </w:pPr>
      <w:r>
        <w:rPr>
          <w:rFonts w:hint="eastAsia" w:ascii="仿宋" w:hAnsi="仿宋" w:eastAsia="仿宋" w:cs="仿宋"/>
          <w:b/>
          <w:bCs/>
          <w:color w:val="auto"/>
          <w:sz w:val="48"/>
          <w:szCs w:val="48"/>
          <w:highlight w:val="none"/>
          <w:lang w:eastAsia="zh-CN"/>
        </w:rPr>
        <w:t>项目名称：文旅集团职工食堂劳务外包服务</w:t>
      </w:r>
    </w:p>
    <w:p w14:paraId="22AFAFA1">
      <w:pPr>
        <w:spacing w:line="360" w:lineRule="auto"/>
        <w:jc w:val="center"/>
        <w:rPr>
          <w:rFonts w:hint="eastAsia" w:ascii="仿宋" w:hAnsi="仿宋" w:eastAsia="仿宋" w:cs="仿宋"/>
          <w:color w:val="auto"/>
          <w:sz w:val="22"/>
          <w:szCs w:val="16"/>
        </w:rPr>
      </w:pPr>
    </w:p>
    <w:p w14:paraId="1A1A2F7F">
      <w:pPr>
        <w:spacing w:line="360" w:lineRule="auto"/>
        <w:jc w:val="center"/>
        <w:rPr>
          <w:rFonts w:hint="eastAsia" w:ascii="仿宋" w:hAnsi="仿宋" w:eastAsia="仿宋" w:cs="仿宋"/>
          <w:color w:val="auto"/>
          <w:sz w:val="22"/>
          <w:szCs w:val="16"/>
        </w:rPr>
      </w:pPr>
    </w:p>
    <w:p w14:paraId="2D8D26A5">
      <w:pPr>
        <w:spacing w:line="360" w:lineRule="auto"/>
        <w:jc w:val="center"/>
        <w:outlineLvl w:val="0"/>
        <w:rPr>
          <w:rFonts w:hint="eastAsia" w:ascii="仿宋" w:hAnsi="仿宋" w:eastAsia="仿宋" w:cs="仿宋"/>
          <w:color w:val="auto"/>
          <w:spacing w:val="80"/>
          <w:sz w:val="72"/>
          <w:szCs w:val="72"/>
        </w:rPr>
      </w:pPr>
    </w:p>
    <w:p w14:paraId="5A0E2474">
      <w:pPr>
        <w:pStyle w:val="3"/>
        <w:rPr>
          <w:rFonts w:hint="eastAsia" w:ascii="仿宋" w:hAnsi="仿宋" w:eastAsia="仿宋" w:cs="仿宋"/>
          <w:color w:val="auto"/>
          <w:spacing w:val="80"/>
          <w:sz w:val="72"/>
          <w:szCs w:val="72"/>
        </w:rPr>
      </w:pPr>
    </w:p>
    <w:p w14:paraId="3A87B1DA">
      <w:pPr>
        <w:rPr>
          <w:rFonts w:hint="eastAsia"/>
          <w:color w:val="auto"/>
        </w:rPr>
      </w:pPr>
    </w:p>
    <w:p w14:paraId="658FE78F">
      <w:pPr>
        <w:pStyle w:val="3"/>
        <w:rPr>
          <w:rFonts w:hint="eastAsia" w:ascii="仿宋" w:hAnsi="仿宋" w:eastAsia="仿宋" w:cs="仿宋"/>
          <w:color w:val="auto"/>
        </w:rPr>
      </w:pPr>
    </w:p>
    <w:p w14:paraId="6EC5A474">
      <w:pPr>
        <w:spacing w:line="360" w:lineRule="auto"/>
        <w:jc w:val="center"/>
        <w:outlineLvl w:val="0"/>
        <w:rPr>
          <w:rFonts w:hint="eastAsia" w:ascii="仿宋" w:hAnsi="仿宋" w:eastAsia="仿宋" w:cs="仿宋"/>
          <w:b/>
          <w:bCs/>
          <w:color w:val="auto"/>
          <w:spacing w:val="80"/>
          <w:sz w:val="72"/>
          <w:szCs w:val="72"/>
        </w:rPr>
      </w:pPr>
      <w:r>
        <w:rPr>
          <w:rFonts w:hint="eastAsia" w:ascii="仿宋" w:hAnsi="仿宋" w:eastAsia="仿宋" w:cs="仿宋"/>
          <w:b/>
          <w:bCs/>
          <w:color w:val="auto"/>
          <w:spacing w:val="80"/>
          <w:sz w:val="72"/>
          <w:szCs w:val="72"/>
          <w:lang w:eastAsia="zh-CN"/>
        </w:rPr>
        <w:t>询比采购</w:t>
      </w:r>
      <w:r>
        <w:rPr>
          <w:rFonts w:hint="eastAsia" w:ascii="仿宋" w:hAnsi="仿宋" w:eastAsia="仿宋" w:cs="仿宋"/>
          <w:b/>
          <w:bCs/>
          <w:color w:val="auto"/>
          <w:spacing w:val="80"/>
          <w:sz w:val="72"/>
          <w:szCs w:val="72"/>
        </w:rPr>
        <w:t>文件</w:t>
      </w:r>
    </w:p>
    <w:p w14:paraId="046A25CC">
      <w:pPr>
        <w:spacing w:line="360" w:lineRule="auto"/>
        <w:jc w:val="center"/>
        <w:rPr>
          <w:rFonts w:hint="eastAsia" w:ascii="仿宋" w:hAnsi="仿宋" w:eastAsia="仿宋" w:cs="仿宋"/>
          <w:color w:val="auto"/>
          <w:sz w:val="24"/>
          <w:szCs w:val="16"/>
        </w:rPr>
      </w:pPr>
    </w:p>
    <w:p w14:paraId="7CE5E10F">
      <w:pPr>
        <w:spacing w:line="360" w:lineRule="auto"/>
        <w:rPr>
          <w:rFonts w:hint="eastAsia" w:ascii="仿宋" w:hAnsi="仿宋" w:eastAsia="仿宋" w:cs="仿宋"/>
          <w:color w:val="auto"/>
          <w:sz w:val="24"/>
          <w:szCs w:val="16"/>
        </w:rPr>
      </w:pPr>
    </w:p>
    <w:p w14:paraId="65CCB351">
      <w:pPr>
        <w:spacing w:line="360" w:lineRule="auto"/>
        <w:jc w:val="center"/>
        <w:rPr>
          <w:rFonts w:hint="eastAsia" w:ascii="仿宋" w:hAnsi="仿宋" w:eastAsia="仿宋" w:cs="仿宋"/>
          <w:color w:val="auto"/>
          <w:sz w:val="24"/>
          <w:szCs w:val="16"/>
        </w:rPr>
      </w:pPr>
    </w:p>
    <w:p w14:paraId="2A5B91EE">
      <w:pPr>
        <w:spacing w:line="360" w:lineRule="auto"/>
        <w:jc w:val="center"/>
        <w:rPr>
          <w:rFonts w:hint="eastAsia" w:ascii="仿宋" w:hAnsi="仿宋" w:eastAsia="仿宋" w:cs="仿宋"/>
          <w:color w:val="auto"/>
          <w:sz w:val="24"/>
          <w:szCs w:val="16"/>
        </w:rPr>
      </w:pPr>
    </w:p>
    <w:p w14:paraId="24944B9B">
      <w:pPr>
        <w:pStyle w:val="3"/>
        <w:spacing w:line="360" w:lineRule="auto"/>
        <w:rPr>
          <w:rFonts w:hint="eastAsia" w:ascii="仿宋" w:hAnsi="仿宋" w:eastAsia="仿宋" w:cs="仿宋"/>
          <w:color w:val="auto"/>
          <w:kern w:val="2"/>
          <w:sz w:val="28"/>
          <w:szCs w:val="24"/>
          <w:lang w:val="en-US" w:eastAsia="zh-CN" w:bidi="ar-SA"/>
        </w:rPr>
      </w:pPr>
      <w:r>
        <w:rPr>
          <w:rFonts w:hint="eastAsia" w:ascii="仿宋" w:hAnsi="仿宋" w:eastAsia="仿宋" w:cs="仿宋"/>
          <w:color w:val="auto"/>
        </w:rPr>
        <w:t xml:space="preserve"> </w:t>
      </w:r>
    </w:p>
    <w:p w14:paraId="20BC8271">
      <w:pPr>
        <w:spacing w:line="360" w:lineRule="auto"/>
        <w:ind w:firstLine="1360" w:firstLineChars="486"/>
        <w:rPr>
          <w:rFonts w:hint="eastAsia" w:ascii="仿宋" w:hAnsi="仿宋" w:eastAsia="仿宋" w:cs="仿宋"/>
          <w:color w:val="auto"/>
          <w:kern w:val="2"/>
          <w:sz w:val="28"/>
          <w:szCs w:val="24"/>
          <w:lang w:val="en-US" w:eastAsia="zh-CN" w:bidi="ar-SA"/>
        </w:rPr>
      </w:pPr>
    </w:p>
    <w:p w14:paraId="473BCCA3">
      <w:pPr>
        <w:spacing w:line="360" w:lineRule="auto"/>
        <w:ind w:firstLine="1020" w:firstLineChars="486"/>
        <w:rPr>
          <w:rFonts w:hint="eastAsia" w:ascii="仿宋" w:hAnsi="仿宋" w:eastAsia="仿宋" w:cs="仿宋"/>
          <w:color w:val="auto"/>
          <w:szCs w:val="24"/>
        </w:rPr>
      </w:pPr>
    </w:p>
    <w:p w14:paraId="63590325">
      <w:pPr>
        <w:spacing w:line="360" w:lineRule="auto"/>
        <w:jc w:val="center"/>
        <w:rPr>
          <w:rFonts w:hint="eastAsia" w:ascii="仿宋" w:hAnsi="仿宋" w:eastAsia="仿宋" w:cs="仿宋"/>
          <w:b/>
          <w:color w:val="auto"/>
          <w:sz w:val="24"/>
          <w:szCs w:val="24"/>
        </w:rPr>
      </w:pPr>
    </w:p>
    <w:p w14:paraId="3B27D8DA">
      <w:pPr>
        <w:spacing w:line="700" w:lineRule="exact"/>
        <w:jc w:val="center"/>
        <w:rPr>
          <w:rFonts w:hint="eastAsia" w:ascii="仿宋" w:hAnsi="仿宋" w:eastAsia="仿宋" w:cs="仿宋"/>
          <w:b/>
          <w:bCs/>
          <w:color w:val="auto"/>
          <w:sz w:val="36"/>
          <w:szCs w:val="36"/>
          <w:highlight w:val="none"/>
        </w:rPr>
      </w:pPr>
      <w:r>
        <w:rPr>
          <w:rFonts w:hint="eastAsia" w:ascii="仿宋" w:hAnsi="仿宋" w:eastAsia="仿宋" w:cs="仿宋"/>
          <w:b/>
          <w:bCs/>
          <w:color w:val="auto"/>
          <w:sz w:val="36"/>
          <w:szCs w:val="36"/>
          <w:highlight w:val="none"/>
        </w:rPr>
        <w:t>采 购 人：</w:t>
      </w:r>
      <w:r>
        <w:rPr>
          <w:rFonts w:hint="eastAsia" w:ascii="仿宋" w:hAnsi="仿宋" w:eastAsia="仿宋" w:cs="仿宋"/>
          <w:b/>
          <w:bCs/>
          <w:color w:val="auto"/>
          <w:sz w:val="36"/>
          <w:szCs w:val="36"/>
          <w:highlight w:val="none"/>
          <w:lang w:eastAsia="zh-CN"/>
        </w:rPr>
        <w:t>重庆大足石刻国际文化旅游集团有限公司</w:t>
      </w:r>
    </w:p>
    <w:p w14:paraId="09FA3441">
      <w:pPr>
        <w:spacing w:line="700" w:lineRule="exact"/>
        <w:jc w:val="center"/>
        <w:rPr>
          <w:rFonts w:hint="eastAsia" w:ascii="仿宋" w:hAnsi="仿宋" w:eastAsia="仿宋" w:cs="仿宋"/>
          <w:b/>
          <w:bCs/>
          <w:color w:val="auto"/>
          <w:sz w:val="36"/>
          <w:szCs w:val="36"/>
          <w:highlight w:val="none"/>
        </w:rPr>
      </w:pPr>
      <w:r>
        <w:rPr>
          <w:rFonts w:hint="eastAsia" w:ascii="仿宋" w:hAnsi="仿宋" w:eastAsia="仿宋" w:cs="仿宋"/>
          <w:b/>
          <w:bCs/>
          <w:color w:val="auto"/>
          <w:sz w:val="36"/>
          <w:szCs w:val="36"/>
          <w:highlight w:val="none"/>
        </w:rPr>
        <w:t>采购代理机构：</w:t>
      </w:r>
      <w:r>
        <w:rPr>
          <w:rFonts w:hint="eastAsia" w:ascii="仿宋" w:hAnsi="仿宋" w:eastAsia="仿宋" w:cs="Times New Roman"/>
          <w:b/>
          <w:bCs/>
          <w:color w:val="auto"/>
          <w:sz w:val="36"/>
          <w:szCs w:val="36"/>
          <w:lang w:val="en-US" w:eastAsia="zh-CN"/>
        </w:rPr>
        <w:t>重庆修为工程咨询有限公司</w:t>
      </w:r>
    </w:p>
    <w:p w14:paraId="5A46C16A">
      <w:pPr>
        <w:spacing w:line="720" w:lineRule="exact"/>
        <w:jc w:val="center"/>
        <w:outlineLvl w:val="0"/>
        <w:rPr>
          <w:rFonts w:hint="eastAsia" w:ascii="仿宋" w:hAnsi="仿宋" w:eastAsia="仿宋" w:cs="仿宋"/>
          <w:b/>
          <w:bCs/>
          <w:color w:val="auto"/>
          <w:sz w:val="36"/>
          <w:szCs w:val="36"/>
          <w:highlight w:val="none"/>
        </w:rPr>
      </w:pPr>
      <w:r>
        <w:rPr>
          <w:rFonts w:hint="eastAsia" w:ascii="仿宋" w:hAnsi="仿宋" w:eastAsia="仿宋" w:cs="仿宋"/>
          <w:b/>
          <w:bCs/>
          <w:color w:val="auto"/>
          <w:sz w:val="36"/>
          <w:szCs w:val="36"/>
          <w:highlight w:val="none"/>
        </w:rPr>
        <w:t>二〇二</w:t>
      </w:r>
      <w:r>
        <w:rPr>
          <w:rFonts w:hint="eastAsia" w:ascii="仿宋" w:hAnsi="仿宋" w:eastAsia="仿宋" w:cs="仿宋"/>
          <w:b/>
          <w:bCs/>
          <w:color w:val="auto"/>
          <w:sz w:val="36"/>
          <w:szCs w:val="36"/>
          <w:highlight w:val="none"/>
          <w:lang w:eastAsia="zh-CN"/>
        </w:rPr>
        <w:t>六</w:t>
      </w:r>
      <w:r>
        <w:rPr>
          <w:rFonts w:hint="eastAsia" w:ascii="仿宋" w:hAnsi="仿宋" w:eastAsia="仿宋" w:cs="仿宋"/>
          <w:b/>
          <w:bCs/>
          <w:color w:val="auto"/>
          <w:sz w:val="36"/>
          <w:szCs w:val="36"/>
          <w:highlight w:val="none"/>
        </w:rPr>
        <w:t>年</w:t>
      </w:r>
      <w:r>
        <w:rPr>
          <w:rFonts w:hint="eastAsia" w:ascii="仿宋" w:hAnsi="仿宋" w:eastAsia="仿宋" w:cs="仿宋"/>
          <w:b/>
          <w:bCs/>
          <w:color w:val="auto"/>
          <w:sz w:val="36"/>
          <w:szCs w:val="36"/>
          <w:highlight w:val="none"/>
          <w:lang w:val="en-US" w:eastAsia="zh-CN"/>
        </w:rPr>
        <w:t>五</w:t>
      </w:r>
      <w:r>
        <w:rPr>
          <w:rFonts w:hint="eastAsia" w:ascii="仿宋" w:hAnsi="仿宋" w:eastAsia="仿宋" w:cs="仿宋"/>
          <w:b/>
          <w:bCs/>
          <w:color w:val="auto"/>
          <w:sz w:val="36"/>
          <w:szCs w:val="36"/>
          <w:highlight w:val="none"/>
        </w:rPr>
        <w:t>月</w:t>
      </w:r>
    </w:p>
    <w:p w14:paraId="08DF5AA8">
      <w:pPr>
        <w:spacing w:line="360" w:lineRule="auto"/>
        <w:jc w:val="center"/>
        <w:outlineLvl w:val="0"/>
        <w:rPr>
          <w:rFonts w:hint="eastAsia" w:ascii="仿宋" w:hAnsi="仿宋" w:eastAsia="仿宋" w:cs="仿宋"/>
          <w:color w:val="auto"/>
          <w:sz w:val="44"/>
          <w:szCs w:val="28"/>
        </w:rPr>
        <w:sectPr>
          <w:headerReference r:id="rId4" w:type="first"/>
          <w:footerReference r:id="rId6" w:type="first"/>
          <w:headerReference r:id="rId3" w:type="default"/>
          <w:footerReference r:id="rId5" w:type="even"/>
          <w:pgSz w:w="11907" w:h="16840"/>
          <w:pgMar w:top="1134" w:right="1191" w:bottom="1134" w:left="1304" w:header="851" w:footer="992" w:gutter="0"/>
          <w:pgNumType w:fmt="numberInDash" w:start="1"/>
          <w:cols w:space="720" w:num="1"/>
          <w:docGrid w:linePitch="380" w:charSpace="-5735"/>
        </w:sectPr>
      </w:pPr>
    </w:p>
    <w:p w14:paraId="247EEDD3">
      <w:pPr>
        <w:spacing w:line="360" w:lineRule="auto"/>
        <w:jc w:val="center"/>
        <w:outlineLvl w:val="0"/>
        <w:rPr>
          <w:rFonts w:hint="eastAsia" w:ascii="仿宋" w:hAnsi="仿宋" w:eastAsia="仿宋" w:cs="仿宋"/>
          <w:color w:val="auto"/>
          <w:sz w:val="44"/>
          <w:szCs w:val="28"/>
        </w:rPr>
      </w:pPr>
      <w:r>
        <w:rPr>
          <w:rFonts w:hint="eastAsia" w:ascii="仿宋" w:hAnsi="仿宋" w:eastAsia="仿宋" w:cs="仿宋"/>
          <w:color w:val="auto"/>
          <w:sz w:val="44"/>
          <w:szCs w:val="28"/>
        </w:rPr>
        <w:t>目   录</w:t>
      </w:r>
    </w:p>
    <w:p w14:paraId="4404EF32">
      <w:pPr>
        <w:pStyle w:val="17"/>
        <w:tabs>
          <w:tab w:val="right" w:leader="dot" w:pos="9412"/>
        </w:tabs>
        <w:rPr>
          <w:color w:val="auto"/>
        </w:rPr>
      </w:pPr>
      <w:r>
        <w:rPr>
          <w:rFonts w:hint="eastAsia" w:ascii="仿宋" w:hAnsi="仿宋" w:eastAsia="仿宋" w:cs="仿宋"/>
          <w:color w:val="auto"/>
          <w:sz w:val="21"/>
          <w:szCs w:val="21"/>
        </w:rPr>
        <w:fldChar w:fldCharType="begin"/>
      </w:r>
      <w:r>
        <w:rPr>
          <w:rFonts w:hint="eastAsia" w:ascii="仿宋" w:hAnsi="仿宋" w:eastAsia="仿宋" w:cs="仿宋"/>
          <w:color w:val="auto"/>
          <w:sz w:val="21"/>
          <w:szCs w:val="21"/>
        </w:rPr>
        <w:instrText xml:space="preserve"> TOC \o "1-3" \h \z </w:instrText>
      </w:r>
      <w:r>
        <w:rPr>
          <w:rFonts w:hint="eastAsia" w:ascii="仿宋" w:hAnsi="仿宋" w:eastAsia="仿宋" w:cs="仿宋"/>
          <w:color w:val="auto"/>
          <w:sz w:val="21"/>
          <w:szCs w:val="21"/>
        </w:rPr>
        <w:fldChar w:fldCharType="separate"/>
      </w: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_Toc10569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第一篇  采购邀请书</w:t>
      </w:r>
      <w:r>
        <w:rPr>
          <w:color w:val="auto"/>
        </w:rPr>
        <w:tab/>
      </w:r>
      <w:r>
        <w:rPr>
          <w:color w:val="auto"/>
        </w:rPr>
        <w:fldChar w:fldCharType="begin"/>
      </w:r>
      <w:r>
        <w:rPr>
          <w:color w:val="auto"/>
        </w:rPr>
        <w:instrText xml:space="preserve"> PAGEREF _Toc10569 \h </w:instrText>
      </w:r>
      <w:r>
        <w:rPr>
          <w:color w:val="auto"/>
        </w:rPr>
        <w:fldChar w:fldCharType="separate"/>
      </w:r>
      <w:r>
        <w:rPr>
          <w:color w:val="auto"/>
        </w:rPr>
        <w:t>- 1 -</w:t>
      </w:r>
      <w:r>
        <w:rPr>
          <w:color w:val="auto"/>
        </w:rPr>
        <w:fldChar w:fldCharType="end"/>
      </w:r>
      <w:r>
        <w:rPr>
          <w:rFonts w:hint="eastAsia" w:ascii="仿宋" w:hAnsi="仿宋" w:eastAsia="仿宋" w:cs="仿宋"/>
          <w:color w:val="auto"/>
          <w:szCs w:val="21"/>
        </w:rPr>
        <w:fldChar w:fldCharType="end"/>
      </w:r>
    </w:p>
    <w:p w14:paraId="5C489104">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_Toc28275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一、</w:t>
      </w:r>
      <w:r>
        <w:rPr>
          <w:rFonts w:hint="eastAsia" w:ascii="仿宋" w:hAnsi="仿宋" w:eastAsia="仿宋" w:cs="仿宋"/>
          <w:color w:val="auto"/>
          <w:szCs w:val="24"/>
          <w:lang w:eastAsia="zh-CN"/>
        </w:rPr>
        <w:t>询比</w:t>
      </w:r>
      <w:r>
        <w:rPr>
          <w:rFonts w:hint="eastAsia" w:ascii="仿宋" w:hAnsi="仿宋" w:eastAsia="仿宋" w:cs="仿宋"/>
          <w:color w:val="auto"/>
          <w:szCs w:val="24"/>
        </w:rPr>
        <w:t>内容</w:t>
      </w:r>
      <w:r>
        <w:rPr>
          <w:color w:val="auto"/>
        </w:rPr>
        <w:tab/>
      </w:r>
      <w:r>
        <w:rPr>
          <w:color w:val="auto"/>
        </w:rPr>
        <w:fldChar w:fldCharType="begin"/>
      </w:r>
      <w:r>
        <w:rPr>
          <w:color w:val="auto"/>
        </w:rPr>
        <w:instrText xml:space="preserve"> PAGEREF _Toc28275 \h </w:instrText>
      </w:r>
      <w:r>
        <w:rPr>
          <w:color w:val="auto"/>
        </w:rPr>
        <w:fldChar w:fldCharType="separate"/>
      </w:r>
      <w:r>
        <w:rPr>
          <w:color w:val="auto"/>
        </w:rPr>
        <w:t>- 1 -</w:t>
      </w:r>
      <w:r>
        <w:rPr>
          <w:color w:val="auto"/>
        </w:rPr>
        <w:fldChar w:fldCharType="end"/>
      </w:r>
      <w:r>
        <w:rPr>
          <w:rFonts w:hint="eastAsia" w:ascii="仿宋" w:hAnsi="仿宋" w:eastAsia="仿宋" w:cs="仿宋"/>
          <w:color w:val="auto"/>
          <w:szCs w:val="21"/>
        </w:rPr>
        <w:fldChar w:fldCharType="end"/>
      </w:r>
    </w:p>
    <w:p w14:paraId="18718C87">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_Toc6166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二、资金来源</w:t>
      </w:r>
      <w:r>
        <w:rPr>
          <w:color w:val="auto"/>
        </w:rPr>
        <w:tab/>
      </w:r>
      <w:r>
        <w:rPr>
          <w:color w:val="auto"/>
        </w:rPr>
        <w:fldChar w:fldCharType="begin"/>
      </w:r>
      <w:r>
        <w:rPr>
          <w:color w:val="auto"/>
        </w:rPr>
        <w:instrText xml:space="preserve"> PAGEREF _Toc6166 \h </w:instrText>
      </w:r>
      <w:r>
        <w:rPr>
          <w:color w:val="auto"/>
        </w:rPr>
        <w:fldChar w:fldCharType="separate"/>
      </w:r>
      <w:r>
        <w:rPr>
          <w:color w:val="auto"/>
        </w:rPr>
        <w:t>- 1 -</w:t>
      </w:r>
      <w:r>
        <w:rPr>
          <w:color w:val="auto"/>
        </w:rPr>
        <w:fldChar w:fldCharType="end"/>
      </w:r>
      <w:r>
        <w:rPr>
          <w:rFonts w:hint="eastAsia" w:ascii="仿宋" w:hAnsi="仿宋" w:eastAsia="仿宋" w:cs="仿宋"/>
          <w:color w:val="auto"/>
          <w:szCs w:val="21"/>
        </w:rPr>
        <w:fldChar w:fldCharType="end"/>
      </w:r>
    </w:p>
    <w:p w14:paraId="6C741AD0">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_Toc876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三、供应商资格条件</w:t>
      </w:r>
      <w:r>
        <w:rPr>
          <w:color w:val="auto"/>
        </w:rPr>
        <w:tab/>
      </w:r>
      <w:r>
        <w:rPr>
          <w:color w:val="auto"/>
        </w:rPr>
        <w:fldChar w:fldCharType="begin"/>
      </w:r>
      <w:r>
        <w:rPr>
          <w:color w:val="auto"/>
        </w:rPr>
        <w:instrText xml:space="preserve"> PAGEREF _Toc876 \h </w:instrText>
      </w:r>
      <w:r>
        <w:rPr>
          <w:color w:val="auto"/>
        </w:rPr>
        <w:fldChar w:fldCharType="separate"/>
      </w:r>
      <w:r>
        <w:rPr>
          <w:color w:val="auto"/>
        </w:rPr>
        <w:t>- 1 -</w:t>
      </w:r>
      <w:r>
        <w:rPr>
          <w:color w:val="auto"/>
        </w:rPr>
        <w:fldChar w:fldCharType="end"/>
      </w:r>
      <w:r>
        <w:rPr>
          <w:rFonts w:hint="eastAsia" w:ascii="仿宋" w:hAnsi="仿宋" w:eastAsia="仿宋" w:cs="仿宋"/>
          <w:color w:val="auto"/>
          <w:szCs w:val="21"/>
        </w:rPr>
        <w:fldChar w:fldCharType="end"/>
      </w:r>
    </w:p>
    <w:p w14:paraId="52CF88C6">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_Toc26103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val="en-US" w:eastAsia="zh-CN"/>
        </w:rPr>
        <w:t>四、询比有关说明</w:t>
      </w:r>
      <w:r>
        <w:rPr>
          <w:color w:val="auto"/>
        </w:rPr>
        <w:tab/>
      </w:r>
      <w:r>
        <w:rPr>
          <w:color w:val="auto"/>
        </w:rPr>
        <w:fldChar w:fldCharType="begin"/>
      </w:r>
      <w:r>
        <w:rPr>
          <w:color w:val="auto"/>
        </w:rPr>
        <w:instrText xml:space="preserve"> PAGEREF _Toc26103 \h </w:instrText>
      </w:r>
      <w:r>
        <w:rPr>
          <w:color w:val="auto"/>
        </w:rPr>
        <w:fldChar w:fldCharType="separate"/>
      </w:r>
      <w:r>
        <w:rPr>
          <w:color w:val="auto"/>
        </w:rPr>
        <w:t>- 1 -</w:t>
      </w:r>
      <w:r>
        <w:rPr>
          <w:color w:val="auto"/>
        </w:rPr>
        <w:fldChar w:fldCharType="end"/>
      </w:r>
      <w:r>
        <w:rPr>
          <w:rFonts w:hint="eastAsia" w:ascii="仿宋" w:hAnsi="仿宋" w:eastAsia="仿宋" w:cs="仿宋"/>
          <w:color w:val="auto"/>
          <w:szCs w:val="21"/>
        </w:rPr>
        <w:fldChar w:fldCharType="end"/>
      </w:r>
    </w:p>
    <w:p w14:paraId="42002C59">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_Toc23808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val="en-US" w:eastAsia="zh-CN"/>
        </w:rPr>
        <w:t>五、询比保证金</w:t>
      </w:r>
      <w:r>
        <w:rPr>
          <w:color w:val="auto"/>
        </w:rPr>
        <w:tab/>
      </w:r>
      <w:r>
        <w:rPr>
          <w:color w:val="auto"/>
        </w:rPr>
        <w:fldChar w:fldCharType="begin"/>
      </w:r>
      <w:r>
        <w:rPr>
          <w:color w:val="auto"/>
        </w:rPr>
        <w:instrText xml:space="preserve"> PAGEREF _Toc23808 \h </w:instrText>
      </w:r>
      <w:r>
        <w:rPr>
          <w:color w:val="auto"/>
        </w:rPr>
        <w:fldChar w:fldCharType="separate"/>
      </w:r>
      <w:r>
        <w:rPr>
          <w:color w:val="auto"/>
        </w:rPr>
        <w:t>- 2 -</w:t>
      </w:r>
      <w:r>
        <w:rPr>
          <w:color w:val="auto"/>
        </w:rPr>
        <w:fldChar w:fldCharType="end"/>
      </w:r>
      <w:r>
        <w:rPr>
          <w:rFonts w:hint="eastAsia" w:ascii="仿宋" w:hAnsi="仿宋" w:eastAsia="仿宋" w:cs="仿宋"/>
          <w:color w:val="auto"/>
          <w:szCs w:val="21"/>
        </w:rPr>
        <w:fldChar w:fldCharType="end"/>
      </w:r>
    </w:p>
    <w:p w14:paraId="2CB73E4B">
      <w:pPr>
        <w:pStyle w:val="17"/>
        <w:tabs>
          <w:tab w:val="right" w:leader="dot" w:pos="9412"/>
        </w:tabs>
        <w:ind w:firstLine="420" w:firstLineChars="200"/>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_Toc17369 </w:instrText>
      </w:r>
      <w:r>
        <w:rPr>
          <w:rFonts w:hint="eastAsia" w:ascii="仿宋" w:hAnsi="仿宋" w:eastAsia="仿宋" w:cs="仿宋"/>
          <w:color w:val="auto"/>
          <w:szCs w:val="21"/>
        </w:rPr>
        <w:fldChar w:fldCharType="separate"/>
      </w:r>
      <w:r>
        <w:rPr>
          <w:rFonts w:hint="eastAsia" w:ascii="仿宋" w:hAnsi="仿宋" w:eastAsia="仿宋" w:cs="仿宋"/>
          <w:color w:val="auto"/>
          <w:kern w:val="2"/>
          <w:szCs w:val="24"/>
          <w:lang w:val="en-US" w:eastAsia="zh-CN" w:bidi="ar-SA"/>
        </w:rPr>
        <w:t>六、投标有关规定</w:t>
      </w:r>
      <w:r>
        <w:rPr>
          <w:color w:val="auto"/>
        </w:rPr>
        <w:tab/>
      </w:r>
      <w:r>
        <w:rPr>
          <w:color w:val="auto"/>
        </w:rPr>
        <w:fldChar w:fldCharType="begin"/>
      </w:r>
      <w:r>
        <w:rPr>
          <w:color w:val="auto"/>
        </w:rPr>
        <w:instrText xml:space="preserve"> PAGEREF _Toc17369 \h </w:instrText>
      </w:r>
      <w:r>
        <w:rPr>
          <w:color w:val="auto"/>
        </w:rPr>
        <w:fldChar w:fldCharType="separate"/>
      </w:r>
      <w:r>
        <w:rPr>
          <w:color w:val="auto"/>
        </w:rPr>
        <w:t>- 2 -</w:t>
      </w:r>
      <w:r>
        <w:rPr>
          <w:color w:val="auto"/>
        </w:rPr>
        <w:fldChar w:fldCharType="end"/>
      </w:r>
      <w:r>
        <w:rPr>
          <w:rFonts w:hint="eastAsia" w:ascii="仿宋" w:hAnsi="仿宋" w:eastAsia="仿宋" w:cs="仿宋"/>
          <w:color w:val="auto"/>
          <w:szCs w:val="21"/>
        </w:rPr>
        <w:fldChar w:fldCharType="end"/>
      </w:r>
    </w:p>
    <w:p w14:paraId="754D51E4">
      <w:pPr>
        <w:pStyle w:val="17"/>
        <w:tabs>
          <w:tab w:val="right" w:leader="dot" w:pos="9412"/>
        </w:tabs>
        <w:ind w:firstLine="420" w:firstLineChars="200"/>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_Toc29600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eastAsia="zh-CN"/>
        </w:rPr>
        <w:t>七</w:t>
      </w:r>
      <w:r>
        <w:rPr>
          <w:rFonts w:hint="eastAsia" w:ascii="仿宋" w:hAnsi="仿宋" w:eastAsia="仿宋" w:cs="仿宋"/>
          <w:color w:val="auto"/>
          <w:szCs w:val="24"/>
        </w:rPr>
        <w:t>、联系方式</w:t>
      </w:r>
      <w:r>
        <w:rPr>
          <w:color w:val="auto"/>
        </w:rPr>
        <w:tab/>
      </w:r>
      <w:r>
        <w:rPr>
          <w:color w:val="auto"/>
        </w:rPr>
        <w:fldChar w:fldCharType="begin"/>
      </w:r>
      <w:r>
        <w:rPr>
          <w:color w:val="auto"/>
        </w:rPr>
        <w:instrText xml:space="preserve"> PAGEREF _Toc29600 \h </w:instrText>
      </w:r>
      <w:r>
        <w:rPr>
          <w:color w:val="auto"/>
        </w:rPr>
        <w:fldChar w:fldCharType="separate"/>
      </w:r>
      <w:r>
        <w:rPr>
          <w:color w:val="auto"/>
        </w:rPr>
        <w:t>- 3 -</w:t>
      </w:r>
      <w:r>
        <w:rPr>
          <w:color w:val="auto"/>
        </w:rPr>
        <w:fldChar w:fldCharType="end"/>
      </w:r>
      <w:r>
        <w:rPr>
          <w:rFonts w:hint="eastAsia" w:ascii="仿宋" w:hAnsi="仿宋" w:eastAsia="仿宋" w:cs="仿宋"/>
          <w:color w:val="auto"/>
          <w:szCs w:val="21"/>
        </w:rPr>
        <w:fldChar w:fldCharType="end"/>
      </w:r>
    </w:p>
    <w:p w14:paraId="59C50F63">
      <w:pPr>
        <w:pStyle w:val="17"/>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_Toc7874 </w:instrText>
      </w:r>
      <w:r>
        <w:rPr>
          <w:rFonts w:hint="eastAsia" w:ascii="仿宋" w:hAnsi="仿宋" w:eastAsia="仿宋" w:cs="仿宋"/>
          <w:color w:val="auto"/>
          <w:szCs w:val="21"/>
        </w:rPr>
        <w:fldChar w:fldCharType="separate"/>
      </w:r>
      <w:r>
        <w:rPr>
          <w:rFonts w:hint="eastAsia" w:ascii="仿宋" w:hAnsi="仿宋" w:eastAsia="仿宋" w:cs="仿宋"/>
          <w:color w:val="auto"/>
          <w:szCs w:val="30"/>
          <w:lang w:val="en-US" w:eastAsia="zh-CN"/>
        </w:rPr>
        <w:t>第二篇  项目服务需求</w:t>
      </w:r>
      <w:r>
        <w:rPr>
          <w:color w:val="auto"/>
        </w:rPr>
        <w:tab/>
      </w:r>
      <w:r>
        <w:rPr>
          <w:color w:val="auto"/>
        </w:rPr>
        <w:fldChar w:fldCharType="begin"/>
      </w:r>
      <w:r>
        <w:rPr>
          <w:color w:val="auto"/>
        </w:rPr>
        <w:instrText xml:space="preserve"> PAGEREF _Toc7874 \h </w:instrText>
      </w:r>
      <w:r>
        <w:rPr>
          <w:color w:val="auto"/>
        </w:rPr>
        <w:fldChar w:fldCharType="separate"/>
      </w:r>
      <w:r>
        <w:rPr>
          <w:color w:val="auto"/>
        </w:rPr>
        <w:t>- 4 -</w:t>
      </w:r>
      <w:r>
        <w:rPr>
          <w:color w:val="auto"/>
        </w:rPr>
        <w:fldChar w:fldCharType="end"/>
      </w:r>
      <w:r>
        <w:rPr>
          <w:rFonts w:hint="eastAsia" w:ascii="仿宋" w:hAnsi="仿宋" w:eastAsia="仿宋" w:cs="仿宋"/>
          <w:color w:val="auto"/>
          <w:szCs w:val="21"/>
        </w:rPr>
        <w:fldChar w:fldCharType="end"/>
      </w:r>
    </w:p>
    <w:p w14:paraId="56508839">
      <w:pPr>
        <w:pStyle w:val="17"/>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_Toc30633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第三篇  项目商务需求</w:t>
      </w:r>
      <w:r>
        <w:rPr>
          <w:color w:val="auto"/>
        </w:rPr>
        <w:tab/>
      </w:r>
      <w:r>
        <w:rPr>
          <w:color w:val="auto"/>
        </w:rPr>
        <w:fldChar w:fldCharType="begin"/>
      </w:r>
      <w:r>
        <w:rPr>
          <w:color w:val="auto"/>
        </w:rPr>
        <w:instrText xml:space="preserve"> PAGEREF _Toc30633 \h </w:instrText>
      </w:r>
      <w:r>
        <w:rPr>
          <w:color w:val="auto"/>
        </w:rPr>
        <w:fldChar w:fldCharType="separate"/>
      </w:r>
      <w:r>
        <w:rPr>
          <w:color w:val="auto"/>
        </w:rPr>
        <w:t>- 8 -</w:t>
      </w:r>
      <w:r>
        <w:rPr>
          <w:color w:val="auto"/>
        </w:rPr>
        <w:fldChar w:fldCharType="end"/>
      </w:r>
      <w:r>
        <w:rPr>
          <w:rFonts w:hint="eastAsia" w:ascii="仿宋" w:hAnsi="仿宋" w:eastAsia="仿宋" w:cs="仿宋"/>
          <w:color w:val="auto"/>
          <w:szCs w:val="21"/>
        </w:rPr>
        <w:fldChar w:fldCharType="end"/>
      </w:r>
    </w:p>
    <w:p w14:paraId="6A3F6E8E">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_Toc257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一、服务期、地点及验收方式</w:t>
      </w:r>
      <w:r>
        <w:rPr>
          <w:color w:val="auto"/>
        </w:rPr>
        <w:tab/>
      </w:r>
      <w:r>
        <w:rPr>
          <w:color w:val="auto"/>
        </w:rPr>
        <w:fldChar w:fldCharType="begin"/>
      </w:r>
      <w:r>
        <w:rPr>
          <w:color w:val="auto"/>
        </w:rPr>
        <w:instrText xml:space="preserve"> PAGEREF _Toc257 \h </w:instrText>
      </w:r>
      <w:r>
        <w:rPr>
          <w:color w:val="auto"/>
        </w:rPr>
        <w:fldChar w:fldCharType="separate"/>
      </w:r>
      <w:r>
        <w:rPr>
          <w:color w:val="auto"/>
        </w:rPr>
        <w:t>- 8 -</w:t>
      </w:r>
      <w:r>
        <w:rPr>
          <w:color w:val="auto"/>
        </w:rPr>
        <w:fldChar w:fldCharType="end"/>
      </w:r>
      <w:r>
        <w:rPr>
          <w:rFonts w:hint="eastAsia" w:ascii="仿宋" w:hAnsi="仿宋" w:eastAsia="仿宋" w:cs="仿宋"/>
          <w:color w:val="auto"/>
          <w:szCs w:val="21"/>
        </w:rPr>
        <w:fldChar w:fldCharType="end"/>
      </w:r>
    </w:p>
    <w:p w14:paraId="40BB7F92">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_Toc4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二、报价要求</w:t>
      </w:r>
      <w:r>
        <w:rPr>
          <w:color w:val="auto"/>
        </w:rPr>
        <w:tab/>
      </w:r>
      <w:r>
        <w:rPr>
          <w:color w:val="auto"/>
        </w:rPr>
        <w:fldChar w:fldCharType="begin"/>
      </w:r>
      <w:r>
        <w:rPr>
          <w:color w:val="auto"/>
        </w:rPr>
        <w:instrText xml:space="preserve"> PAGEREF _Toc4 \h </w:instrText>
      </w:r>
      <w:r>
        <w:rPr>
          <w:color w:val="auto"/>
        </w:rPr>
        <w:fldChar w:fldCharType="separate"/>
      </w:r>
      <w:r>
        <w:rPr>
          <w:color w:val="auto"/>
        </w:rPr>
        <w:t>- 8 -</w:t>
      </w:r>
      <w:r>
        <w:rPr>
          <w:color w:val="auto"/>
        </w:rPr>
        <w:fldChar w:fldCharType="end"/>
      </w:r>
      <w:r>
        <w:rPr>
          <w:rFonts w:hint="eastAsia" w:ascii="仿宋" w:hAnsi="仿宋" w:eastAsia="仿宋" w:cs="仿宋"/>
          <w:color w:val="auto"/>
          <w:szCs w:val="21"/>
        </w:rPr>
        <w:fldChar w:fldCharType="end"/>
      </w:r>
    </w:p>
    <w:p w14:paraId="73B157C2">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_Toc31817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三、</w:t>
      </w:r>
      <w:r>
        <w:rPr>
          <w:rFonts w:hint="eastAsia" w:ascii="仿宋" w:hAnsi="仿宋" w:eastAsia="仿宋" w:cs="仿宋"/>
          <w:color w:val="auto"/>
          <w:szCs w:val="24"/>
          <w:lang w:val="en-US" w:eastAsia="zh-CN"/>
        </w:rPr>
        <w:t>履约保证金及合同付款</w:t>
      </w:r>
      <w:r>
        <w:rPr>
          <w:color w:val="auto"/>
        </w:rPr>
        <w:tab/>
      </w:r>
      <w:r>
        <w:rPr>
          <w:color w:val="auto"/>
        </w:rPr>
        <w:fldChar w:fldCharType="begin"/>
      </w:r>
      <w:r>
        <w:rPr>
          <w:color w:val="auto"/>
        </w:rPr>
        <w:instrText xml:space="preserve"> PAGEREF _Toc31817 \h </w:instrText>
      </w:r>
      <w:r>
        <w:rPr>
          <w:color w:val="auto"/>
        </w:rPr>
        <w:fldChar w:fldCharType="separate"/>
      </w:r>
      <w:r>
        <w:rPr>
          <w:color w:val="auto"/>
        </w:rPr>
        <w:t>- 8 -</w:t>
      </w:r>
      <w:r>
        <w:rPr>
          <w:color w:val="auto"/>
        </w:rPr>
        <w:fldChar w:fldCharType="end"/>
      </w:r>
      <w:r>
        <w:rPr>
          <w:rFonts w:hint="eastAsia" w:ascii="仿宋" w:hAnsi="仿宋" w:eastAsia="仿宋" w:cs="仿宋"/>
          <w:color w:val="auto"/>
          <w:szCs w:val="21"/>
        </w:rPr>
        <w:fldChar w:fldCharType="end"/>
      </w:r>
    </w:p>
    <w:p w14:paraId="5E306D59">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_Toc23506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val="en-US" w:eastAsia="zh-CN"/>
        </w:rPr>
        <w:t>四、 考核方式</w:t>
      </w:r>
      <w:r>
        <w:rPr>
          <w:color w:val="auto"/>
        </w:rPr>
        <w:tab/>
      </w:r>
      <w:r>
        <w:rPr>
          <w:color w:val="auto"/>
        </w:rPr>
        <w:fldChar w:fldCharType="begin"/>
      </w:r>
      <w:r>
        <w:rPr>
          <w:color w:val="auto"/>
        </w:rPr>
        <w:instrText xml:space="preserve"> PAGEREF _Toc23506 \h </w:instrText>
      </w:r>
      <w:r>
        <w:rPr>
          <w:color w:val="auto"/>
        </w:rPr>
        <w:fldChar w:fldCharType="separate"/>
      </w:r>
      <w:r>
        <w:rPr>
          <w:color w:val="auto"/>
        </w:rPr>
        <w:t>- 8 -</w:t>
      </w:r>
      <w:r>
        <w:rPr>
          <w:color w:val="auto"/>
        </w:rPr>
        <w:fldChar w:fldCharType="end"/>
      </w:r>
      <w:r>
        <w:rPr>
          <w:rFonts w:hint="eastAsia" w:ascii="仿宋" w:hAnsi="仿宋" w:eastAsia="仿宋" w:cs="仿宋"/>
          <w:color w:val="auto"/>
          <w:szCs w:val="21"/>
        </w:rPr>
        <w:fldChar w:fldCharType="end"/>
      </w:r>
    </w:p>
    <w:p w14:paraId="4A74F645">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_Toc9399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val="en-US" w:eastAsia="zh-CN"/>
        </w:rPr>
        <w:t>五、其他</w:t>
      </w:r>
      <w:r>
        <w:rPr>
          <w:color w:val="auto"/>
        </w:rPr>
        <w:tab/>
      </w:r>
      <w:r>
        <w:rPr>
          <w:color w:val="auto"/>
        </w:rPr>
        <w:fldChar w:fldCharType="begin"/>
      </w:r>
      <w:r>
        <w:rPr>
          <w:color w:val="auto"/>
        </w:rPr>
        <w:instrText xml:space="preserve"> PAGEREF _Toc9399 \h </w:instrText>
      </w:r>
      <w:r>
        <w:rPr>
          <w:color w:val="auto"/>
        </w:rPr>
        <w:fldChar w:fldCharType="separate"/>
      </w:r>
      <w:r>
        <w:rPr>
          <w:color w:val="auto"/>
        </w:rPr>
        <w:t>- 11 -</w:t>
      </w:r>
      <w:r>
        <w:rPr>
          <w:color w:val="auto"/>
        </w:rPr>
        <w:fldChar w:fldCharType="end"/>
      </w:r>
      <w:r>
        <w:rPr>
          <w:rFonts w:hint="eastAsia" w:ascii="仿宋" w:hAnsi="仿宋" w:eastAsia="仿宋" w:cs="仿宋"/>
          <w:color w:val="auto"/>
          <w:szCs w:val="21"/>
        </w:rPr>
        <w:fldChar w:fldCharType="end"/>
      </w:r>
    </w:p>
    <w:p w14:paraId="68FAE3ED">
      <w:pPr>
        <w:pStyle w:val="17"/>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_Toc4343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 xml:space="preserve">第四篇  </w:t>
      </w:r>
      <w:r>
        <w:rPr>
          <w:rFonts w:hint="eastAsia" w:ascii="仿宋" w:hAnsi="仿宋" w:eastAsia="仿宋" w:cs="仿宋"/>
          <w:color w:val="auto"/>
          <w:szCs w:val="30"/>
          <w:lang w:eastAsia="zh-CN"/>
        </w:rPr>
        <w:t>评审</w:t>
      </w:r>
      <w:r>
        <w:rPr>
          <w:rFonts w:hint="eastAsia" w:ascii="仿宋" w:hAnsi="仿宋" w:eastAsia="仿宋" w:cs="仿宋"/>
          <w:color w:val="auto"/>
          <w:szCs w:val="30"/>
        </w:rPr>
        <w:t>程序及方法、评审标准、无效响应和</w:t>
      </w:r>
      <w:r>
        <w:rPr>
          <w:rFonts w:hint="eastAsia" w:ascii="仿宋" w:hAnsi="仿宋" w:eastAsia="仿宋" w:cs="仿宋"/>
          <w:color w:val="auto"/>
          <w:szCs w:val="36"/>
        </w:rPr>
        <w:t>采购终止</w:t>
      </w:r>
      <w:r>
        <w:rPr>
          <w:color w:val="auto"/>
        </w:rPr>
        <w:tab/>
      </w:r>
      <w:r>
        <w:rPr>
          <w:color w:val="auto"/>
        </w:rPr>
        <w:fldChar w:fldCharType="begin"/>
      </w:r>
      <w:r>
        <w:rPr>
          <w:color w:val="auto"/>
        </w:rPr>
        <w:instrText xml:space="preserve"> PAGEREF _Toc4343 \h </w:instrText>
      </w:r>
      <w:r>
        <w:rPr>
          <w:color w:val="auto"/>
        </w:rPr>
        <w:fldChar w:fldCharType="separate"/>
      </w:r>
      <w:r>
        <w:rPr>
          <w:color w:val="auto"/>
        </w:rPr>
        <w:t>- 12 -</w:t>
      </w:r>
      <w:r>
        <w:rPr>
          <w:color w:val="auto"/>
        </w:rPr>
        <w:fldChar w:fldCharType="end"/>
      </w:r>
      <w:r>
        <w:rPr>
          <w:rFonts w:hint="eastAsia" w:ascii="仿宋" w:hAnsi="仿宋" w:eastAsia="仿宋" w:cs="仿宋"/>
          <w:color w:val="auto"/>
          <w:szCs w:val="21"/>
        </w:rPr>
        <w:fldChar w:fldCharType="end"/>
      </w:r>
    </w:p>
    <w:p w14:paraId="5E5C1901">
      <w:pPr>
        <w:pStyle w:val="17"/>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_Toc16156 </w:instrText>
      </w:r>
      <w:r>
        <w:rPr>
          <w:rFonts w:hint="eastAsia" w:ascii="仿宋" w:hAnsi="仿宋" w:eastAsia="仿宋" w:cs="仿宋"/>
          <w:color w:val="auto"/>
          <w:szCs w:val="21"/>
        </w:rPr>
        <w:fldChar w:fldCharType="separate"/>
      </w:r>
      <w:r>
        <w:rPr>
          <w:rFonts w:hint="eastAsia" w:ascii="仿宋" w:hAnsi="仿宋" w:eastAsia="仿宋" w:cs="仿宋"/>
          <w:color w:val="auto"/>
        </w:rPr>
        <w:t>一、</w:t>
      </w:r>
      <w:r>
        <w:rPr>
          <w:rFonts w:hint="eastAsia" w:ascii="仿宋" w:hAnsi="仿宋" w:eastAsia="仿宋" w:cs="仿宋"/>
          <w:color w:val="auto"/>
          <w:lang w:eastAsia="zh-CN"/>
        </w:rPr>
        <w:t>评审</w:t>
      </w:r>
      <w:r>
        <w:rPr>
          <w:rFonts w:hint="eastAsia" w:ascii="仿宋" w:hAnsi="仿宋" w:eastAsia="仿宋" w:cs="仿宋"/>
          <w:color w:val="auto"/>
        </w:rPr>
        <w:t>程序及方法</w:t>
      </w:r>
      <w:r>
        <w:rPr>
          <w:color w:val="auto"/>
        </w:rPr>
        <w:tab/>
      </w:r>
      <w:r>
        <w:rPr>
          <w:color w:val="auto"/>
        </w:rPr>
        <w:fldChar w:fldCharType="begin"/>
      </w:r>
      <w:r>
        <w:rPr>
          <w:color w:val="auto"/>
        </w:rPr>
        <w:instrText xml:space="preserve"> PAGEREF _Toc16156 \h </w:instrText>
      </w:r>
      <w:r>
        <w:rPr>
          <w:color w:val="auto"/>
        </w:rPr>
        <w:fldChar w:fldCharType="separate"/>
      </w:r>
      <w:r>
        <w:rPr>
          <w:color w:val="auto"/>
        </w:rPr>
        <w:t>- 12 -</w:t>
      </w:r>
      <w:r>
        <w:rPr>
          <w:color w:val="auto"/>
        </w:rPr>
        <w:fldChar w:fldCharType="end"/>
      </w:r>
      <w:r>
        <w:rPr>
          <w:rFonts w:hint="eastAsia" w:ascii="仿宋" w:hAnsi="仿宋" w:eastAsia="仿宋" w:cs="仿宋"/>
          <w:color w:val="auto"/>
          <w:szCs w:val="21"/>
        </w:rPr>
        <w:fldChar w:fldCharType="end"/>
      </w:r>
    </w:p>
    <w:p w14:paraId="4A32B495">
      <w:pPr>
        <w:pStyle w:val="17"/>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_Toc17645 </w:instrText>
      </w:r>
      <w:r>
        <w:rPr>
          <w:rFonts w:hint="eastAsia" w:ascii="仿宋" w:hAnsi="仿宋" w:eastAsia="仿宋" w:cs="仿宋"/>
          <w:color w:val="auto"/>
          <w:szCs w:val="21"/>
        </w:rPr>
        <w:fldChar w:fldCharType="separate"/>
      </w:r>
      <w:r>
        <w:rPr>
          <w:rFonts w:hint="eastAsia" w:ascii="仿宋" w:hAnsi="仿宋" w:eastAsia="仿宋" w:cs="仿宋"/>
          <w:color w:val="auto"/>
        </w:rPr>
        <w:t>二、评审标准</w:t>
      </w:r>
      <w:r>
        <w:rPr>
          <w:color w:val="auto"/>
        </w:rPr>
        <w:tab/>
      </w:r>
      <w:r>
        <w:rPr>
          <w:color w:val="auto"/>
        </w:rPr>
        <w:fldChar w:fldCharType="begin"/>
      </w:r>
      <w:r>
        <w:rPr>
          <w:color w:val="auto"/>
        </w:rPr>
        <w:instrText xml:space="preserve"> PAGEREF _Toc17645 \h </w:instrText>
      </w:r>
      <w:r>
        <w:rPr>
          <w:color w:val="auto"/>
        </w:rPr>
        <w:fldChar w:fldCharType="separate"/>
      </w:r>
      <w:r>
        <w:rPr>
          <w:color w:val="auto"/>
        </w:rPr>
        <w:t>- 14 -</w:t>
      </w:r>
      <w:r>
        <w:rPr>
          <w:color w:val="auto"/>
        </w:rPr>
        <w:fldChar w:fldCharType="end"/>
      </w:r>
      <w:r>
        <w:rPr>
          <w:rFonts w:hint="eastAsia" w:ascii="仿宋" w:hAnsi="仿宋" w:eastAsia="仿宋" w:cs="仿宋"/>
          <w:color w:val="auto"/>
          <w:szCs w:val="21"/>
        </w:rPr>
        <w:fldChar w:fldCharType="end"/>
      </w:r>
    </w:p>
    <w:p w14:paraId="35895F77">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_Toc2029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三、无效响应</w:t>
      </w:r>
      <w:r>
        <w:rPr>
          <w:color w:val="auto"/>
        </w:rPr>
        <w:tab/>
      </w:r>
      <w:r>
        <w:rPr>
          <w:color w:val="auto"/>
        </w:rPr>
        <w:fldChar w:fldCharType="begin"/>
      </w:r>
      <w:r>
        <w:rPr>
          <w:color w:val="auto"/>
        </w:rPr>
        <w:instrText xml:space="preserve"> PAGEREF _Toc2029 \h </w:instrText>
      </w:r>
      <w:r>
        <w:rPr>
          <w:color w:val="auto"/>
        </w:rPr>
        <w:fldChar w:fldCharType="separate"/>
      </w:r>
      <w:r>
        <w:rPr>
          <w:color w:val="auto"/>
        </w:rPr>
        <w:t>- 15 -</w:t>
      </w:r>
      <w:r>
        <w:rPr>
          <w:color w:val="auto"/>
        </w:rPr>
        <w:fldChar w:fldCharType="end"/>
      </w:r>
      <w:r>
        <w:rPr>
          <w:rFonts w:hint="eastAsia" w:ascii="仿宋" w:hAnsi="仿宋" w:eastAsia="仿宋" w:cs="仿宋"/>
          <w:color w:val="auto"/>
          <w:szCs w:val="21"/>
        </w:rPr>
        <w:fldChar w:fldCharType="end"/>
      </w:r>
    </w:p>
    <w:p w14:paraId="0CF990A1">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_Toc29192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四、采购终止</w:t>
      </w:r>
      <w:r>
        <w:rPr>
          <w:color w:val="auto"/>
        </w:rPr>
        <w:tab/>
      </w:r>
      <w:r>
        <w:rPr>
          <w:color w:val="auto"/>
        </w:rPr>
        <w:fldChar w:fldCharType="begin"/>
      </w:r>
      <w:r>
        <w:rPr>
          <w:color w:val="auto"/>
        </w:rPr>
        <w:instrText xml:space="preserve"> PAGEREF _Toc29192 \h </w:instrText>
      </w:r>
      <w:r>
        <w:rPr>
          <w:color w:val="auto"/>
        </w:rPr>
        <w:fldChar w:fldCharType="separate"/>
      </w:r>
      <w:r>
        <w:rPr>
          <w:color w:val="auto"/>
        </w:rPr>
        <w:t>- 16 -</w:t>
      </w:r>
      <w:r>
        <w:rPr>
          <w:color w:val="auto"/>
        </w:rPr>
        <w:fldChar w:fldCharType="end"/>
      </w:r>
      <w:r>
        <w:rPr>
          <w:rFonts w:hint="eastAsia" w:ascii="仿宋" w:hAnsi="仿宋" w:eastAsia="仿宋" w:cs="仿宋"/>
          <w:color w:val="auto"/>
          <w:szCs w:val="21"/>
        </w:rPr>
        <w:fldChar w:fldCharType="end"/>
      </w:r>
    </w:p>
    <w:p w14:paraId="0AFD7700">
      <w:pPr>
        <w:pStyle w:val="17"/>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_Toc18708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第五篇  供应商须知</w:t>
      </w:r>
      <w:r>
        <w:rPr>
          <w:color w:val="auto"/>
        </w:rPr>
        <w:tab/>
      </w:r>
      <w:r>
        <w:rPr>
          <w:color w:val="auto"/>
        </w:rPr>
        <w:fldChar w:fldCharType="begin"/>
      </w:r>
      <w:r>
        <w:rPr>
          <w:color w:val="auto"/>
        </w:rPr>
        <w:instrText xml:space="preserve"> PAGEREF _Toc18708 \h </w:instrText>
      </w:r>
      <w:r>
        <w:rPr>
          <w:color w:val="auto"/>
        </w:rPr>
        <w:fldChar w:fldCharType="separate"/>
      </w:r>
      <w:r>
        <w:rPr>
          <w:color w:val="auto"/>
        </w:rPr>
        <w:t>- 17 -</w:t>
      </w:r>
      <w:r>
        <w:rPr>
          <w:color w:val="auto"/>
        </w:rPr>
        <w:fldChar w:fldCharType="end"/>
      </w:r>
      <w:r>
        <w:rPr>
          <w:rFonts w:hint="eastAsia" w:ascii="仿宋" w:hAnsi="仿宋" w:eastAsia="仿宋" w:cs="仿宋"/>
          <w:color w:val="auto"/>
          <w:szCs w:val="21"/>
        </w:rPr>
        <w:fldChar w:fldCharType="end"/>
      </w:r>
    </w:p>
    <w:p w14:paraId="14DC3C2B">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_Toc14284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一、</w:t>
      </w:r>
      <w:r>
        <w:rPr>
          <w:rFonts w:hint="eastAsia" w:ascii="仿宋" w:hAnsi="仿宋" w:eastAsia="仿宋" w:cs="仿宋"/>
          <w:color w:val="auto"/>
          <w:szCs w:val="24"/>
          <w:lang w:eastAsia="zh-CN"/>
        </w:rPr>
        <w:t>询比</w:t>
      </w:r>
      <w:r>
        <w:rPr>
          <w:rFonts w:hint="eastAsia" w:ascii="仿宋" w:hAnsi="仿宋" w:eastAsia="仿宋" w:cs="仿宋"/>
          <w:color w:val="auto"/>
          <w:szCs w:val="24"/>
        </w:rPr>
        <w:t>费用</w:t>
      </w:r>
      <w:r>
        <w:rPr>
          <w:color w:val="auto"/>
        </w:rPr>
        <w:tab/>
      </w:r>
      <w:r>
        <w:rPr>
          <w:color w:val="auto"/>
        </w:rPr>
        <w:fldChar w:fldCharType="begin"/>
      </w:r>
      <w:r>
        <w:rPr>
          <w:color w:val="auto"/>
        </w:rPr>
        <w:instrText xml:space="preserve"> PAGEREF _Toc14284 \h </w:instrText>
      </w:r>
      <w:r>
        <w:rPr>
          <w:color w:val="auto"/>
        </w:rPr>
        <w:fldChar w:fldCharType="separate"/>
      </w:r>
      <w:r>
        <w:rPr>
          <w:color w:val="auto"/>
        </w:rPr>
        <w:t>- 17 -</w:t>
      </w:r>
      <w:r>
        <w:rPr>
          <w:color w:val="auto"/>
        </w:rPr>
        <w:fldChar w:fldCharType="end"/>
      </w:r>
      <w:r>
        <w:rPr>
          <w:rFonts w:hint="eastAsia" w:ascii="仿宋" w:hAnsi="仿宋" w:eastAsia="仿宋" w:cs="仿宋"/>
          <w:color w:val="auto"/>
          <w:szCs w:val="21"/>
        </w:rPr>
        <w:fldChar w:fldCharType="end"/>
      </w:r>
    </w:p>
    <w:p w14:paraId="4712E0AA">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_Toc13378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二、</w:t>
      </w:r>
      <w:r>
        <w:rPr>
          <w:rFonts w:hint="eastAsia" w:ascii="仿宋" w:hAnsi="仿宋" w:eastAsia="仿宋" w:cs="仿宋"/>
          <w:color w:val="auto"/>
          <w:szCs w:val="24"/>
          <w:lang w:eastAsia="zh-CN"/>
        </w:rPr>
        <w:t>询比文件</w:t>
      </w:r>
      <w:r>
        <w:rPr>
          <w:color w:val="auto"/>
        </w:rPr>
        <w:tab/>
      </w:r>
      <w:r>
        <w:rPr>
          <w:color w:val="auto"/>
        </w:rPr>
        <w:fldChar w:fldCharType="begin"/>
      </w:r>
      <w:r>
        <w:rPr>
          <w:color w:val="auto"/>
        </w:rPr>
        <w:instrText xml:space="preserve"> PAGEREF _Toc13378 \h </w:instrText>
      </w:r>
      <w:r>
        <w:rPr>
          <w:color w:val="auto"/>
        </w:rPr>
        <w:fldChar w:fldCharType="separate"/>
      </w:r>
      <w:r>
        <w:rPr>
          <w:color w:val="auto"/>
        </w:rPr>
        <w:t>- 17 -</w:t>
      </w:r>
      <w:r>
        <w:rPr>
          <w:color w:val="auto"/>
        </w:rPr>
        <w:fldChar w:fldCharType="end"/>
      </w:r>
      <w:r>
        <w:rPr>
          <w:rFonts w:hint="eastAsia" w:ascii="仿宋" w:hAnsi="仿宋" w:eastAsia="仿宋" w:cs="仿宋"/>
          <w:color w:val="auto"/>
          <w:szCs w:val="21"/>
        </w:rPr>
        <w:fldChar w:fldCharType="end"/>
      </w:r>
    </w:p>
    <w:p w14:paraId="2C184956">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_Toc14453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三、</w:t>
      </w:r>
      <w:r>
        <w:rPr>
          <w:rFonts w:hint="eastAsia" w:ascii="仿宋" w:hAnsi="仿宋" w:eastAsia="仿宋" w:cs="仿宋"/>
          <w:color w:val="auto"/>
          <w:szCs w:val="24"/>
          <w:lang w:eastAsia="zh-CN"/>
        </w:rPr>
        <w:t>询比</w:t>
      </w:r>
      <w:r>
        <w:rPr>
          <w:rFonts w:hint="eastAsia" w:ascii="仿宋" w:hAnsi="仿宋" w:eastAsia="仿宋" w:cs="仿宋"/>
          <w:color w:val="auto"/>
          <w:szCs w:val="24"/>
        </w:rPr>
        <w:t>要求</w:t>
      </w:r>
      <w:r>
        <w:rPr>
          <w:color w:val="auto"/>
        </w:rPr>
        <w:tab/>
      </w:r>
      <w:r>
        <w:rPr>
          <w:color w:val="auto"/>
        </w:rPr>
        <w:fldChar w:fldCharType="begin"/>
      </w:r>
      <w:r>
        <w:rPr>
          <w:color w:val="auto"/>
        </w:rPr>
        <w:instrText xml:space="preserve"> PAGEREF _Toc14453 \h </w:instrText>
      </w:r>
      <w:r>
        <w:rPr>
          <w:color w:val="auto"/>
        </w:rPr>
        <w:fldChar w:fldCharType="separate"/>
      </w:r>
      <w:r>
        <w:rPr>
          <w:color w:val="auto"/>
        </w:rPr>
        <w:t>- 17 -</w:t>
      </w:r>
      <w:r>
        <w:rPr>
          <w:color w:val="auto"/>
        </w:rPr>
        <w:fldChar w:fldCharType="end"/>
      </w:r>
      <w:r>
        <w:rPr>
          <w:rFonts w:hint="eastAsia" w:ascii="仿宋" w:hAnsi="仿宋" w:eastAsia="仿宋" w:cs="仿宋"/>
          <w:color w:val="auto"/>
          <w:szCs w:val="21"/>
        </w:rPr>
        <w:fldChar w:fldCharType="end"/>
      </w:r>
    </w:p>
    <w:p w14:paraId="607635DA">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_Toc1227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四、成交供应商的确认和变更</w:t>
      </w:r>
      <w:r>
        <w:rPr>
          <w:color w:val="auto"/>
        </w:rPr>
        <w:tab/>
      </w:r>
      <w:r>
        <w:rPr>
          <w:color w:val="auto"/>
        </w:rPr>
        <w:fldChar w:fldCharType="begin"/>
      </w:r>
      <w:r>
        <w:rPr>
          <w:color w:val="auto"/>
        </w:rPr>
        <w:instrText xml:space="preserve"> PAGEREF _Toc1227 \h </w:instrText>
      </w:r>
      <w:r>
        <w:rPr>
          <w:color w:val="auto"/>
        </w:rPr>
        <w:fldChar w:fldCharType="separate"/>
      </w:r>
      <w:r>
        <w:rPr>
          <w:color w:val="auto"/>
        </w:rPr>
        <w:t>- 19 -</w:t>
      </w:r>
      <w:r>
        <w:rPr>
          <w:color w:val="auto"/>
        </w:rPr>
        <w:fldChar w:fldCharType="end"/>
      </w:r>
      <w:r>
        <w:rPr>
          <w:rFonts w:hint="eastAsia" w:ascii="仿宋" w:hAnsi="仿宋" w:eastAsia="仿宋" w:cs="仿宋"/>
          <w:color w:val="auto"/>
          <w:szCs w:val="21"/>
        </w:rPr>
        <w:fldChar w:fldCharType="end"/>
      </w:r>
    </w:p>
    <w:p w14:paraId="71C017F8">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_Toc1004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五、成交通知</w:t>
      </w:r>
      <w:r>
        <w:rPr>
          <w:color w:val="auto"/>
        </w:rPr>
        <w:tab/>
      </w:r>
      <w:r>
        <w:rPr>
          <w:color w:val="auto"/>
        </w:rPr>
        <w:fldChar w:fldCharType="begin"/>
      </w:r>
      <w:r>
        <w:rPr>
          <w:color w:val="auto"/>
        </w:rPr>
        <w:instrText xml:space="preserve"> PAGEREF _Toc1004 \h </w:instrText>
      </w:r>
      <w:r>
        <w:rPr>
          <w:color w:val="auto"/>
        </w:rPr>
        <w:fldChar w:fldCharType="separate"/>
      </w:r>
      <w:r>
        <w:rPr>
          <w:color w:val="auto"/>
        </w:rPr>
        <w:t>- 19 -</w:t>
      </w:r>
      <w:r>
        <w:rPr>
          <w:color w:val="auto"/>
        </w:rPr>
        <w:fldChar w:fldCharType="end"/>
      </w:r>
      <w:r>
        <w:rPr>
          <w:rFonts w:hint="eastAsia" w:ascii="仿宋" w:hAnsi="仿宋" w:eastAsia="仿宋" w:cs="仿宋"/>
          <w:color w:val="auto"/>
          <w:szCs w:val="21"/>
        </w:rPr>
        <w:fldChar w:fldCharType="end"/>
      </w:r>
    </w:p>
    <w:p w14:paraId="0E8D2705">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_Toc19790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val="en-US" w:eastAsia="zh-CN"/>
        </w:rPr>
        <w:t>六</w:t>
      </w:r>
      <w:r>
        <w:rPr>
          <w:rFonts w:hint="eastAsia" w:ascii="仿宋" w:hAnsi="仿宋" w:eastAsia="仿宋" w:cs="仿宋"/>
          <w:color w:val="auto"/>
          <w:szCs w:val="24"/>
        </w:rPr>
        <w:t>、采购代理服务费</w:t>
      </w:r>
      <w:r>
        <w:rPr>
          <w:color w:val="auto"/>
        </w:rPr>
        <w:tab/>
      </w:r>
      <w:r>
        <w:rPr>
          <w:color w:val="auto"/>
        </w:rPr>
        <w:fldChar w:fldCharType="begin"/>
      </w:r>
      <w:r>
        <w:rPr>
          <w:color w:val="auto"/>
        </w:rPr>
        <w:instrText xml:space="preserve"> PAGEREF _Toc19790 \h </w:instrText>
      </w:r>
      <w:r>
        <w:rPr>
          <w:color w:val="auto"/>
        </w:rPr>
        <w:fldChar w:fldCharType="separate"/>
      </w:r>
      <w:r>
        <w:rPr>
          <w:color w:val="auto"/>
        </w:rPr>
        <w:t>- 19 -</w:t>
      </w:r>
      <w:r>
        <w:rPr>
          <w:color w:val="auto"/>
        </w:rPr>
        <w:fldChar w:fldCharType="end"/>
      </w:r>
      <w:r>
        <w:rPr>
          <w:rFonts w:hint="eastAsia" w:ascii="仿宋" w:hAnsi="仿宋" w:eastAsia="仿宋" w:cs="仿宋"/>
          <w:color w:val="auto"/>
          <w:szCs w:val="21"/>
        </w:rPr>
        <w:fldChar w:fldCharType="end"/>
      </w:r>
    </w:p>
    <w:p w14:paraId="1F26E512">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_Toc14267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val="en-US" w:eastAsia="zh-CN"/>
        </w:rPr>
        <w:t>七</w:t>
      </w:r>
      <w:r>
        <w:rPr>
          <w:rFonts w:hint="eastAsia" w:ascii="仿宋" w:hAnsi="仿宋" w:eastAsia="仿宋" w:cs="仿宋"/>
          <w:color w:val="auto"/>
          <w:szCs w:val="24"/>
        </w:rPr>
        <w:t>、签订合同</w:t>
      </w:r>
      <w:r>
        <w:rPr>
          <w:color w:val="auto"/>
        </w:rPr>
        <w:tab/>
      </w:r>
      <w:r>
        <w:rPr>
          <w:color w:val="auto"/>
        </w:rPr>
        <w:fldChar w:fldCharType="begin"/>
      </w:r>
      <w:r>
        <w:rPr>
          <w:color w:val="auto"/>
        </w:rPr>
        <w:instrText xml:space="preserve"> PAGEREF _Toc14267 \h </w:instrText>
      </w:r>
      <w:r>
        <w:rPr>
          <w:color w:val="auto"/>
        </w:rPr>
        <w:fldChar w:fldCharType="separate"/>
      </w:r>
      <w:r>
        <w:rPr>
          <w:color w:val="auto"/>
        </w:rPr>
        <w:t>- 19 -</w:t>
      </w:r>
      <w:r>
        <w:rPr>
          <w:color w:val="auto"/>
        </w:rPr>
        <w:fldChar w:fldCharType="end"/>
      </w:r>
      <w:r>
        <w:rPr>
          <w:rFonts w:hint="eastAsia" w:ascii="仿宋" w:hAnsi="仿宋" w:eastAsia="仿宋" w:cs="仿宋"/>
          <w:color w:val="auto"/>
          <w:szCs w:val="21"/>
        </w:rPr>
        <w:fldChar w:fldCharType="end"/>
      </w:r>
    </w:p>
    <w:p w14:paraId="3AA2E3DB">
      <w:pPr>
        <w:pStyle w:val="17"/>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_Toc12594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 xml:space="preserve">第六篇  </w:t>
      </w:r>
      <w:r>
        <w:rPr>
          <w:rFonts w:hint="eastAsia" w:ascii="仿宋" w:hAnsi="仿宋" w:eastAsia="仿宋" w:cs="仿宋"/>
          <w:color w:val="auto"/>
          <w:szCs w:val="30"/>
          <w:lang w:eastAsia="zh-CN"/>
        </w:rPr>
        <w:t>采购合同</w:t>
      </w:r>
      <w:r>
        <w:rPr>
          <w:color w:val="auto"/>
        </w:rPr>
        <w:tab/>
      </w:r>
      <w:r>
        <w:rPr>
          <w:color w:val="auto"/>
        </w:rPr>
        <w:fldChar w:fldCharType="begin"/>
      </w:r>
      <w:r>
        <w:rPr>
          <w:color w:val="auto"/>
        </w:rPr>
        <w:instrText xml:space="preserve"> PAGEREF _Toc12594 \h </w:instrText>
      </w:r>
      <w:r>
        <w:rPr>
          <w:color w:val="auto"/>
        </w:rPr>
        <w:fldChar w:fldCharType="separate"/>
      </w:r>
      <w:r>
        <w:rPr>
          <w:color w:val="auto"/>
        </w:rPr>
        <w:t>- 20 -</w:t>
      </w:r>
      <w:r>
        <w:rPr>
          <w:color w:val="auto"/>
        </w:rPr>
        <w:fldChar w:fldCharType="end"/>
      </w:r>
      <w:r>
        <w:rPr>
          <w:rFonts w:hint="eastAsia" w:ascii="仿宋" w:hAnsi="仿宋" w:eastAsia="仿宋" w:cs="仿宋"/>
          <w:color w:val="auto"/>
          <w:szCs w:val="21"/>
        </w:rPr>
        <w:fldChar w:fldCharType="end"/>
      </w:r>
    </w:p>
    <w:p w14:paraId="46FAFBD1">
      <w:pPr>
        <w:pStyle w:val="17"/>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_Toc29305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第七篇  响应文件编制要求</w:t>
      </w:r>
      <w:r>
        <w:rPr>
          <w:color w:val="auto"/>
        </w:rPr>
        <w:tab/>
      </w:r>
      <w:r>
        <w:rPr>
          <w:color w:val="auto"/>
        </w:rPr>
        <w:fldChar w:fldCharType="begin"/>
      </w:r>
      <w:r>
        <w:rPr>
          <w:color w:val="auto"/>
        </w:rPr>
        <w:instrText xml:space="preserve"> PAGEREF _Toc29305 \h </w:instrText>
      </w:r>
      <w:r>
        <w:rPr>
          <w:color w:val="auto"/>
        </w:rPr>
        <w:fldChar w:fldCharType="separate"/>
      </w:r>
      <w:r>
        <w:rPr>
          <w:color w:val="auto"/>
        </w:rPr>
        <w:t>- 21 -</w:t>
      </w:r>
      <w:r>
        <w:rPr>
          <w:color w:val="auto"/>
        </w:rPr>
        <w:fldChar w:fldCharType="end"/>
      </w:r>
      <w:r>
        <w:rPr>
          <w:rFonts w:hint="eastAsia" w:ascii="仿宋" w:hAnsi="仿宋" w:eastAsia="仿宋" w:cs="仿宋"/>
          <w:color w:val="auto"/>
          <w:szCs w:val="21"/>
        </w:rPr>
        <w:fldChar w:fldCharType="end"/>
      </w:r>
    </w:p>
    <w:p w14:paraId="1A7EA348">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_Toc3857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一、经济部分</w:t>
      </w:r>
      <w:r>
        <w:rPr>
          <w:color w:val="auto"/>
        </w:rPr>
        <w:tab/>
      </w:r>
      <w:r>
        <w:rPr>
          <w:color w:val="auto"/>
        </w:rPr>
        <w:fldChar w:fldCharType="begin"/>
      </w:r>
      <w:r>
        <w:rPr>
          <w:color w:val="auto"/>
        </w:rPr>
        <w:instrText xml:space="preserve"> PAGEREF _Toc3857 \h </w:instrText>
      </w:r>
      <w:r>
        <w:rPr>
          <w:color w:val="auto"/>
        </w:rPr>
        <w:fldChar w:fldCharType="separate"/>
      </w:r>
      <w:r>
        <w:rPr>
          <w:color w:val="auto"/>
        </w:rPr>
        <w:t>- 22 -</w:t>
      </w:r>
      <w:r>
        <w:rPr>
          <w:color w:val="auto"/>
        </w:rPr>
        <w:fldChar w:fldCharType="end"/>
      </w:r>
      <w:r>
        <w:rPr>
          <w:rFonts w:hint="eastAsia" w:ascii="仿宋" w:hAnsi="仿宋" w:eastAsia="仿宋" w:cs="仿宋"/>
          <w:color w:val="auto"/>
          <w:szCs w:val="21"/>
        </w:rPr>
        <w:fldChar w:fldCharType="end"/>
      </w:r>
    </w:p>
    <w:p w14:paraId="53FC5996">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_Toc7089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二、服务部分</w:t>
      </w:r>
      <w:r>
        <w:rPr>
          <w:color w:val="auto"/>
        </w:rPr>
        <w:tab/>
      </w:r>
      <w:r>
        <w:rPr>
          <w:color w:val="auto"/>
        </w:rPr>
        <w:fldChar w:fldCharType="begin"/>
      </w:r>
      <w:r>
        <w:rPr>
          <w:color w:val="auto"/>
        </w:rPr>
        <w:instrText xml:space="preserve"> PAGEREF _Toc7089 \h </w:instrText>
      </w:r>
      <w:r>
        <w:rPr>
          <w:color w:val="auto"/>
        </w:rPr>
        <w:fldChar w:fldCharType="separate"/>
      </w:r>
      <w:r>
        <w:rPr>
          <w:color w:val="auto"/>
        </w:rPr>
        <w:t>- 24 -</w:t>
      </w:r>
      <w:r>
        <w:rPr>
          <w:color w:val="auto"/>
        </w:rPr>
        <w:fldChar w:fldCharType="end"/>
      </w:r>
      <w:r>
        <w:rPr>
          <w:rFonts w:hint="eastAsia" w:ascii="仿宋" w:hAnsi="仿宋" w:eastAsia="仿宋" w:cs="仿宋"/>
          <w:color w:val="auto"/>
          <w:szCs w:val="21"/>
        </w:rPr>
        <w:fldChar w:fldCharType="end"/>
      </w:r>
    </w:p>
    <w:p w14:paraId="2F562060">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_Toc904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三、商务部分</w:t>
      </w:r>
      <w:r>
        <w:rPr>
          <w:color w:val="auto"/>
        </w:rPr>
        <w:tab/>
      </w:r>
      <w:r>
        <w:rPr>
          <w:color w:val="auto"/>
        </w:rPr>
        <w:fldChar w:fldCharType="begin"/>
      </w:r>
      <w:r>
        <w:rPr>
          <w:color w:val="auto"/>
        </w:rPr>
        <w:instrText xml:space="preserve"> PAGEREF _Toc904 \h </w:instrText>
      </w:r>
      <w:r>
        <w:rPr>
          <w:color w:val="auto"/>
        </w:rPr>
        <w:fldChar w:fldCharType="separate"/>
      </w:r>
      <w:r>
        <w:rPr>
          <w:color w:val="auto"/>
        </w:rPr>
        <w:t>- 26 -</w:t>
      </w:r>
      <w:r>
        <w:rPr>
          <w:color w:val="auto"/>
        </w:rPr>
        <w:fldChar w:fldCharType="end"/>
      </w:r>
      <w:r>
        <w:rPr>
          <w:rFonts w:hint="eastAsia" w:ascii="仿宋" w:hAnsi="仿宋" w:eastAsia="仿宋" w:cs="仿宋"/>
          <w:color w:val="auto"/>
          <w:szCs w:val="21"/>
        </w:rPr>
        <w:fldChar w:fldCharType="end"/>
      </w:r>
    </w:p>
    <w:p w14:paraId="3200A7EC">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_Toc17424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四、资格条件及其他</w:t>
      </w:r>
      <w:r>
        <w:rPr>
          <w:color w:val="auto"/>
        </w:rPr>
        <w:tab/>
      </w:r>
      <w:r>
        <w:rPr>
          <w:color w:val="auto"/>
        </w:rPr>
        <w:fldChar w:fldCharType="begin"/>
      </w:r>
      <w:r>
        <w:rPr>
          <w:color w:val="auto"/>
        </w:rPr>
        <w:instrText xml:space="preserve"> PAGEREF _Toc17424 \h </w:instrText>
      </w:r>
      <w:r>
        <w:rPr>
          <w:color w:val="auto"/>
        </w:rPr>
        <w:fldChar w:fldCharType="separate"/>
      </w:r>
      <w:r>
        <w:rPr>
          <w:color w:val="auto"/>
        </w:rPr>
        <w:t>- 28 -</w:t>
      </w:r>
      <w:r>
        <w:rPr>
          <w:color w:val="auto"/>
        </w:rPr>
        <w:fldChar w:fldCharType="end"/>
      </w:r>
      <w:r>
        <w:rPr>
          <w:rFonts w:hint="eastAsia" w:ascii="仿宋" w:hAnsi="仿宋" w:eastAsia="仿宋" w:cs="仿宋"/>
          <w:color w:val="auto"/>
          <w:szCs w:val="21"/>
        </w:rPr>
        <w:fldChar w:fldCharType="end"/>
      </w:r>
    </w:p>
    <w:p w14:paraId="22810E09">
      <w:pPr>
        <w:pStyle w:val="9"/>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_Toc30401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五、其他资料</w:t>
      </w:r>
      <w:r>
        <w:rPr>
          <w:color w:val="auto"/>
        </w:rPr>
        <w:tab/>
      </w:r>
      <w:r>
        <w:rPr>
          <w:color w:val="auto"/>
        </w:rPr>
        <w:fldChar w:fldCharType="begin"/>
      </w:r>
      <w:r>
        <w:rPr>
          <w:color w:val="auto"/>
        </w:rPr>
        <w:instrText xml:space="preserve"> PAGEREF _Toc30401 \h </w:instrText>
      </w:r>
      <w:r>
        <w:rPr>
          <w:color w:val="auto"/>
        </w:rPr>
        <w:fldChar w:fldCharType="separate"/>
      </w:r>
      <w:r>
        <w:rPr>
          <w:color w:val="auto"/>
        </w:rPr>
        <w:t>- 33 -</w:t>
      </w:r>
      <w:r>
        <w:rPr>
          <w:color w:val="auto"/>
        </w:rPr>
        <w:fldChar w:fldCharType="end"/>
      </w:r>
      <w:r>
        <w:rPr>
          <w:rFonts w:hint="eastAsia" w:ascii="仿宋" w:hAnsi="仿宋" w:eastAsia="仿宋" w:cs="仿宋"/>
          <w:color w:val="auto"/>
          <w:szCs w:val="21"/>
        </w:rPr>
        <w:fldChar w:fldCharType="end"/>
      </w:r>
    </w:p>
    <w:p w14:paraId="5E3808A3">
      <w:pPr>
        <w:pStyle w:val="17"/>
        <w:tabs>
          <w:tab w:val="right" w:leader="dot" w:pos="9402"/>
        </w:tabs>
        <w:spacing w:line="360" w:lineRule="auto"/>
        <w:ind w:left="560"/>
        <w:jc w:val="center"/>
        <w:rPr>
          <w:rFonts w:hint="eastAsia" w:ascii="仿宋" w:hAnsi="仿宋" w:eastAsia="仿宋" w:cs="仿宋"/>
          <w:color w:val="auto"/>
          <w:sz w:val="18"/>
          <w:szCs w:val="22"/>
        </w:rPr>
        <w:sectPr>
          <w:footerReference r:id="rId7" w:type="default"/>
          <w:pgSz w:w="11907" w:h="16840"/>
          <w:pgMar w:top="1134" w:right="1191" w:bottom="1134" w:left="1304" w:header="851" w:footer="992" w:gutter="0"/>
          <w:pgNumType w:fmt="numberInDash" w:start="1"/>
          <w:cols w:space="720" w:num="1"/>
          <w:docGrid w:linePitch="380" w:charSpace="-5735"/>
        </w:sectPr>
      </w:pPr>
      <w:r>
        <w:rPr>
          <w:rFonts w:hint="eastAsia" w:ascii="仿宋" w:hAnsi="仿宋" w:eastAsia="仿宋" w:cs="仿宋"/>
          <w:color w:val="auto"/>
          <w:szCs w:val="21"/>
        </w:rPr>
        <w:fldChar w:fldCharType="end"/>
      </w:r>
    </w:p>
    <w:p w14:paraId="27B459FE">
      <w:pPr>
        <w:pStyle w:val="5"/>
        <w:spacing w:line="360" w:lineRule="auto"/>
        <w:jc w:val="center"/>
        <w:rPr>
          <w:rFonts w:hint="eastAsia" w:ascii="仿宋" w:hAnsi="仿宋" w:eastAsia="仿宋" w:cs="仿宋"/>
          <w:b w:val="0"/>
          <w:color w:val="auto"/>
          <w:szCs w:val="30"/>
        </w:rPr>
      </w:pPr>
      <w:bookmarkStart w:id="0" w:name="_Toc12789052"/>
      <w:bookmarkStart w:id="1" w:name="_Toc10569"/>
      <w:bookmarkStart w:id="2" w:name="_Toc11641050"/>
      <w:r>
        <w:rPr>
          <w:rFonts w:hint="eastAsia" w:ascii="仿宋" w:hAnsi="仿宋" w:eastAsia="仿宋" w:cs="仿宋"/>
          <w:b w:val="0"/>
          <w:color w:val="auto"/>
          <w:sz w:val="36"/>
          <w:szCs w:val="30"/>
        </w:rPr>
        <w:t>第一篇  采购邀请书</w:t>
      </w:r>
      <w:bookmarkEnd w:id="0"/>
      <w:bookmarkEnd w:id="1"/>
      <w:bookmarkEnd w:id="2"/>
    </w:p>
    <w:p w14:paraId="5A331D6A">
      <w:pPr>
        <w:spacing w:line="360" w:lineRule="auto"/>
        <w:ind w:firstLine="480"/>
        <w:rPr>
          <w:rFonts w:hint="eastAsia" w:ascii="仿宋" w:hAnsi="仿宋" w:eastAsia="仿宋" w:cs="仿宋"/>
          <w:color w:val="auto"/>
          <w:sz w:val="24"/>
          <w:szCs w:val="24"/>
        </w:rPr>
      </w:pPr>
      <w:r>
        <w:rPr>
          <w:rFonts w:hint="eastAsia" w:ascii="仿宋" w:hAnsi="仿宋" w:eastAsia="仿宋" w:cs="仿宋"/>
          <w:color w:val="auto"/>
          <w:sz w:val="24"/>
          <w:szCs w:val="24"/>
          <w:lang w:eastAsia="zh-CN"/>
        </w:rPr>
        <w:t>重庆修为工程咨询有限公司</w:t>
      </w:r>
      <w:r>
        <w:rPr>
          <w:rFonts w:hint="eastAsia" w:ascii="仿宋" w:hAnsi="仿宋" w:eastAsia="仿宋" w:cs="仿宋"/>
          <w:color w:val="auto"/>
          <w:sz w:val="24"/>
          <w:szCs w:val="24"/>
        </w:rPr>
        <w:t>（以下简称：采购代理机构）接受</w:t>
      </w:r>
      <w:r>
        <w:rPr>
          <w:rFonts w:hint="eastAsia" w:ascii="仿宋" w:hAnsi="仿宋" w:eastAsia="仿宋" w:cs="仿宋"/>
          <w:color w:val="auto"/>
          <w:sz w:val="24"/>
          <w:szCs w:val="24"/>
          <w:lang w:eastAsia="zh-CN"/>
        </w:rPr>
        <w:t>重庆大足石刻国际文化旅游集团有限公司</w:t>
      </w:r>
      <w:r>
        <w:rPr>
          <w:rFonts w:hint="eastAsia" w:ascii="仿宋" w:hAnsi="仿宋" w:eastAsia="仿宋" w:cs="仿宋"/>
          <w:color w:val="auto"/>
          <w:sz w:val="24"/>
          <w:szCs w:val="24"/>
        </w:rPr>
        <w:t>的委托，对</w:t>
      </w:r>
      <w:r>
        <w:rPr>
          <w:rFonts w:hint="eastAsia" w:ascii="仿宋" w:hAnsi="仿宋" w:eastAsia="仿宋" w:cs="仿宋"/>
          <w:color w:val="auto"/>
          <w:sz w:val="24"/>
          <w:szCs w:val="24"/>
          <w:lang w:eastAsia="zh-CN"/>
        </w:rPr>
        <w:t>文旅集团职工食堂劳务外包服务</w:t>
      </w:r>
      <w:r>
        <w:rPr>
          <w:rFonts w:hint="eastAsia" w:ascii="仿宋" w:hAnsi="仿宋" w:eastAsia="仿宋" w:cs="仿宋"/>
          <w:color w:val="auto"/>
          <w:sz w:val="24"/>
          <w:szCs w:val="24"/>
        </w:rPr>
        <w:t>进行采购。欢迎有资格的供应商前来参与</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w:t>
      </w:r>
    </w:p>
    <w:p w14:paraId="49E59883">
      <w:pPr>
        <w:pStyle w:val="6"/>
        <w:spacing w:before="120" w:beforeLines="50" w:after="120" w:afterLines="50" w:line="360" w:lineRule="auto"/>
        <w:ind w:firstLine="241" w:firstLineChars="100"/>
        <w:rPr>
          <w:rFonts w:hint="eastAsia" w:ascii="仿宋" w:hAnsi="仿宋" w:eastAsia="仿宋" w:cs="仿宋"/>
          <w:color w:val="auto"/>
          <w:sz w:val="24"/>
          <w:szCs w:val="24"/>
        </w:rPr>
      </w:pPr>
      <w:bookmarkStart w:id="3" w:name="_Toc28275"/>
      <w:bookmarkStart w:id="4" w:name="_Toc317775175"/>
      <w:bookmarkStart w:id="5" w:name="_Toc313893526"/>
      <w:r>
        <w:rPr>
          <w:rFonts w:hint="eastAsia" w:ascii="仿宋" w:hAnsi="仿宋" w:eastAsia="仿宋" w:cs="仿宋"/>
          <w:color w:val="auto"/>
          <w:sz w:val="24"/>
          <w:szCs w:val="24"/>
        </w:rPr>
        <w:t>一、</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内容</w:t>
      </w:r>
      <w:bookmarkEnd w:id="3"/>
      <w:bookmarkEnd w:id="4"/>
      <w:bookmarkEnd w:id="5"/>
    </w:p>
    <w:tbl>
      <w:tblPr>
        <w:tblStyle w:val="19"/>
        <w:tblW w:w="8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876"/>
        <w:gridCol w:w="1718"/>
        <w:gridCol w:w="1596"/>
        <w:gridCol w:w="1596"/>
      </w:tblGrid>
      <w:tr w14:paraId="3D3C1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jc w:val="center"/>
        </w:trPr>
        <w:tc>
          <w:tcPr>
            <w:tcW w:w="3876" w:type="dxa"/>
            <w:tcBorders>
              <w:top w:val="single" w:color="auto" w:sz="4" w:space="0"/>
              <w:left w:val="single" w:color="auto" w:sz="4" w:space="0"/>
              <w:right w:val="single" w:color="auto" w:sz="4" w:space="0"/>
            </w:tcBorders>
            <w:noWrap w:val="0"/>
            <w:vAlign w:val="center"/>
          </w:tcPr>
          <w:p w14:paraId="089435CC">
            <w:pPr>
              <w:widowControl/>
              <w:jc w:val="center"/>
              <w:rPr>
                <w:rFonts w:hint="eastAsia" w:ascii="仿宋" w:hAnsi="仿宋" w:eastAsia="仿宋" w:cs="仿宋"/>
                <w:b/>
                <w:bCs/>
                <w:color w:val="auto"/>
                <w:kern w:val="0"/>
                <w:sz w:val="21"/>
                <w:szCs w:val="24"/>
                <w:lang w:val="en-US" w:eastAsia="zh-CN"/>
              </w:rPr>
            </w:pPr>
            <w:bookmarkStart w:id="6" w:name="_Toc373860293"/>
            <w:bookmarkStart w:id="7" w:name="_Toc317775178"/>
            <w:r>
              <w:rPr>
                <w:rFonts w:hint="eastAsia" w:ascii="仿宋" w:hAnsi="仿宋" w:eastAsia="仿宋" w:cs="仿宋"/>
                <w:b/>
                <w:bCs/>
                <w:color w:val="auto"/>
                <w:kern w:val="0"/>
                <w:sz w:val="21"/>
                <w:szCs w:val="24"/>
                <w:lang w:eastAsia="zh-CN"/>
              </w:rPr>
              <w:t>项目</w:t>
            </w:r>
            <w:r>
              <w:rPr>
                <w:rFonts w:hint="eastAsia" w:ascii="仿宋" w:hAnsi="仿宋" w:eastAsia="仿宋" w:cs="仿宋"/>
                <w:b/>
                <w:bCs/>
                <w:color w:val="auto"/>
                <w:kern w:val="0"/>
                <w:sz w:val="21"/>
                <w:szCs w:val="24"/>
              </w:rPr>
              <w:t>名称</w:t>
            </w:r>
          </w:p>
        </w:tc>
        <w:tc>
          <w:tcPr>
            <w:tcW w:w="1718" w:type="dxa"/>
            <w:tcBorders>
              <w:top w:val="single" w:color="auto" w:sz="4" w:space="0"/>
              <w:left w:val="single" w:color="auto" w:sz="4" w:space="0"/>
              <w:right w:val="single" w:color="auto" w:sz="4" w:space="0"/>
            </w:tcBorders>
            <w:noWrap w:val="0"/>
            <w:vAlign w:val="center"/>
          </w:tcPr>
          <w:p w14:paraId="3B7A1FC0">
            <w:pPr>
              <w:jc w:val="center"/>
              <w:rPr>
                <w:rFonts w:hint="eastAsia" w:ascii="仿宋" w:hAnsi="仿宋" w:eastAsia="仿宋" w:cs="仿宋"/>
                <w:b/>
                <w:bCs/>
                <w:color w:val="auto"/>
                <w:kern w:val="0"/>
                <w:sz w:val="21"/>
                <w:szCs w:val="24"/>
              </w:rPr>
            </w:pPr>
            <w:r>
              <w:rPr>
                <w:rFonts w:hint="eastAsia" w:ascii="仿宋" w:hAnsi="仿宋" w:eastAsia="仿宋" w:cs="仿宋"/>
                <w:b/>
                <w:bCs/>
                <w:color w:val="auto"/>
                <w:kern w:val="0"/>
                <w:sz w:val="21"/>
                <w:szCs w:val="24"/>
              </w:rPr>
              <w:t>最高限价（元）</w:t>
            </w:r>
          </w:p>
        </w:tc>
        <w:tc>
          <w:tcPr>
            <w:tcW w:w="1596" w:type="dxa"/>
            <w:tcBorders>
              <w:top w:val="single" w:color="auto" w:sz="4" w:space="0"/>
              <w:left w:val="single" w:color="auto" w:sz="4" w:space="0"/>
              <w:right w:val="single" w:color="auto" w:sz="4" w:space="0"/>
            </w:tcBorders>
            <w:noWrap w:val="0"/>
            <w:vAlign w:val="center"/>
          </w:tcPr>
          <w:p w14:paraId="3F485136">
            <w:pPr>
              <w:jc w:val="center"/>
              <w:rPr>
                <w:rFonts w:hint="eastAsia" w:ascii="仿宋" w:hAnsi="仿宋" w:eastAsia="仿宋" w:cs="仿宋"/>
                <w:b/>
                <w:bCs/>
                <w:color w:val="auto"/>
                <w:kern w:val="0"/>
                <w:sz w:val="21"/>
                <w:szCs w:val="24"/>
              </w:rPr>
            </w:pPr>
            <w:r>
              <w:rPr>
                <w:rFonts w:hint="eastAsia" w:ascii="仿宋" w:hAnsi="仿宋" w:eastAsia="仿宋" w:cs="仿宋"/>
                <w:b/>
                <w:bCs/>
                <w:color w:val="auto"/>
                <w:kern w:val="0"/>
                <w:sz w:val="21"/>
                <w:szCs w:val="24"/>
              </w:rPr>
              <w:t>成交供应商数量（名）</w:t>
            </w:r>
          </w:p>
        </w:tc>
        <w:tc>
          <w:tcPr>
            <w:tcW w:w="1596" w:type="dxa"/>
            <w:tcBorders>
              <w:top w:val="single" w:color="auto" w:sz="4" w:space="0"/>
              <w:left w:val="single" w:color="auto" w:sz="4" w:space="0"/>
              <w:right w:val="single" w:color="auto" w:sz="4" w:space="0"/>
            </w:tcBorders>
            <w:noWrap w:val="0"/>
            <w:vAlign w:val="center"/>
          </w:tcPr>
          <w:p w14:paraId="6268BF07">
            <w:pPr>
              <w:widowControl/>
              <w:jc w:val="center"/>
              <w:rPr>
                <w:rFonts w:hint="eastAsia" w:ascii="仿宋" w:hAnsi="仿宋" w:eastAsia="仿宋" w:cs="仿宋"/>
                <w:b/>
                <w:bCs/>
                <w:color w:val="auto"/>
                <w:kern w:val="0"/>
                <w:sz w:val="21"/>
                <w:szCs w:val="24"/>
              </w:rPr>
            </w:pPr>
            <w:r>
              <w:rPr>
                <w:rFonts w:hint="eastAsia" w:ascii="仿宋" w:hAnsi="仿宋" w:eastAsia="仿宋" w:cs="仿宋"/>
                <w:b/>
                <w:bCs/>
                <w:color w:val="auto"/>
                <w:kern w:val="0"/>
                <w:sz w:val="21"/>
                <w:szCs w:val="24"/>
                <w:lang w:eastAsia="zh-CN"/>
              </w:rPr>
              <w:t>备注</w:t>
            </w:r>
          </w:p>
        </w:tc>
      </w:tr>
      <w:tr w14:paraId="5CCB7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jc w:val="center"/>
        </w:trPr>
        <w:tc>
          <w:tcPr>
            <w:tcW w:w="3876" w:type="dxa"/>
            <w:tcBorders>
              <w:top w:val="single" w:color="auto" w:sz="4" w:space="0"/>
              <w:left w:val="single" w:color="auto" w:sz="4" w:space="0"/>
              <w:bottom w:val="single" w:color="auto" w:sz="4" w:space="0"/>
              <w:right w:val="single" w:color="auto" w:sz="4" w:space="0"/>
            </w:tcBorders>
            <w:noWrap w:val="0"/>
            <w:vAlign w:val="center"/>
          </w:tcPr>
          <w:p w14:paraId="706E3FB7">
            <w:pPr>
              <w:widowControl/>
              <w:jc w:val="left"/>
              <w:rPr>
                <w:rFonts w:hint="default" w:ascii="仿宋" w:hAnsi="仿宋" w:eastAsia="仿宋" w:cs="仿宋"/>
                <w:color w:val="auto"/>
                <w:kern w:val="0"/>
                <w:sz w:val="24"/>
                <w:szCs w:val="32"/>
                <w:lang w:val="en-US" w:eastAsia="zh-CN"/>
              </w:rPr>
            </w:pPr>
            <w:bookmarkStart w:id="8" w:name="_Hlk344477914"/>
            <w:r>
              <w:rPr>
                <w:rFonts w:hint="eastAsia" w:ascii="仿宋" w:hAnsi="仿宋" w:eastAsia="仿宋" w:cs="仿宋"/>
                <w:color w:val="auto"/>
                <w:kern w:val="0"/>
                <w:sz w:val="24"/>
                <w:szCs w:val="32"/>
                <w:lang w:val="en-US" w:eastAsia="zh-CN"/>
              </w:rPr>
              <w:t>文旅集团职工食堂劳务外包服务</w:t>
            </w:r>
          </w:p>
        </w:tc>
        <w:tc>
          <w:tcPr>
            <w:tcW w:w="1718" w:type="dxa"/>
            <w:tcBorders>
              <w:top w:val="single" w:color="auto" w:sz="4" w:space="0"/>
              <w:left w:val="single" w:color="auto" w:sz="4" w:space="0"/>
              <w:bottom w:val="single" w:color="auto" w:sz="4" w:space="0"/>
              <w:right w:val="single" w:color="auto" w:sz="4" w:space="0"/>
            </w:tcBorders>
            <w:noWrap w:val="0"/>
            <w:vAlign w:val="center"/>
          </w:tcPr>
          <w:p w14:paraId="35EC1D01">
            <w:pPr>
              <w:widowControl/>
              <w:jc w:val="center"/>
              <w:rPr>
                <w:rFonts w:hint="eastAsia" w:ascii="仿宋" w:hAnsi="仿宋" w:eastAsia="仿宋" w:cs="仿宋"/>
                <w:color w:val="auto"/>
                <w:kern w:val="0"/>
                <w:sz w:val="24"/>
                <w:szCs w:val="32"/>
                <w:lang w:val="en-US" w:eastAsia="zh-CN"/>
              </w:rPr>
            </w:pPr>
            <w:r>
              <w:rPr>
                <w:rFonts w:hint="eastAsia" w:ascii="仿宋" w:hAnsi="仿宋" w:eastAsia="仿宋" w:cs="仿宋"/>
                <w:color w:val="auto"/>
                <w:kern w:val="0"/>
                <w:sz w:val="24"/>
                <w:szCs w:val="32"/>
                <w:lang w:val="en-US" w:eastAsia="zh-CN"/>
              </w:rPr>
              <w:t>288000.00</w:t>
            </w:r>
          </w:p>
        </w:tc>
        <w:tc>
          <w:tcPr>
            <w:tcW w:w="1596" w:type="dxa"/>
            <w:tcBorders>
              <w:top w:val="single" w:color="auto" w:sz="4" w:space="0"/>
              <w:left w:val="single" w:color="auto" w:sz="4" w:space="0"/>
              <w:bottom w:val="single" w:color="auto" w:sz="4" w:space="0"/>
              <w:right w:val="single" w:color="auto" w:sz="4" w:space="0"/>
            </w:tcBorders>
            <w:noWrap w:val="0"/>
            <w:vAlign w:val="center"/>
          </w:tcPr>
          <w:p w14:paraId="0EA737E9">
            <w:pPr>
              <w:widowControl/>
              <w:jc w:val="center"/>
              <w:rPr>
                <w:rFonts w:hint="eastAsia" w:ascii="仿宋" w:hAnsi="仿宋" w:eastAsia="仿宋" w:cs="仿宋"/>
                <w:color w:val="auto"/>
                <w:kern w:val="0"/>
                <w:sz w:val="24"/>
                <w:szCs w:val="32"/>
                <w:lang w:val="en-US" w:eastAsia="zh-CN"/>
              </w:rPr>
            </w:pPr>
            <w:r>
              <w:rPr>
                <w:rFonts w:hint="eastAsia" w:ascii="仿宋" w:hAnsi="仿宋" w:eastAsia="仿宋" w:cs="仿宋"/>
                <w:color w:val="auto"/>
                <w:kern w:val="0"/>
                <w:sz w:val="24"/>
                <w:szCs w:val="32"/>
                <w:lang w:val="en-US" w:eastAsia="zh-CN"/>
              </w:rPr>
              <w:t>1</w:t>
            </w:r>
          </w:p>
        </w:tc>
        <w:tc>
          <w:tcPr>
            <w:tcW w:w="1596" w:type="dxa"/>
            <w:tcBorders>
              <w:top w:val="single" w:color="auto" w:sz="4" w:space="0"/>
              <w:left w:val="single" w:color="auto" w:sz="4" w:space="0"/>
              <w:bottom w:val="single" w:color="auto" w:sz="4" w:space="0"/>
              <w:right w:val="single" w:color="auto" w:sz="4" w:space="0"/>
            </w:tcBorders>
            <w:noWrap w:val="0"/>
            <w:vAlign w:val="center"/>
          </w:tcPr>
          <w:p w14:paraId="48F7DFF4">
            <w:pPr>
              <w:widowControl/>
              <w:jc w:val="center"/>
              <w:rPr>
                <w:rFonts w:hint="eastAsia" w:ascii="仿宋" w:hAnsi="仿宋" w:eastAsia="仿宋" w:cs="仿宋"/>
                <w:color w:val="auto"/>
                <w:kern w:val="0"/>
                <w:sz w:val="24"/>
                <w:szCs w:val="32"/>
                <w:lang w:val="en-US" w:eastAsia="zh-CN"/>
              </w:rPr>
            </w:pPr>
            <w:r>
              <w:rPr>
                <w:rFonts w:hint="eastAsia" w:ascii="仿宋" w:hAnsi="仿宋" w:eastAsia="仿宋" w:cs="仿宋"/>
                <w:color w:val="auto"/>
                <w:kern w:val="0"/>
                <w:sz w:val="24"/>
                <w:szCs w:val="32"/>
                <w:lang w:val="en-US" w:eastAsia="zh-CN"/>
              </w:rPr>
              <w:t>不接受联合体投标</w:t>
            </w:r>
          </w:p>
        </w:tc>
      </w:tr>
      <w:bookmarkEnd w:id="8"/>
    </w:tbl>
    <w:p w14:paraId="3400E3D2">
      <w:pPr>
        <w:pStyle w:val="6"/>
        <w:spacing w:before="120" w:beforeLines="50" w:after="120" w:afterLines="50" w:line="360" w:lineRule="auto"/>
        <w:ind w:firstLine="241" w:firstLineChars="100"/>
        <w:rPr>
          <w:rFonts w:hint="eastAsia" w:ascii="仿宋" w:hAnsi="仿宋" w:eastAsia="仿宋" w:cs="仿宋"/>
          <w:color w:val="auto"/>
          <w:sz w:val="24"/>
          <w:szCs w:val="24"/>
        </w:rPr>
      </w:pPr>
      <w:bookmarkStart w:id="9" w:name="_Toc6166"/>
      <w:r>
        <w:rPr>
          <w:rFonts w:hint="eastAsia" w:ascii="仿宋" w:hAnsi="仿宋" w:eastAsia="仿宋" w:cs="仿宋"/>
          <w:color w:val="auto"/>
          <w:sz w:val="24"/>
          <w:szCs w:val="24"/>
        </w:rPr>
        <w:t>二、资金来源</w:t>
      </w:r>
      <w:bookmarkEnd w:id="9"/>
    </w:p>
    <w:p w14:paraId="78D43967">
      <w:pPr>
        <w:pStyle w:val="6"/>
        <w:spacing w:before="120" w:beforeLines="50" w:after="120" w:afterLines="50" w:line="360" w:lineRule="auto"/>
        <w:ind w:firstLine="240" w:firstLineChars="100"/>
        <w:rPr>
          <w:rFonts w:hint="eastAsia" w:ascii="仿宋" w:hAnsi="仿宋" w:eastAsia="仿宋" w:cs="仿宋"/>
          <w:b w:val="0"/>
          <w:bCs/>
          <w:color w:val="auto"/>
          <w:sz w:val="24"/>
          <w:szCs w:val="24"/>
        </w:rPr>
      </w:pPr>
      <w:bookmarkStart w:id="10" w:name="_Toc25762"/>
      <w:bookmarkStart w:id="11" w:name="_Toc19638"/>
      <w:r>
        <w:rPr>
          <w:rFonts w:hint="eastAsia" w:ascii="仿宋" w:hAnsi="仿宋" w:eastAsia="仿宋" w:cs="仿宋"/>
          <w:b w:val="0"/>
          <w:bCs/>
          <w:color w:val="auto"/>
          <w:sz w:val="24"/>
          <w:szCs w:val="24"/>
          <w:lang w:eastAsia="zh-CN"/>
        </w:rPr>
        <w:t>自筹</w:t>
      </w:r>
      <w:r>
        <w:rPr>
          <w:rFonts w:hint="eastAsia" w:ascii="仿宋" w:hAnsi="仿宋" w:eastAsia="仿宋" w:cs="仿宋"/>
          <w:b w:val="0"/>
          <w:bCs/>
          <w:color w:val="auto"/>
          <w:sz w:val="24"/>
          <w:szCs w:val="24"/>
        </w:rPr>
        <w:t>资金，预算金额为</w:t>
      </w:r>
      <w:r>
        <w:rPr>
          <w:rFonts w:hint="eastAsia" w:ascii="仿宋" w:hAnsi="仿宋" w:eastAsia="仿宋" w:cs="仿宋"/>
          <w:b w:val="0"/>
          <w:bCs/>
          <w:color w:val="auto"/>
          <w:sz w:val="24"/>
          <w:szCs w:val="24"/>
          <w:lang w:val="en-US" w:eastAsia="zh-CN"/>
        </w:rPr>
        <w:t>28.8</w:t>
      </w:r>
      <w:r>
        <w:rPr>
          <w:rFonts w:hint="eastAsia" w:ascii="仿宋" w:hAnsi="仿宋" w:eastAsia="仿宋" w:cs="仿宋"/>
          <w:b w:val="0"/>
          <w:bCs/>
          <w:color w:val="auto"/>
          <w:sz w:val="24"/>
          <w:szCs w:val="24"/>
        </w:rPr>
        <w:t>万元。</w:t>
      </w:r>
      <w:bookmarkEnd w:id="10"/>
      <w:bookmarkEnd w:id="11"/>
    </w:p>
    <w:p w14:paraId="248ADB56">
      <w:pPr>
        <w:pStyle w:val="6"/>
        <w:spacing w:before="120" w:beforeLines="50" w:after="120" w:afterLines="50" w:line="360" w:lineRule="auto"/>
        <w:ind w:firstLine="241" w:firstLineChars="100"/>
        <w:rPr>
          <w:rFonts w:hint="eastAsia" w:ascii="仿宋" w:hAnsi="仿宋" w:eastAsia="仿宋" w:cs="仿宋"/>
          <w:color w:val="auto"/>
          <w:sz w:val="24"/>
          <w:szCs w:val="24"/>
        </w:rPr>
      </w:pPr>
      <w:bookmarkStart w:id="12" w:name="_Toc876"/>
      <w:r>
        <w:rPr>
          <w:rFonts w:hint="eastAsia" w:ascii="仿宋" w:hAnsi="仿宋" w:eastAsia="仿宋" w:cs="仿宋"/>
          <w:color w:val="auto"/>
          <w:sz w:val="24"/>
          <w:szCs w:val="24"/>
        </w:rPr>
        <w:t>三、供应商资格条件</w:t>
      </w:r>
      <w:bookmarkEnd w:id="12"/>
    </w:p>
    <w:p w14:paraId="56CEAE51">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（一）满足《中华人民共和国政府采购法》第二十二条规定；</w:t>
      </w:r>
    </w:p>
    <w:p w14:paraId="65132EF1">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（二）落实政府采购政策需满足的资格要求：</w:t>
      </w:r>
      <w:r>
        <w:rPr>
          <w:rFonts w:hint="eastAsia" w:ascii="仿宋" w:hAnsi="仿宋" w:eastAsia="仿宋" w:cs="仿宋"/>
          <w:color w:val="auto"/>
          <w:sz w:val="24"/>
          <w:szCs w:val="24"/>
          <w:lang w:val="en-US" w:eastAsia="zh-CN"/>
        </w:rPr>
        <w:t>无。</w:t>
      </w:r>
    </w:p>
    <w:p w14:paraId="55A3F4CF">
      <w:pPr>
        <w:spacing w:line="360" w:lineRule="auto"/>
        <w:ind w:firstLine="480" w:firstLineChars="200"/>
        <w:rPr>
          <w:rFonts w:hint="eastAsia" w:ascii="仿宋" w:hAnsi="仿宋" w:eastAsia="仿宋" w:cs="仿宋"/>
          <w:color w:val="auto"/>
          <w:sz w:val="24"/>
          <w:szCs w:val="24"/>
          <w:lang w:eastAsia="zh-CN"/>
        </w:rPr>
      </w:pPr>
      <w:r>
        <w:rPr>
          <w:rFonts w:hint="eastAsia" w:ascii="仿宋" w:hAnsi="仿宋" w:eastAsia="仿宋" w:cs="仿宋"/>
          <w:color w:val="auto"/>
          <w:sz w:val="24"/>
          <w:szCs w:val="24"/>
        </w:rPr>
        <w:t>（三）本项目的特定资格要求：</w:t>
      </w:r>
      <w:r>
        <w:rPr>
          <w:rFonts w:hint="eastAsia" w:ascii="仿宋" w:hAnsi="仿宋" w:eastAsia="仿宋" w:cs="仿宋"/>
          <w:color w:val="auto"/>
          <w:sz w:val="24"/>
          <w:szCs w:val="24"/>
          <w:lang w:eastAsia="zh-CN"/>
        </w:rPr>
        <w:t>无。</w:t>
      </w:r>
    </w:p>
    <w:bookmarkEnd w:id="6"/>
    <w:bookmarkEnd w:id="7"/>
    <w:p w14:paraId="04A98EC6">
      <w:pPr>
        <w:pStyle w:val="6"/>
        <w:spacing w:before="120" w:beforeLines="50" w:after="120" w:afterLines="50" w:line="360" w:lineRule="auto"/>
        <w:ind w:firstLine="241" w:firstLineChars="100"/>
        <w:rPr>
          <w:rFonts w:hint="eastAsia" w:ascii="仿宋" w:hAnsi="仿宋" w:eastAsia="仿宋" w:cs="仿宋"/>
          <w:b/>
          <w:color w:val="auto"/>
          <w:sz w:val="24"/>
          <w:szCs w:val="24"/>
          <w:lang w:val="en-US" w:eastAsia="zh-CN"/>
        </w:rPr>
      </w:pPr>
      <w:bookmarkStart w:id="13" w:name="_Toc1961"/>
      <w:bookmarkStart w:id="14" w:name="_Toc26103"/>
      <w:bookmarkStart w:id="15" w:name="_Toc531184286"/>
      <w:r>
        <w:rPr>
          <w:rFonts w:hint="eastAsia" w:ascii="仿宋" w:hAnsi="仿宋" w:eastAsia="仿宋" w:cs="仿宋"/>
          <w:b/>
          <w:color w:val="auto"/>
          <w:sz w:val="24"/>
          <w:szCs w:val="24"/>
          <w:lang w:val="en-US" w:eastAsia="zh-CN"/>
        </w:rPr>
        <w:t>四、询比有关说明</w:t>
      </w:r>
      <w:bookmarkEnd w:id="13"/>
      <w:bookmarkEnd w:id="14"/>
    </w:p>
    <w:p w14:paraId="219E32EE">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（一）本项目</w:t>
      </w:r>
      <w:r>
        <w:rPr>
          <w:rFonts w:hint="eastAsia" w:ascii="仿宋" w:hAnsi="仿宋" w:eastAsia="仿宋" w:cs="仿宋"/>
          <w:color w:val="auto"/>
          <w:sz w:val="24"/>
          <w:szCs w:val="24"/>
          <w:lang w:eastAsia="zh-CN"/>
        </w:rPr>
        <w:t>采购公告</w:t>
      </w:r>
      <w:r>
        <w:rPr>
          <w:rFonts w:hint="eastAsia" w:ascii="仿宋" w:hAnsi="仿宋" w:eastAsia="仿宋" w:cs="仿宋"/>
          <w:color w:val="auto"/>
          <w:sz w:val="24"/>
          <w:szCs w:val="24"/>
        </w:rPr>
        <w:t>于</w:t>
      </w:r>
      <w:r>
        <w:rPr>
          <w:rFonts w:hint="eastAsia" w:ascii="仿宋" w:hAnsi="仿宋" w:eastAsia="仿宋" w:cs="仿宋"/>
          <w:color w:val="auto"/>
          <w:sz w:val="24"/>
          <w:szCs w:val="24"/>
          <w:lang w:eastAsia="zh-CN"/>
        </w:rPr>
        <w:t>2026</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月</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日在行采家网（https://www.gec12</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.com/）发布。</w:t>
      </w:r>
    </w:p>
    <w:p w14:paraId="7731A787">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供应商需通过行采家网（https://www.gec12</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.com/）在“供应商库”进行注册，成为正式供应商方能参与采购活动。</w:t>
      </w:r>
    </w:p>
    <w:p w14:paraId="746E9627">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w:t>
      </w:r>
      <w:r>
        <w:rPr>
          <w:rFonts w:hint="eastAsia" w:ascii="仿宋" w:hAnsi="仿宋" w:eastAsia="仿宋" w:cs="仿宋"/>
          <w:color w:val="auto"/>
          <w:sz w:val="24"/>
          <w:szCs w:val="24"/>
          <w:lang w:eastAsia="zh-CN"/>
        </w:rPr>
        <w:t>采购公告</w:t>
      </w:r>
      <w:r>
        <w:rPr>
          <w:rFonts w:hint="eastAsia" w:ascii="仿宋" w:hAnsi="仿宋" w:eastAsia="仿宋" w:cs="仿宋"/>
          <w:color w:val="auto"/>
          <w:sz w:val="24"/>
          <w:szCs w:val="24"/>
        </w:rPr>
        <w:t>期限：自采购公告发布之日起</w:t>
      </w:r>
      <w:r>
        <w:rPr>
          <w:rFonts w:hint="eastAsia" w:ascii="仿宋" w:hAnsi="仿宋" w:eastAsia="仿宋" w:cs="仿宋"/>
          <w:color w:val="auto"/>
          <w:sz w:val="24"/>
          <w:szCs w:val="24"/>
          <w:lang w:eastAsia="zh-CN"/>
        </w:rPr>
        <w:t>三</w:t>
      </w:r>
      <w:r>
        <w:rPr>
          <w:rFonts w:hint="eastAsia" w:ascii="仿宋" w:hAnsi="仿宋" w:eastAsia="仿宋" w:cs="仿宋"/>
          <w:color w:val="auto"/>
          <w:sz w:val="24"/>
          <w:szCs w:val="24"/>
        </w:rPr>
        <w:t>个工作日。</w:t>
      </w:r>
    </w:p>
    <w:p w14:paraId="1A62992F">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 报名和递交投标文件时间、地点</w:t>
      </w:r>
    </w:p>
    <w:p w14:paraId="3CB03162">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1.</w:t>
      </w:r>
      <w:r>
        <w:rPr>
          <w:rFonts w:hint="eastAsia" w:ascii="仿宋" w:hAnsi="仿宋" w:eastAsia="仿宋" w:cs="仿宋"/>
          <w:color w:val="auto"/>
          <w:sz w:val="24"/>
          <w:szCs w:val="24"/>
          <w:lang w:val="en-US" w:eastAsia="zh-CN"/>
        </w:rPr>
        <w:t>请于2026年    月   日至2026年   月  日 17时前，将报名资料（发售登记表）加盖单位公章扫描后，发送至260050530@qq.com。</w:t>
      </w:r>
    </w:p>
    <w:p w14:paraId="287D1DCC">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售价：人民币500元/</w:t>
      </w:r>
      <w:r>
        <w:rPr>
          <w:rFonts w:hint="eastAsia" w:ascii="仿宋" w:hAnsi="仿宋" w:eastAsia="仿宋" w:cs="仿宋"/>
          <w:color w:val="auto"/>
          <w:sz w:val="24"/>
          <w:szCs w:val="24"/>
          <w:lang w:val="en-US" w:eastAsia="zh-CN"/>
        </w:rPr>
        <w:t>每分包</w:t>
      </w:r>
      <w:r>
        <w:rPr>
          <w:rFonts w:hint="eastAsia" w:ascii="仿宋" w:hAnsi="仿宋" w:eastAsia="仿宋" w:cs="仿宋"/>
          <w:color w:val="auto"/>
          <w:sz w:val="24"/>
          <w:szCs w:val="24"/>
        </w:rPr>
        <w:t>（售后不退）</w:t>
      </w:r>
    </w:p>
    <w:p w14:paraId="77C6D80A">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注：在规定的报名时间内，将报名表发送至指定邮箱的供应商，其报名和响应文件才能被接收。</w:t>
      </w:r>
    </w:p>
    <w:p w14:paraId="6D7D5E00">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3.线上报名</w:t>
      </w:r>
    </w:p>
    <w:p w14:paraId="68A72EA0">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3.1线上报名起止时间：公告发布后即可报名至2026年  月   日17时00分（北京时间）。</w:t>
      </w:r>
    </w:p>
    <w:p w14:paraId="12A35AF3">
      <w:pPr>
        <w:spacing w:line="360" w:lineRule="auto"/>
        <w:ind w:firstLine="480" w:firstLineChars="200"/>
        <w:rPr>
          <w:rFonts w:hint="eastAsia" w:ascii="仿宋" w:hAnsi="仿宋" w:eastAsia="仿宋" w:cs="仿宋"/>
          <w:color w:val="auto"/>
          <w:sz w:val="24"/>
          <w:szCs w:val="24"/>
          <w:lang w:val="en-US" w:eastAsia="zh-CN"/>
        </w:rPr>
      </w:pPr>
      <w:bookmarkStart w:id="16" w:name="_Toc4625"/>
      <w:bookmarkStart w:id="17" w:name="_Toc11459"/>
      <w:bookmarkStart w:id="18" w:name="_Toc15591"/>
      <w:bookmarkStart w:id="19" w:name="_Toc16654"/>
      <w:r>
        <w:rPr>
          <w:rFonts w:hint="eastAsia" w:ascii="仿宋" w:hAnsi="仿宋" w:eastAsia="仿宋" w:cs="仿宋"/>
          <w:color w:val="auto"/>
          <w:sz w:val="24"/>
          <w:szCs w:val="24"/>
          <w:lang w:val="en-US" w:eastAsia="zh-CN"/>
        </w:rPr>
        <w:t>3.2线上报价要求：</w:t>
      </w:r>
      <w:bookmarkEnd w:id="16"/>
      <w:bookmarkEnd w:id="17"/>
      <w:bookmarkEnd w:id="18"/>
      <w:r>
        <w:rPr>
          <w:rFonts w:hint="eastAsia" w:ascii="仿宋" w:hAnsi="仿宋" w:eastAsia="仿宋" w:cs="仿宋"/>
          <w:color w:val="auto"/>
          <w:sz w:val="24"/>
          <w:szCs w:val="24"/>
          <w:lang w:val="en-US" w:eastAsia="zh-CN"/>
        </w:rPr>
        <w:t>按本项目规定的时间在“行采家（https://www.gec123.com/）”进行网上报价，未在规定时间内报价的投标人不具备竞标资格；报价时须上传盖章后的响应文件正本扫描件一份。</w:t>
      </w:r>
    </w:p>
    <w:p w14:paraId="3290BC85">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注：线上报价时，按平台要求进行报价和上传投标文件，平台会收取相应的平台保证金，平台保证金收取及退还相关问题请各潜在投标人报价前自行咨询平台客服，此费用与投标保证金无关。</w:t>
      </w:r>
    </w:p>
    <w:p w14:paraId="4FE746B4">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4.线下投标</w:t>
      </w:r>
    </w:p>
    <w:p w14:paraId="07DCA626">
      <w:pPr>
        <w:spacing w:line="360" w:lineRule="auto"/>
        <w:ind w:firstLine="480" w:firstLineChars="200"/>
        <w:rPr>
          <w:rFonts w:hint="eastAsia" w:ascii="仿宋" w:hAnsi="仿宋" w:eastAsia="仿宋" w:cs="仿宋"/>
          <w:color w:val="auto"/>
          <w:sz w:val="24"/>
          <w:szCs w:val="24"/>
          <w:lang w:val="en-US" w:eastAsia="zh-CN"/>
        </w:rPr>
      </w:pPr>
      <w:bookmarkStart w:id="20" w:name="_Toc24480"/>
      <w:bookmarkStart w:id="21" w:name="_Toc25543"/>
      <w:bookmarkStart w:id="22" w:name="_Toc17982"/>
      <w:r>
        <w:rPr>
          <w:rFonts w:hint="eastAsia" w:ascii="仿宋" w:hAnsi="仿宋" w:eastAsia="仿宋" w:cs="仿宋"/>
          <w:color w:val="auto"/>
          <w:sz w:val="24"/>
          <w:szCs w:val="24"/>
          <w:lang w:val="en-US" w:eastAsia="zh-CN"/>
        </w:rPr>
        <w:t>4.1线下递交投标文件开始时间：2026年  月   日9 时00分（北京时间）</w:t>
      </w:r>
      <w:bookmarkEnd w:id="19"/>
      <w:r>
        <w:rPr>
          <w:rFonts w:hint="eastAsia" w:ascii="仿宋" w:hAnsi="仿宋" w:eastAsia="仿宋" w:cs="仿宋"/>
          <w:color w:val="auto"/>
          <w:sz w:val="24"/>
          <w:szCs w:val="24"/>
          <w:lang w:val="en-US" w:eastAsia="zh-CN"/>
        </w:rPr>
        <w:t>。</w:t>
      </w:r>
      <w:bookmarkEnd w:id="20"/>
      <w:bookmarkEnd w:id="21"/>
      <w:bookmarkEnd w:id="22"/>
    </w:p>
    <w:p w14:paraId="585A223B">
      <w:pPr>
        <w:spacing w:line="360" w:lineRule="auto"/>
        <w:ind w:firstLine="480" w:firstLineChars="200"/>
        <w:rPr>
          <w:rFonts w:hint="eastAsia" w:ascii="仿宋" w:hAnsi="仿宋" w:eastAsia="仿宋" w:cs="仿宋"/>
          <w:color w:val="auto"/>
          <w:sz w:val="24"/>
          <w:szCs w:val="24"/>
          <w:lang w:val="en-US" w:eastAsia="zh-CN"/>
        </w:rPr>
      </w:pPr>
      <w:bookmarkStart w:id="23" w:name="_Toc15349"/>
      <w:bookmarkStart w:id="24" w:name="_Toc14504"/>
      <w:bookmarkStart w:id="25" w:name="_Toc29361"/>
      <w:bookmarkStart w:id="26" w:name="_Toc535"/>
      <w:r>
        <w:rPr>
          <w:rFonts w:hint="eastAsia" w:ascii="仿宋" w:hAnsi="仿宋" w:eastAsia="仿宋" w:cs="仿宋"/>
          <w:color w:val="auto"/>
          <w:sz w:val="24"/>
          <w:szCs w:val="24"/>
          <w:lang w:val="en-US" w:eastAsia="zh-CN"/>
        </w:rPr>
        <w:t>4.2线下递交投标文件截止时间：2026年    月   日9时30分（北京时间）。</w:t>
      </w:r>
      <w:bookmarkEnd w:id="23"/>
      <w:bookmarkEnd w:id="24"/>
      <w:bookmarkEnd w:id="25"/>
      <w:bookmarkEnd w:id="26"/>
    </w:p>
    <w:p w14:paraId="4F5688F1">
      <w:pPr>
        <w:spacing w:line="360" w:lineRule="auto"/>
        <w:ind w:firstLine="480" w:firstLineChars="200"/>
        <w:rPr>
          <w:rFonts w:hint="eastAsia" w:ascii="仿宋" w:hAnsi="仿宋" w:eastAsia="仿宋" w:cs="仿宋"/>
          <w:color w:val="auto"/>
          <w:sz w:val="24"/>
          <w:szCs w:val="24"/>
          <w:lang w:val="en-US" w:eastAsia="zh-CN"/>
        </w:rPr>
      </w:pPr>
      <w:bookmarkStart w:id="27" w:name="_Toc10721"/>
      <w:bookmarkStart w:id="28" w:name="_Toc2154"/>
      <w:bookmarkStart w:id="29" w:name="_Toc21759"/>
      <w:bookmarkStart w:id="30" w:name="_Toc22533"/>
      <w:r>
        <w:rPr>
          <w:rFonts w:hint="eastAsia" w:ascii="仿宋" w:hAnsi="仿宋" w:eastAsia="仿宋" w:cs="仿宋"/>
          <w:color w:val="auto"/>
          <w:sz w:val="24"/>
          <w:szCs w:val="24"/>
          <w:lang w:val="en-US" w:eastAsia="zh-CN"/>
        </w:rPr>
        <w:t>4.3线下开标时间：2026年   月    日9时30分（北京时间）。</w:t>
      </w:r>
      <w:bookmarkEnd w:id="27"/>
      <w:bookmarkEnd w:id="28"/>
      <w:bookmarkEnd w:id="29"/>
      <w:bookmarkEnd w:id="30"/>
    </w:p>
    <w:p w14:paraId="1B7AD2BC">
      <w:pPr>
        <w:spacing w:line="360" w:lineRule="auto"/>
        <w:ind w:firstLine="480" w:firstLineChars="200"/>
        <w:rPr>
          <w:rFonts w:hint="eastAsia" w:ascii="仿宋" w:hAnsi="仿宋" w:eastAsia="仿宋" w:cs="仿宋"/>
          <w:color w:val="auto"/>
          <w:sz w:val="24"/>
          <w:szCs w:val="24"/>
          <w:lang w:val="en-US" w:eastAsia="zh-CN"/>
        </w:rPr>
      </w:pPr>
      <w:bookmarkStart w:id="31" w:name="_Toc10990"/>
      <w:bookmarkStart w:id="32" w:name="_Toc30776"/>
      <w:bookmarkStart w:id="33" w:name="_Toc12770"/>
      <w:bookmarkStart w:id="34" w:name="_Toc27602"/>
      <w:r>
        <w:rPr>
          <w:rFonts w:hint="eastAsia" w:ascii="仿宋" w:hAnsi="仿宋" w:eastAsia="仿宋" w:cs="仿宋"/>
          <w:color w:val="auto"/>
          <w:sz w:val="24"/>
          <w:szCs w:val="24"/>
          <w:lang w:val="en-US" w:eastAsia="zh-CN"/>
        </w:rPr>
        <w:t>4.4线下投标和开标地点：</w:t>
      </w:r>
      <w:bookmarkEnd w:id="31"/>
      <w:bookmarkEnd w:id="32"/>
      <w:bookmarkEnd w:id="33"/>
      <w:bookmarkEnd w:id="34"/>
      <w:bookmarkStart w:id="35" w:name="_Toc26863"/>
      <w:bookmarkStart w:id="36" w:name="_Toc6579"/>
      <w:bookmarkStart w:id="37" w:name="_Toc29851"/>
      <w:bookmarkStart w:id="38" w:name="_Toc12131"/>
      <w:r>
        <w:rPr>
          <w:rFonts w:hint="eastAsia" w:ascii="仿宋" w:hAnsi="仿宋" w:eastAsia="仿宋" w:cs="仿宋"/>
          <w:color w:val="auto"/>
          <w:sz w:val="24"/>
          <w:szCs w:val="24"/>
          <w:lang w:val="en-US" w:eastAsia="zh-CN"/>
        </w:rPr>
        <w:t>重庆市大足区豪洋名居1号门旁逾期送达的、未送达指定地点的或者不按照招标文件要求密封的投标文件，招标人将予以拒收。</w:t>
      </w:r>
      <w:bookmarkEnd w:id="35"/>
      <w:bookmarkEnd w:id="36"/>
      <w:bookmarkEnd w:id="37"/>
      <w:bookmarkEnd w:id="38"/>
    </w:p>
    <w:p w14:paraId="7B32DDCB">
      <w:pPr>
        <w:pStyle w:val="6"/>
        <w:spacing w:before="120" w:beforeLines="50" w:after="120" w:afterLines="50" w:line="360" w:lineRule="auto"/>
        <w:ind w:firstLine="241" w:firstLineChars="100"/>
        <w:rPr>
          <w:rFonts w:hint="eastAsia" w:ascii="仿宋" w:hAnsi="仿宋" w:eastAsia="仿宋" w:cs="仿宋"/>
          <w:b/>
          <w:color w:val="auto"/>
          <w:sz w:val="24"/>
          <w:szCs w:val="24"/>
          <w:lang w:val="en-US" w:eastAsia="zh-CN"/>
        </w:rPr>
      </w:pPr>
      <w:r>
        <w:rPr>
          <w:rFonts w:hint="eastAsia" w:ascii="仿宋" w:hAnsi="仿宋" w:eastAsia="仿宋" w:cs="仿宋"/>
          <w:b/>
          <w:color w:val="auto"/>
          <w:sz w:val="24"/>
          <w:szCs w:val="24"/>
          <w:lang w:val="en-US" w:eastAsia="zh-CN"/>
        </w:rPr>
        <w:t xml:space="preserve"> </w:t>
      </w:r>
      <w:bookmarkStart w:id="39" w:name="_Toc19355"/>
      <w:bookmarkStart w:id="40" w:name="_Toc23808"/>
      <w:bookmarkStart w:id="41" w:name="_Toc25529"/>
      <w:r>
        <w:rPr>
          <w:rFonts w:hint="eastAsia" w:ascii="仿宋" w:hAnsi="仿宋" w:eastAsia="仿宋" w:cs="仿宋"/>
          <w:b/>
          <w:color w:val="auto"/>
          <w:sz w:val="24"/>
          <w:szCs w:val="24"/>
          <w:lang w:val="en-US" w:eastAsia="zh-CN"/>
        </w:rPr>
        <w:t>五、询比保证金</w:t>
      </w:r>
      <w:bookmarkEnd w:id="39"/>
      <w:bookmarkEnd w:id="40"/>
      <w:bookmarkEnd w:id="41"/>
    </w:p>
    <w:bookmarkEnd w:id="15"/>
    <w:p w14:paraId="3CF1386D">
      <w:pPr>
        <w:pStyle w:val="18"/>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360" w:lineRule="auto"/>
        <w:ind w:left="0" w:right="0" w:firstLine="640"/>
        <w:jc w:val="left"/>
        <w:rPr>
          <w:rFonts w:hint="default" w:ascii="仿宋" w:hAnsi="仿宋" w:eastAsia="仿宋" w:cs="仿宋"/>
          <w:color w:val="auto"/>
          <w:kern w:val="2"/>
          <w:sz w:val="24"/>
          <w:szCs w:val="24"/>
          <w:lang w:val="en-US" w:eastAsia="zh-CN" w:bidi="ar-SA"/>
        </w:rPr>
      </w:pPr>
      <w:bookmarkStart w:id="42" w:name="_Toc531184287"/>
      <w:r>
        <w:rPr>
          <w:rFonts w:hint="eastAsia" w:ascii="仿宋" w:hAnsi="仿宋" w:eastAsia="仿宋" w:cs="仿宋"/>
          <w:color w:val="auto"/>
          <w:kern w:val="2"/>
          <w:sz w:val="24"/>
          <w:szCs w:val="24"/>
          <w:lang w:val="en-US" w:eastAsia="zh-CN" w:bidi="ar-SA"/>
        </w:rPr>
        <w:t>本项目不设置投标保证金。</w:t>
      </w:r>
    </w:p>
    <w:p w14:paraId="3A946B3A">
      <w:pPr>
        <w:pStyle w:val="5"/>
        <w:spacing w:before="48" w:after="48" w:line="360" w:lineRule="auto"/>
        <w:ind w:firstLine="422"/>
        <w:rPr>
          <w:rFonts w:hint="eastAsia" w:ascii="仿宋" w:hAnsi="仿宋" w:eastAsia="仿宋" w:cs="仿宋"/>
          <w:b/>
          <w:color w:val="auto"/>
          <w:kern w:val="2"/>
          <w:sz w:val="24"/>
          <w:szCs w:val="24"/>
          <w:lang w:val="en-US" w:eastAsia="zh-CN" w:bidi="ar-SA"/>
        </w:rPr>
      </w:pPr>
      <w:bookmarkStart w:id="43" w:name="_Toc17369"/>
      <w:r>
        <w:rPr>
          <w:rFonts w:hint="eastAsia" w:ascii="仿宋" w:hAnsi="仿宋" w:eastAsia="仿宋" w:cs="仿宋"/>
          <w:b/>
          <w:color w:val="auto"/>
          <w:kern w:val="2"/>
          <w:sz w:val="24"/>
          <w:szCs w:val="24"/>
          <w:lang w:val="en-US" w:eastAsia="zh-CN" w:bidi="ar-SA"/>
        </w:rPr>
        <w:t>六、投标有关规定</w:t>
      </w:r>
      <w:bookmarkEnd w:id="42"/>
      <w:bookmarkEnd w:id="43"/>
    </w:p>
    <w:p w14:paraId="1F540DC1">
      <w:pPr>
        <w:spacing w:line="360" w:lineRule="auto"/>
        <w:ind w:firstLine="480" w:firstLineChars="200"/>
        <w:rPr>
          <w:rFonts w:hint="eastAsia" w:ascii="仿宋" w:hAnsi="仿宋" w:eastAsia="仿宋" w:cs="仿宋"/>
          <w:color w:val="auto"/>
          <w:sz w:val="24"/>
          <w:szCs w:val="24"/>
          <w:lang w:val="en-US" w:eastAsia="zh-CN"/>
        </w:rPr>
      </w:pPr>
      <w:bookmarkStart w:id="44" w:name="_Toc17427"/>
      <w:bookmarkStart w:id="45" w:name="_Toc531184289"/>
      <w:bookmarkStart w:id="46" w:name="_Toc474603910"/>
      <w:r>
        <w:rPr>
          <w:rFonts w:hint="eastAsia" w:ascii="仿宋" w:hAnsi="仿宋" w:eastAsia="仿宋" w:cs="仿宋"/>
          <w:color w:val="auto"/>
          <w:sz w:val="24"/>
          <w:szCs w:val="24"/>
          <w:lang w:val="en-US" w:eastAsia="zh-CN"/>
        </w:rPr>
        <w:t>（一）单位负责人为同一人或者存在直接控股、管理关系的不同供应商，不得参加同一合同项（分包）下的政府采购活动，否则均为无效响应。</w:t>
      </w:r>
    </w:p>
    <w:p w14:paraId="56860046">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（二）为采购项目提供整体设计、规范编制或者项目管理、监理、检测等服务的供应商，不得再参加该采购项目的其他采购活动。</w:t>
      </w:r>
    </w:p>
    <w:p w14:paraId="78C2B2B0">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（三）本项目的补遗文件（如果有）一律在行采家网上发布，请各投标人注意下载或到采购代理机构领取；无论投标人下载或领取与否，均视同投标人已知晓本项目补遗文件的内容。</w:t>
      </w:r>
    </w:p>
    <w:p w14:paraId="7E8A85CC">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（四）超过响应文件截止时间递交的响应文件，恕不接收。</w:t>
      </w:r>
    </w:p>
    <w:p w14:paraId="420B0F15">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（五）询比费用：无论询比结果如何，供应商参与本项目询比的所有费用均应由供应商自行承担。</w:t>
      </w:r>
    </w:p>
    <w:p w14:paraId="2CD05BC8">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（六）列入失信被执行人、重大税收违法案件当事人名单、政府采购严重违法失信行为记录名单等及其他不符合《中华人民共和国政府采购法》第二十二条规定条件的供应商，将拒绝其参与政府采购活动。</w:t>
      </w:r>
    </w:p>
    <w:p w14:paraId="12959CB6">
      <w:pPr>
        <w:pStyle w:val="5"/>
        <w:spacing w:before="48" w:after="48" w:line="360" w:lineRule="auto"/>
        <w:ind w:firstLine="422"/>
        <w:rPr>
          <w:rFonts w:hint="eastAsia" w:ascii="仿宋" w:hAnsi="仿宋" w:eastAsia="仿宋" w:cs="仿宋"/>
          <w:b/>
          <w:color w:val="auto"/>
          <w:sz w:val="24"/>
          <w:szCs w:val="24"/>
        </w:rPr>
      </w:pPr>
      <w:bookmarkStart w:id="47" w:name="_Toc29600"/>
      <w:r>
        <w:rPr>
          <w:rFonts w:hint="eastAsia" w:ascii="仿宋" w:hAnsi="仿宋" w:eastAsia="仿宋" w:cs="仿宋"/>
          <w:b/>
          <w:color w:val="auto"/>
          <w:sz w:val="24"/>
          <w:szCs w:val="24"/>
          <w:lang w:eastAsia="zh-CN"/>
        </w:rPr>
        <w:t>七</w:t>
      </w:r>
      <w:r>
        <w:rPr>
          <w:rFonts w:hint="eastAsia" w:ascii="仿宋" w:hAnsi="仿宋" w:eastAsia="仿宋" w:cs="仿宋"/>
          <w:b/>
          <w:color w:val="auto"/>
          <w:sz w:val="24"/>
          <w:szCs w:val="24"/>
        </w:rPr>
        <w:t>、联系方式</w:t>
      </w:r>
      <w:bookmarkEnd w:id="44"/>
      <w:bookmarkEnd w:id="45"/>
      <w:bookmarkEnd w:id="46"/>
      <w:bookmarkEnd w:id="47"/>
    </w:p>
    <w:p w14:paraId="60B7BCBA">
      <w:pPr>
        <w:spacing w:line="360" w:lineRule="auto"/>
        <w:ind w:firstLine="482"/>
        <w:rPr>
          <w:rFonts w:hint="eastAsia" w:ascii="仿宋" w:hAnsi="仿宋" w:eastAsia="仿宋" w:cs="仿宋"/>
          <w:color w:val="auto"/>
          <w:sz w:val="24"/>
          <w:szCs w:val="24"/>
          <w:lang w:eastAsia="zh-CN"/>
        </w:rPr>
      </w:pPr>
      <w:r>
        <w:rPr>
          <w:rFonts w:hint="eastAsia" w:ascii="仿宋" w:hAnsi="仿宋" w:eastAsia="仿宋" w:cs="仿宋"/>
          <w:color w:val="auto"/>
          <w:sz w:val="24"/>
          <w:szCs w:val="24"/>
        </w:rPr>
        <w:t>（一）采购人：</w:t>
      </w:r>
      <w:r>
        <w:rPr>
          <w:rFonts w:hint="eastAsia" w:ascii="仿宋" w:hAnsi="仿宋" w:eastAsia="仿宋" w:cs="仿宋"/>
          <w:color w:val="auto"/>
          <w:sz w:val="24"/>
          <w:szCs w:val="24"/>
          <w:lang w:eastAsia="zh-CN"/>
        </w:rPr>
        <w:t>重庆大足石刻国际文化旅游集团有限公司</w:t>
      </w:r>
    </w:p>
    <w:p w14:paraId="64D9E7AB">
      <w:pPr>
        <w:spacing w:line="360" w:lineRule="auto"/>
        <w:ind w:firstLine="482"/>
        <w:rPr>
          <w:rFonts w:hint="eastAsia" w:ascii="仿宋" w:hAnsi="仿宋" w:eastAsia="仿宋" w:cs="仿宋"/>
          <w:color w:val="auto"/>
          <w:sz w:val="24"/>
          <w:szCs w:val="24"/>
        </w:rPr>
      </w:pPr>
      <w:r>
        <w:rPr>
          <w:rFonts w:hint="eastAsia" w:ascii="仿宋" w:hAnsi="仿宋" w:eastAsia="仿宋" w:cs="仿宋"/>
          <w:color w:val="auto"/>
          <w:sz w:val="24"/>
          <w:szCs w:val="24"/>
        </w:rPr>
        <w:t>联系人：</w:t>
      </w:r>
      <w:r>
        <w:rPr>
          <w:rFonts w:hint="eastAsia" w:ascii="仿宋" w:hAnsi="仿宋" w:eastAsia="仿宋" w:cs="仿宋"/>
          <w:color w:val="auto"/>
          <w:sz w:val="24"/>
          <w:szCs w:val="24"/>
          <w:lang w:eastAsia="zh-CN"/>
        </w:rPr>
        <w:t>杜</w:t>
      </w:r>
      <w:r>
        <w:rPr>
          <w:rFonts w:hint="eastAsia" w:ascii="仿宋" w:hAnsi="仿宋" w:eastAsia="仿宋" w:cs="仿宋"/>
          <w:color w:val="auto"/>
          <w:sz w:val="24"/>
          <w:szCs w:val="24"/>
          <w:lang w:val="en-US" w:eastAsia="zh-CN"/>
        </w:rPr>
        <w:t>老师</w:t>
      </w:r>
      <w:r>
        <w:rPr>
          <w:rFonts w:hint="eastAsia" w:ascii="仿宋" w:hAnsi="仿宋" w:eastAsia="仿宋" w:cs="仿宋"/>
          <w:color w:val="auto"/>
          <w:sz w:val="24"/>
          <w:szCs w:val="24"/>
        </w:rPr>
        <w:t xml:space="preserve">  </w:t>
      </w:r>
    </w:p>
    <w:p w14:paraId="20DD1B4B">
      <w:pPr>
        <w:spacing w:line="360" w:lineRule="auto"/>
        <w:ind w:firstLine="482"/>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rPr>
        <w:t>电  话：</w:t>
      </w:r>
      <w:r>
        <w:rPr>
          <w:rFonts w:hint="eastAsia" w:ascii="仿宋" w:hAnsi="仿宋" w:eastAsia="仿宋" w:cs="仿宋"/>
          <w:color w:val="auto"/>
          <w:sz w:val="24"/>
          <w:szCs w:val="24"/>
          <w:lang w:val="en-US" w:eastAsia="zh-CN"/>
        </w:rPr>
        <w:t>13650560343</w:t>
      </w:r>
    </w:p>
    <w:p w14:paraId="778F6678">
      <w:pPr>
        <w:spacing w:line="360" w:lineRule="auto"/>
        <w:ind w:firstLine="482"/>
        <w:rPr>
          <w:rFonts w:hint="eastAsia" w:ascii="仿宋" w:hAnsi="仿宋" w:eastAsia="仿宋" w:cs="仿宋"/>
          <w:color w:val="auto"/>
          <w:sz w:val="24"/>
          <w:szCs w:val="24"/>
        </w:rPr>
      </w:pPr>
      <w:r>
        <w:rPr>
          <w:rFonts w:hint="eastAsia" w:ascii="仿宋" w:hAnsi="仿宋" w:eastAsia="仿宋" w:cs="仿宋"/>
          <w:color w:val="auto"/>
          <w:sz w:val="24"/>
          <w:szCs w:val="24"/>
        </w:rPr>
        <w:t>联系地址：重庆市大足区棠香街道大铜路污水处理厂内</w:t>
      </w:r>
    </w:p>
    <w:p w14:paraId="174079C1">
      <w:pPr>
        <w:spacing w:line="360" w:lineRule="auto"/>
        <w:ind w:firstLine="480" w:firstLineChars="200"/>
        <w:rPr>
          <w:rFonts w:hint="eastAsia" w:ascii="仿宋" w:hAnsi="仿宋" w:eastAsia="仿宋" w:cs="仿宋"/>
          <w:color w:val="auto"/>
          <w:sz w:val="24"/>
          <w:szCs w:val="24"/>
          <w:lang w:eastAsia="zh-CN"/>
        </w:rPr>
      </w:pPr>
      <w:r>
        <w:rPr>
          <w:rFonts w:hint="eastAsia" w:ascii="仿宋" w:hAnsi="仿宋" w:eastAsia="仿宋" w:cs="仿宋"/>
          <w:color w:val="auto"/>
          <w:sz w:val="24"/>
          <w:szCs w:val="24"/>
        </w:rPr>
        <w:t>（二）采购代理机构：</w:t>
      </w:r>
      <w:r>
        <w:rPr>
          <w:rFonts w:hint="eastAsia" w:ascii="仿宋" w:hAnsi="仿宋" w:eastAsia="仿宋" w:cs="仿宋"/>
          <w:color w:val="auto"/>
          <w:sz w:val="24"/>
          <w:szCs w:val="24"/>
          <w:lang w:val="en-US" w:eastAsia="zh-CN"/>
        </w:rPr>
        <w:t>重庆修为工程咨询有限公司</w:t>
      </w:r>
    </w:p>
    <w:p w14:paraId="42192D0C">
      <w:pPr>
        <w:spacing w:line="360" w:lineRule="auto"/>
        <w:ind w:firstLine="480" w:firstLineChars="200"/>
        <w:rPr>
          <w:rFonts w:hint="eastAsia" w:ascii="仿宋" w:hAnsi="仿宋" w:eastAsia="仿宋" w:cs="仿宋"/>
          <w:color w:val="auto"/>
          <w:sz w:val="24"/>
          <w:szCs w:val="24"/>
          <w:lang w:eastAsia="zh-CN"/>
        </w:rPr>
      </w:pPr>
      <w:r>
        <w:rPr>
          <w:rFonts w:hint="eastAsia" w:ascii="仿宋" w:hAnsi="仿宋" w:eastAsia="仿宋" w:cs="仿宋"/>
          <w:color w:val="auto"/>
          <w:sz w:val="24"/>
          <w:szCs w:val="24"/>
        </w:rPr>
        <w:t>联系人：</w:t>
      </w:r>
      <w:r>
        <w:rPr>
          <w:rFonts w:hint="eastAsia" w:ascii="仿宋" w:hAnsi="仿宋" w:eastAsia="仿宋" w:cs="仿宋"/>
          <w:color w:val="auto"/>
          <w:sz w:val="24"/>
          <w:szCs w:val="24"/>
          <w:lang w:eastAsia="zh-CN"/>
        </w:rPr>
        <w:t>李老师</w:t>
      </w:r>
    </w:p>
    <w:p w14:paraId="06CA6D1E">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电  话：18375669701</w:t>
      </w:r>
    </w:p>
    <w:p w14:paraId="3A9DF7EF">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地  址：重庆市两江新区天宫殿街道财富大道2号28-7</w:t>
      </w:r>
    </w:p>
    <w:p w14:paraId="3FC4CEA2">
      <w:pPr>
        <w:spacing w:line="360" w:lineRule="auto"/>
        <w:ind w:firstLine="480" w:firstLineChars="200"/>
        <w:rPr>
          <w:rFonts w:hint="eastAsia" w:ascii="仿宋" w:hAnsi="仿宋" w:eastAsia="仿宋" w:cs="仿宋"/>
          <w:color w:val="auto"/>
          <w:sz w:val="24"/>
          <w:szCs w:val="24"/>
        </w:rPr>
      </w:pPr>
    </w:p>
    <w:p w14:paraId="22B70847">
      <w:pPr>
        <w:pStyle w:val="5"/>
        <w:spacing w:line="360" w:lineRule="auto"/>
        <w:jc w:val="center"/>
        <w:rPr>
          <w:rFonts w:hint="eastAsia" w:ascii="仿宋" w:hAnsi="仿宋" w:eastAsia="仿宋" w:cs="仿宋"/>
          <w:b/>
          <w:color w:val="auto"/>
          <w:sz w:val="36"/>
          <w:szCs w:val="30"/>
        </w:rPr>
      </w:pPr>
      <w:r>
        <w:rPr>
          <w:rFonts w:hint="eastAsia" w:ascii="仿宋" w:hAnsi="仿宋" w:eastAsia="仿宋" w:cs="仿宋"/>
          <w:color w:val="auto"/>
          <w:sz w:val="24"/>
          <w:szCs w:val="24"/>
        </w:rPr>
        <w:br w:type="page"/>
      </w:r>
      <w:bookmarkStart w:id="48" w:name="_Toc7874"/>
      <w:r>
        <w:rPr>
          <w:rFonts w:hint="eastAsia" w:ascii="仿宋" w:hAnsi="仿宋" w:eastAsia="仿宋" w:cs="仿宋"/>
          <w:b/>
          <w:color w:val="auto"/>
          <w:sz w:val="36"/>
          <w:szCs w:val="30"/>
          <w:lang w:val="en-US" w:eastAsia="zh-CN"/>
        </w:rPr>
        <w:t>第二篇  项目服务需求</w:t>
      </w:r>
      <w:bookmarkEnd w:id="48"/>
    </w:p>
    <w:p w14:paraId="61B3CFCE">
      <w:pPr>
        <w:pageBreakBefore w:val="0"/>
        <w:widowControl w:val="0"/>
        <w:kinsoku/>
        <w:wordWrap/>
        <w:overflowPunct/>
        <w:topLinePunct w:val="0"/>
        <w:autoSpaceDE/>
        <w:autoSpaceDN/>
        <w:bidi w:val="0"/>
        <w:adjustRightInd/>
        <w:snapToGrid w:val="0"/>
        <w:spacing w:line="400" w:lineRule="exact"/>
        <w:ind w:firstLine="723" w:firstLineChars="300"/>
        <w:textAlignment w:val="auto"/>
        <w:rPr>
          <w:rFonts w:hint="eastAsia" w:ascii="仿宋" w:hAnsi="仿宋" w:eastAsia="仿宋" w:cs="仿宋"/>
          <w:b/>
          <w:bCs/>
          <w:color w:val="auto"/>
          <w:sz w:val="24"/>
          <w:szCs w:val="24"/>
          <w:highlight w:val="none"/>
          <w:lang w:val="en-US" w:eastAsia="zh-CN"/>
        </w:rPr>
      </w:pPr>
      <w:bookmarkStart w:id="49" w:name="_Toc12789058"/>
      <w:r>
        <w:rPr>
          <w:rFonts w:hint="eastAsia" w:ascii="仿宋" w:hAnsi="仿宋" w:eastAsia="仿宋" w:cs="仿宋"/>
          <w:b/>
          <w:bCs/>
          <w:color w:val="auto"/>
          <w:sz w:val="24"/>
          <w:szCs w:val="24"/>
          <w:highlight w:val="none"/>
          <w:lang w:val="en-US" w:eastAsia="zh-CN"/>
        </w:rPr>
        <w:t>一、服务范围、服务要求及标准</w:t>
      </w:r>
    </w:p>
    <w:p w14:paraId="34AC4FA1">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1.服务范围：全天候提供餐饮保障和服务；</w:t>
      </w:r>
    </w:p>
    <w:p w14:paraId="65248D11">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2.服务要求：需满足采购文件要求等；</w:t>
      </w:r>
    </w:p>
    <w:p w14:paraId="28CC863B">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3.服务标准：提供厨房员工自身所需的物品（如员工劳保用品、口罩、手套、厨师帽、笔记本、围裙等）。投标人提供的服务符合国家及行业标准规定，达到采购人考核标准等。</w:t>
      </w:r>
    </w:p>
    <w:p w14:paraId="1D1E3D0C">
      <w:pPr>
        <w:pageBreakBefore w:val="0"/>
        <w:widowControl w:val="0"/>
        <w:kinsoku/>
        <w:wordWrap/>
        <w:overflowPunct/>
        <w:topLinePunct w:val="0"/>
        <w:autoSpaceDE/>
        <w:autoSpaceDN/>
        <w:bidi w:val="0"/>
        <w:adjustRightInd/>
        <w:snapToGrid w:val="0"/>
        <w:spacing w:line="400" w:lineRule="exact"/>
        <w:ind w:firstLine="723" w:firstLineChars="300"/>
        <w:textAlignment w:val="auto"/>
        <w:rPr>
          <w:rFonts w:hint="eastAsia" w:ascii="仿宋" w:hAnsi="仿宋" w:eastAsia="仿宋" w:cs="仿宋"/>
          <w:b/>
          <w:bCs/>
          <w:color w:val="auto"/>
          <w:sz w:val="24"/>
          <w:szCs w:val="24"/>
          <w:highlight w:val="none"/>
          <w:lang w:val="en-US" w:eastAsia="zh-CN"/>
        </w:rPr>
      </w:pPr>
      <w:bookmarkStart w:id="50" w:name="_Toc14108"/>
      <w:bookmarkStart w:id="51" w:name="_Toc7185"/>
      <w:r>
        <w:rPr>
          <w:rFonts w:hint="eastAsia" w:ascii="仿宋" w:hAnsi="仿宋" w:eastAsia="仿宋" w:cs="仿宋"/>
          <w:b/>
          <w:bCs/>
          <w:color w:val="auto"/>
          <w:sz w:val="24"/>
          <w:szCs w:val="24"/>
          <w:highlight w:val="none"/>
          <w:lang w:val="en-US" w:eastAsia="zh-CN"/>
        </w:rPr>
        <w:t>二、招标项目服务需求</w:t>
      </w:r>
      <w:bookmarkEnd w:id="50"/>
      <w:bookmarkEnd w:id="51"/>
    </w:p>
    <w:p w14:paraId="7ECB240B">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1.就餐时间及标准：</w:t>
      </w:r>
    </w:p>
    <w:p w14:paraId="6BC69C8D">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三餐均以自助形式提供。</w:t>
      </w:r>
    </w:p>
    <w:p w14:paraId="0EB563F2">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(1)早餐：7:20-8:55。工作日约140</w:t>
      </w:r>
      <w:r>
        <w:rPr>
          <w:rFonts w:hint="eastAsia" w:ascii="仿宋" w:hAnsi="仿宋" w:eastAsia="仿宋" w:cs="仿宋"/>
          <w:color w:val="auto"/>
          <w:sz w:val="24"/>
          <w:szCs w:val="24"/>
          <w:highlight w:val="none"/>
          <w:lang w:val="en-US" w:eastAsia="zh-CN"/>
        </w:rPr>
        <w:t>人左右就餐。 提供包子、馒头、稀饭、豆浆、面食、蛋糕、炒菜、咸菜等。</w:t>
      </w:r>
    </w:p>
    <w:p w14:paraId="1B886317">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(2)午餐：12:00-13:00。工作日约140人</w:t>
      </w:r>
      <w:r>
        <w:rPr>
          <w:rFonts w:hint="eastAsia" w:ascii="仿宋" w:hAnsi="仿宋" w:eastAsia="仿宋" w:cs="仿宋"/>
          <w:color w:val="auto"/>
          <w:sz w:val="24"/>
          <w:szCs w:val="24"/>
          <w:highlight w:val="none"/>
          <w:lang w:val="en-US" w:eastAsia="zh-CN"/>
        </w:rPr>
        <w:t>左右就餐。包括2道荤菜、2道素菜、米饭、1道汤类、1道粗粮/水果等品种。</w:t>
      </w:r>
    </w:p>
    <w:p w14:paraId="0C0B7C54">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(3)晚餐：18:00-18:40。工作日约140人</w:t>
      </w:r>
      <w:r>
        <w:rPr>
          <w:rFonts w:hint="eastAsia" w:ascii="仿宋" w:hAnsi="仿宋" w:eastAsia="仿宋" w:cs="仿宋"/>
          <w:color w:val="auto"/>
          <w:sz w:val="24"/>
          <w:szCs w:val="24"/>
          <w:highlight w:val="none"/>
          <w:lang w:val="en-US" w:eastAsia="zh-CN"/>
        </w:rPr>
        <w:t>左右就餐。包括2道荤菜、2道素菜、1道汤类。</w:t>
      </w:r>
    </w:p>
    <w:p w14:paraId="1A281F95">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2.服务要求</w:t>
      </w:r>
    </w:p>
    <w:p w14:paraId="3699BDD6">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（1）膳食标准与营养管理。实行科学配餐制度，确保每日供应荤素搭配合理、品类丰富的健康膳食，满足营养均衡需求。建立季节性菜单调整机制，每周提前提供下周菜谱建议，按采购方要求调整执行。</w:t>
      </w:r>
    </w:p>
    <w:p w14:paraId="4790F861">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食品安全管控体系。严格执行"四公示"制度：在就餐区显著位置公示食品经营许可证、食品安全等级标识、日常监督检查结果及管理制度。落实食品留样规范：每餐成品按品种留样≥125g，专用容器标注信息后冷藏保存48小时以上。实施全流程食材管控：做好每日验收登记，发现问题立即报备，杜绝变质、异味等不合格食材使用。</w:t>
      </w:r>
    </w:p>
    <w:p w14:paraId="766857B1">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运营管理规范。采购人有权对食堂的食品安全、环境卫生、菜品质量及进餐秩序及设备维护等进行无障碍监督管理、检查与要求。采购人提供的餐厨设备投标人负责维护，人为损坏须照价赔偿并承担考核扣分。建立用餐人数响应机制，采用"少炒勤炒"模式，从源头减少食材浪费，控制成本。所有员工持证上岗，定期开展食品安全、操作规范等专业培训。</w:t>
      </w:r>
    </w:p>
    <w:p w14:paraId="42471171">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（4）现场管理要求。严格限制非工作人员进入厨房区域，加强设备巡查，失窃或人为损坏由服务方全额赔偿。每日定时清运垃圾，定期疏通排水排污系统，保持后厨及就餐区环境整洁。</w:t>
      </w:r>
    </w:p>
    <w:p w14:paraId="154095D6">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（5）应急与综合管理。投标人应建立完整的应急预案体系，涵盖安全事件、卫生防疫、能源节约等突发情况处置。</w:t>
      </w:r>
    </w:p>
    <w:p w14:paraId="3A93E330">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投标人须合法用工并承担全部劳资责任，服务期间人员安全事故由投标人全责处理。全面配合采购方临时交办的其它膳食保障任务。</w:t>
      </w:r>
    </w:p>
    <w:p w14:paraId="10E1CB5A">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（6）完成基础数据填报、机关创建。投标人应配合采购人完成与食堂管理有关的数据填报，如垃圾分类、反食品浪费，节约型机关建设等。</w:t>
      </w:r>
    </w:p>
    <w:p w14:paraId="59B709FA">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3.库房管理服务</w:t>
      </w:r>
    </w:p>
    <w:p w14:paraId="44012CE6">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3.1.服务内容</w:t>
      </w:r>
    </w:p>
    <w:p w14:paraId="58386790">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协助采购人验收食材，管理库房，建立台账。</w:t>
      </w:r>
    </w:p>
    <w:p w14:paraId="6CE899D2">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3.2.服务标准及要求</w:t>
      </w:r>
    </w:p>
    <w:p w14:paraId="5D93B65A">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（1）食材验收。每日早上食材供应配送时，投标人为本项目所配备的项目管理人员或厨师须与采购人配备人员共同验收清点，并就质量、数量进行确认签字。不定时请相关人员进行抽查复称，并签字确认。</w:t>
      </w:r>
    </w:p>
    <w:p w14:paraId="13B8F9B9">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库房管理。投标人需安排人员协助管理库房，食材储存应当分区、分类、分架、隔墙、离地，标识明显。散装食品使用密闭容器贮存，应标明食名称、生产日期或生产批号、使用期限等内容。直接入口食品与食品原料或者半成品应分开存放。每月对库房物资进行盘点，清查库存食材、耗材数量、质量以及有效期。并按考核标准进行相应的扣分扣款。</w:t>
      </w:r>
    </w:p>
    <w:p w14:paraId="28BC0C2B">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（3）建立台账。投标人需协助采购人建立出入库台账，食材出库须严格按照出入库程序，按需领用，服从库房管理要求，建立食堂食材消耗台账，登记每日食材具体消耗。</w:t>
      </w:r>
    </w:p>
    <w:p w14:paraId="239F48DB">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4.清洁消杀服务</w:t>
      </w:r>
    </w:p>
    <w:p w14:paraId="03F0A704">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4.1.服务内容</w:t>
      </w:r>
    </w:p>
    <w:p w14:paraId="26247511">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机关食堂用餐区、餐食制作区等区域及配套设施等区域的清洁消杀；餐后的厨房用具，餐具清洗消毒。</w:t>
      </w:r>
    </w:p>
    <w:p w14:paraId="0CD95279">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4.2.服务标准及要求</w:t>
      </w:r>
    </w:p>
    <w:p w14:paraId="7A9AB1CD">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（1）开餐前须对摆放的餐饮具、菜品容器以及餐台等进行卫生检查，摆台复查等。</w:t>
      </w:r>
    </w:p>
    <w:p w14:paraId="5C4D842E">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（2）每餐后，服务区域进行卫生清理，每周进行大扫除，定期清洁炊事设备、餐桌椅、地面、墙壁、门窗、天花板等，并协助采购人完成服务区域内的有害生物灭除工作。</w:t>
      </w:r>
    </w:p>
    <w:p w14:paraId="766CD8BE">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（3）餐具使用后应及时洗净，餐饮具、盛放或接触直接入口食品的容器和工具使用前应采用蒸汽等物理方法消毒。消毒后应定位存放在专用的密闭保洁设施内。未按要求实施的依照考核标准扣分扣款。</w:t>
      </w:r>
    </w:p>
    <w:p w14:paraId="641F70F9">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（4）布草清洗（食堂员工围裙、窗帘；餐厅桌布、小方巾、垫布、杯布等）。</w:t>
      </w:r>
    </w:p>
    <w:p w14:paraId="62D3205E">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（5）负责食堂区域四害消杀，每周一次。消杀区域：厨房、包房、餐厅、库房及相关外围区域。</w:t>
      </w:r>
    </w:p>
    <w:p w14:paraId="0042AF15">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（6）每日对服务区域内的用餐耗材进行检查、补充，包括餐桌上的餐巾纸以及卫生间内的洗手液、纸巾等。</w:t>
      </w:r>
    </w:p>
    <w:p w14:paraId="5186BDE1">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7）各区域场地卫生进行划片分工，责任到人。保洁区域目视干净无污渍、无垃圾、无灰尘、无烟蒂、无纸屑，瓷砖地面光亮洁净，玻璃门窗光亮透明，设施设备表面无灰尘及附着物；各种炊具、用具光亮洁净，排水沟见底，每周至少安排一次大扫除。</w:t>
      </w:r>
    </w:p>
    <w:p w14:paraId="1220B77C">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5.其他服务</w:t>
      </w:r>
    </w:p>
    <w:p w14:paraId="4E576246">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5.1.安排专人每天检查水、电、气等设施设备的安全情况，发现问题及时整改，并有完整巡查检查记录。未经批准不得私自改动水电气等设施位置和管道线路，不得超负荷使用电气设备。配合采购人完成成本控制管理。</w:t>
      </w:r>
    </w:p>
    <w:p w14:paraId="52E3E0F9">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5.3.每月初项目管理人员与采购人上报并核算上月食堂成本及食材消耗情况。</w:t>
      </w:r>
    </w:p>
    <w:p w14:paraId="6FF8BACC">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5.4.承接项目时，对所有场所、设施、设备进行认真查验，对物资进行详细清点，验收手续齐全；管理过程中，正确使用设施设备，建立定期巡查制度，做好维护保养工作；规范使用餐厨具等物资。</w:t>
      </w:r>
    </w:p>
    <w:p w14:paraId="21BC0647">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6.环境卫生要求</w:t>
      </w:r>
    </w:p>
    <w:p w14:paraId="1F578CE9">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6.1.厨房垃圾、食物残渣、污水、积垢、灰尘、蜘蛛网须及时清理，保持卫生。</w:t>
      </w:r>
    </w:p>
    <w:p w14:paraId="27B6EE58">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6.2.厨房防蝇防鼠设施（防鼠板、防鼠网、纱窗纱门、灭蝇灯等）无破损、要保持正常运转。</w:t>
      </w:r>
    </w:p>
    <w:p w14:paraId="7D44C465">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6.3.厨房内无老鼠、苍蝇、蟑螂等有害生物。</w:t>
      </w:r>
    </w:p>
    <w:p w14:paraId="672551EA">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6.4.用餐结束后餐桌无油渍、残渣。</w:t>
      </w:r>
    </w:p>
    <w:p w14:paraId="54D780FD">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6.5.厨房区域下水道通畅，排水沟无垃圾、异味。</w:t>
      </w:r>
    </w:p>
    <w:p w14:paraId="00BE83E8">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6.6.清洗间无剩饭、菜渣。</w:t>
      </w:r>
    </w:p>
    <w:p w14:paraId="28A73EEF">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6.7.餐厨垃圾和弃用食用油脂的处理须符合要求，处置流向须有记录。</w:t>
      </w:r>
    </w:p>
    <w:p w14:paraId="34B29172">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7.食品加工要求</w:t>
      </w:r>
    </w:p>
    <w:p w14:paraId="7117A91A">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7.1.禁止添加非食用物质和滥用食品添加剂。</w:t>
      </w:r>
    </w:p>
    <w:p w14:paraId="607F784D">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7.2.粗加工的洗涤池禁止混用。</w:t>
      </w:r>
    </w:p>
    <w:p w14:paraId="24853ACA">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7.3.生熟食品加工用具（菜刀、菜墩）、容器应分开，禁止混用。</w:t>
      </w:r>
    </w:p>
    <w:p w14:paraId="5C350683">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7.4.熟食存放温度和时间是否符合要求，常温下存放时间超过2小时的熟食食用须再加热，再加。</w:t>
      </w:r>
    </w:p>
    <w:p w14:paraId="4C0038C3">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7.5.冰箱内禁止生熟混放，保持清洁卫生。</w:t>
      </w:r>
    </w:p>
    <w:p w14:paraId="0DC8A0BA">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7.6.冰柜执行专人管理，半成品、原料分层存放、叠放。</w:t>
      </w:r>
    </w:p>
    <w:p w14:paraId="2D5B7EE6">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7.7.原料、半成品放入容器内放入冰箱。</w:t>
      </w:r>
    </w:p>
    <w:p w14:paraId="07B6B060">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7.8.冷冻、冷藏食品不可带外包装箱放入冰箱。</w:t>
      </w:r>
    </w:p>
    <w:p w14:paraId="46C1BED5">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7.9.放入冰箱内的原料、半成品不可使用有色塑料袋盛放。</w:t>
      </w:r>
    </w:p>
    <w:p w14:paraId="2D363003">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7.10.饭菜内无异物、杂物。</w:t>
      </w:r>
    </w:p>
    <w:p w14:paraId="282311E2">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7.11.饭菜无食品卫生投诉。</w:t>
      </w:r>
    </w:p>
    <w:p w14:paraId="6004D03B">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8.劳务服务人员要求</w:t>
      </w:r>
    </w:p>
    <w:p w14:paraId="4F205D95">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8.1食堂工作人员5人，需要减少工作人员需要经过采购人同意，服务人员包含以下岗位要求：</w:t>
      </w:r>
    </w:p>
    <w:p w14:paraId="20677957">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1.厨师2人，含主厨1人，副厨1人，年龄要求30（含）-55岁（含）之间，具有厨师经验；</w:t>
      </w:r>
    </w:p>
    <w:p w14:paraId="001C927A">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2.墩子1人，年龄要求30（含）-55岁（含）之间；</w:t>
      </w:r>
    </w:p>
    <w:p w14:paraId="1E316C29">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3.杂工2人，年龄要求：25（含）-55岁（含）之间；</w:t>
      </w:r>
    </w:p>
    <w:p w14:paraId="35326A41">
      <w:pPr>
        <w:pageBreakBefore w:val="0"/>
        <w:widowControl w:val="0"/>
        <w:kinsoku/>
        <w:wordWrap/>
        <w:overflowPunct/>
        <w:topLinePunct w:val="0"/>
        <w:autoSpaceDE/>
        <w:autoSpaceDN/>
        <w:bidi w:val="0"/>
        <w:adjustRightInd/>
        <w:snapToGrid w:val="0"/>
        <w:spacing w:line="400" w:lineRule="exact"/>
        <w:ind w:firstLine="723" w:firstLineChars="300"/>
        <w:textAlignment w:val="auto"/>
        <w:rPr>
          <w:rFonts w:hint="eastAsia" w:ascii="仿宋" w:hAnsi="仿宋" w:eastAsia="仿宋" w:cs="仿宋"/>
          <w:b/>
          <w:bCs/>
          <w:color w:val="auto"/>
          <w:sz w:val="24"/>
          <w:szCs w:val="24"/>
          <w:highlight w:val="none"/>
          <w:lang w:val="en-US" w:eastAsia="zh-CN"/>
        </w:rPr>
      </w:pPr>
      <w:r>
        <w:rPr>
          <w:rFonts w:hint="eastAsia" w:ascii="仿宋" w:hAnsi="仿宋" w:eastAsia="仿宋" w:cs="仿宋"/>
          <w:b/>
          <w:bCs/>
          <w:color w:val="auto"/>
          <w:sz w:val="24"/>
          <w:szCs w:val="24"/>
          <w:highlight w:val="none"/>
          <w:lang w:val="en-US" w:eastAsia="zh-CN"/>
        </w:rPr>
        <w:t>注：提供上述人员名单（至少包含名字、岗位等信息，格式自定），相关人员身份证复印件，相关人员健康证复印件，投标人为其缴纳社保证明复印件或与其签订的合同复印件或承诺合同签订之日起3个工作日内响应文件所响应人员到位（提供承诺函，格式自定，加盖投标人公章）。</w:t>
      </w:r>
    </w:p>
    <w:p w14:paraId="6E1D466A">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9.人员管理要求</w:t>
      </w:r>
    </w:p>
    <w:p w14:paraId="06F860B8">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9.1.投标人应建立合理合法的食堂员工考核评价奖惩机制和工作档案。达不到采购人工作要求的员工，投标人应在3日内，按响应文件相关要求立即更换。</w:t>
      </w:r>
    </w:p>
    <w:p w14:paraId="60DC8015">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9.2.投标人为本项目配备的工作人员须持有相应职业资格证书、技术资质证和健康证。</w:t>
      </w:r>
    </w:p>
    <w:p w14:paraId="22369E65">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9.3.服务人员工作期间统一着装且保持工作服整洁干净，佩戴卫生装具，行为规范，服务主动、热情。</w:t>
      </w:r>
    </w:p>
    <w:p w14:paraId="414DFA0B">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9.4.投标人应建立食堂员工健康检查，每年开展的食品安全知识培训及对食堂员工体检和健康检查不少于一次，建立培训管理档案。发现员工存在不适合食堂工作的疾病时，应立即调换。</w:t>
      </w:r>
    </w:p>
    <w:p w14:paraId="0508EA52">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9.5.投标人员工须进行考勤，每月末将考勤记录提交采购人复核。</w:t>
      </w:r>
    </w:p>
    <w:p w14:paraId="47FD2FAE">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10.其他要求</w:t>
      </w:r>
    </w:p>
    <w:p w14:paraId="73DFFF1B">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10.1投标人承诺，合同签订后（以采购人通知为准），配备的各岗位人员须提前到岗熟悉现场，同时携带相应的证书证明材料核查备案。</w:t>
      </w:r>
      <w:r>
        <w:rPr>
          <w:rFonts w:hint="eastAsia" w:ascii="仿宋" w:hAnsi="仿宋" w:eastAsia="仿宋" w:cs="仿宋"/>
          <w:b/>
          <w:bCs/>
          <w:color w:val="auto"/>
          <w:sz w:val="24"/>
          <w:szCs w:val="24"/>
          <w:highlight w:val="none"/>
          <w:lang w:val="en-US" w:eastAsia="zh-CN"/>
        </w:rPr>
        <w:t>（提供承诺函，格式自定，加盖投标人公章）</w:t>
      </w:r>
    </w:p>
    <w:p w14:paraId="0B198D30">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10.2投标人承诺，投入本项目员工无犯罪记录。</w:t>
      </w:r>
      <w:r>
        <w:rPr>
          <w:rFonts w:hint="eastAsia" w:ascii="仿宋" w:hAnsi="仿宋" w:eastAsia="仿宋" w:cs="仿宋"/>
          <w:b/>
          <w:bCs/>
          <w:color w:val="auto"/>
          <w:sz w:val="24"/>
          <w:szCs w:val="24"/>
          <w:highlight w:val="none"/>
          <w:lang w:val="en-US" w:eastAsia="zh-CN"/>
        </w:rPr>
        <w:t>（提供承诺函，格式自定，加盖投标人公章）</w:t>
      </w:r>
    </w:p>
    <w:p w14:paraId="1A82E92A">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10.3投标人定期对员工进行入职培训、消防培训、保密培训、食品安全培训等岗位培训，不断提高员工素质及技能，遵守采购人内部管理措施。</w:t>
      </w:r>
    </w:p>
    <w:p w14:paraId="3E4CF64D">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10.4投标人在响应文件中还须提供食品安全卫生承诺书和服务保障承诺书</w:t>
      </w:r>
      <w:r>
        <w:rPr>
          <w:rFonts w:hint="eastAsia" w:ascii="仿宋" w:hAnsi="仿宋" w:eastAsia="仿宋" w:cs="仿宋"/>
          <w:b/>
          <w:bCs/>
          <w:color w:val="auto"/>
          <w:sz w:val="24"/>
          <w:szCs w:val="24"/>
          <w:highlight w:val="none"/>
          <w:lang w:val="en-US" w:eastAsia="zh-CN"/>
        </w:rPr>
        <w:t>（提供承诺书并加盖投标人公章，格式自拟）。</w:t>
      </w:r>
    </w:p>
    <w:p w14:paraId="06AD0731">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10.5满足相关法律法规规定和合同约定的应由投标人管理服务的其他事项。</w:t>
      </w:r>
    </w:p>
    <w:p w14:paraId="3F3149F4">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10.6投标人承诺中标后为本项目购买安全责任险</w:t>
      </w:r>
      <w:r>
        <w:rPr>
          <w:rFonts w:hint="eastAsia" w:ascii="仿宋" w:hAnsi="仿宋" w:eastAsia="仿宋" w:cs="仿宋"/>
          <w:b/>
          <w:bCs/>
          <w:color w:val="auto"/>
          <w:sz w:val="24"/>
          <w:szCs w:val="24"/>
          <w:highlight w:val="none"/>
          <w:lang w:val="en-US" w:eastAsia="zh-CN"/>
        </w:rPr>
        <w:t>（提供承诺书并加盖投标人公章，格式自拟）。</w:t>
      </w:r>
    </w:p>
    <w:p w14:paraId="24BEA800">
      <w:pPr>
        <w:pageBreakBefore w:val="0"/>
        <w:widowControl w:val="0"/>
        <w:kinsoku/>
        <w:wordWrap/>
        <w:overflowPunct/>
        <w:topLinePunct w:val="0"/>
        <w:autoSpaceDE/>
        <w:autoSpaceDN/>
        <w:bidi w:val="0"/>
        <w:adjustRightInd/>
        <w:snapToGrid w:val="0"/>
        <w:spacing w:line="400" w:lineRule="exact"/>
        <w:ind w:firstLine="720" w:firstLineChars="300"/>
        <w:textAlignment w:val="auto"/>
        <w:rPr>
          <w:rFonts w:hint="default" w:ascii="仿宋" w:hAnsi="仿宋" w:eastAsia="仿宋" w:cs="仿宋"/>
          <w:color w:val="auto"/>
          <w:sz w:val="24"/>
          <w:szCs w:val="24"/>
          <w:highlight w:val="none"/>
          <w:lang w:val="en-US" w:eastAsia="zh-CN"/>
        </w:rPr>
      </w:pPr>
    </w:p>
    <w:p w14:paraId="0764A106">
      <w:pPr>
        <w:pStyle w:val="13"/>
        <w:rPr>
          <w:rFonts w:hint="eastAsia"/>
          <w:color w:val="auto"/>
        </w:rPr>
        <w:sectPr>
          <w:footerReference r:id="rId8" w:type="default"/>
          <w:footerReference r:id="rId9" w:type="even"/>
          <w:pgSz w:w="11907" w:h="16840"/>
          <w:pgMar w:top="1134" w:right="1191" w:bottom="1134" w:left="1304" w:header="964" w:footer="992" w:gutter="0"/>
          <w:pgNumType w:fmt="numberInDash" w:start="1"/>
          <w:cols w:space="720" w:num="1"/>
          <w:docGrid w:linePitch="312" w:charSpace="0"/>
        </w:sectPr>
      </w:pPr>
    </w:p>
    <w:p w14:paraId="1A388CFD">
      <w:pPr>
        <w:pStyle w:val="5"/>
        <w:spacing w:before="0" w:after="0" w:line="360" w:lineRule="auto"/>
        <w:jc w:val="center"/>
        <w:rPr>
          <w:rFonts w:hint="eastAsia" w:ascii="仿宋" w:hAnsi="仿宋" w:eastAsia="仿宋" w:cs="仿宋"/>
          <w:b w:val="0"/>
          <w:color w:val="auto"/>
          <w:sz w:val="36"/>
          <w:szCs w:val="30"/>
        </w:rPr>
      </w:pPr>
      <w:bookmarkStart w:id="52" w:name="_Toc30633"/>
      <w:r>
        <w:rPr>
          <w:rFonts w:hint="eastAsia" w:ascii="仿宋" w:hAnsi="仿宋" w:eastAsia="仿宋" w:cs="仿宋"/>
          <w:b w:val="0"/>
          <w:color w:val="auto"/>
          <w:sz w:val="36"/>
          <w:szCs w:val="30"/>
        </w:rPr>
        <w:t xml:space="preserve">第三篇  </w:t>
      </w:r>
      <w:bookmarkEnd w:id="49"/>
      <w:r>
        <w:rPr>
          <w:rFonts w:hint="eastAsia" w:ascii="仿宋" w:hAnsi="仿宋" w:eastAsia="仿宋" w:cs="仿宋"/>
          <w:b w:val="0"/>
          <w:color w:val="auto"/>
          <w:sz w:val="36"/>
          <w:szCs w:val="30"/>
        </w:rPr>
        <w:t>项目商务需求</w:t>
      </w:r>
      <w:bookmarkEnd w:id="52"/>
    </w:p>
    <w:p w14:paraId="61198F72">
      <w:pPr>
        <w:pStyle w:val="6"/>
        <w:spacing w:before="0" w:after="0" w:line="360" w:lineRule="auto"/>
        <w:rPr>
          <w:rFonts w:hint="eastAsia" w:ascii="仿宋" w:hAnsi="仿宋" w:eastAsia="仿宋" w:cs="仿宋"/>
          <w:color w:val="auto"/>
          <w:sz w:val="24"/>
          <w:szCs w:val="24"/>
        </w:rPr>
      </w:pPr>
      <w:bookmarkStart w:id="53" w:name="_Toc344475120"/>
      <w:bookmarkStart w:id="54" w:name="_Toc257"/>
      <w:r>
        <w:rPr>
          <w:rFonts w:hint="eastAsia" w:ascii="仿宋" w:hAnsi="仿宋" w:eastAsia="仿宋" w:cs="仿宋"/>
          <w:color w:val="auto"/>
          <w:sz w:val="24"/>
          <w:szCs w:val="24"/>
        </w:rPr>
        <w:t>一、服务期、地点及验收方式</w:t>
      </w:r>
      <w:bookmarkEnd w:id="53"/>
      <w:bookmarkEnd w:id="54"/>
    </w:p>
    <w:p w14:paraId="20EA5A99">
      <w:pPr>
        <w:pStyle w:val="12"/>
        <w:spacing w:line="360" w:lineRule="auto"/>
        <w:ind w:firstLine="480" w:firstLineChars="200"/>
        <w:rPr>
          <w:rFonts w:hint="default" w:ascii="仿宋" w:hAnsi="仿宋" w:eastAsia="仿宋" w:cs="仿宋"/>
          <w:color w:val="auto"/>
          <w:sz w:val="24"/>
          <w:szCs w:val="24"/>
          <w:lang w:val="en-US"/>
        </w:rPr>
      </w:pPr>
      <w:r>
        <w:rPr>
          <w:rFonts w:hint="eastAsia" w:ascii="仿宋" w:hAnsi="仿宋" w:eastAsia="仿宋" w:cs="仿宋"/>
          <w:color w:val="auto"/>
          <w:sz w:val="24"/>
          <w:szCs w:val="24"/>
        </w:rPr>
        <w:t>（一）服务期：</w:t>
      </w:r>
      <w:r>
        <w:rPr>
          <w:rFonts w:hint="eastAsia" w:ascii="仿宋" w:hAnsi="仿宋" w:eastAsia="仿宋" w:cs="仿宋"/>
          <w:color w:val="auto"/>
          <w:sz w:val="24"/>
          <w:szCs w:val="24"/>
          <w:lang w:val="en-US" w:eastAsia="zh-CN"/>
        </w:rPr>
        <w:t>从采购合同签订之日起1年。</w:t>
      </w:r>
    </w:p>
    <w:p w14:paraId="54BD5F6E">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（二）服务地点：大足区。</w:t>
      </w:r>
    </w:p>
    <w:p w14:paraId="58909655">
      <w:pPr>
        <w:pStyle w:val="6"/>
        <w:spacing w:before="0" w:after="0" w:line="360" w:lineRule="auto"/>
        <w:rPr>
          <w:rFonts w:hint="eastAsia" w:ascii="仿宋" w:hAnsi="仿宋" w:eastAsia="仿宋" w:cs="仿宋"/>
          <w:color w:val="auto"/>
          <w:sz w:val="24"/>
          <w:szCs w:val="24"/>
        </w:rPr>
      </w:pPr>
      <w:bookmarkStart w:id="55" w:name="_Toc344475121"/>
      <w:bookmarkStart w:id="56" w:name="_Toc4"/>
      <w:r>
        <w:rPr>
          <w:rFonts w:hint="eastAsia" w:ascii="仿宋" w:hAnsi="仿宋" w:eastAsia="仿宋" w:cs="仿宋"/>
          <w:color w:val="auto"/>
          <w:sz w:val="24"/>
          <w:szCs w:val="24"/>
        </w:rPr>
        <w:t>二、</w:t>
      </w:r>
      <w:bookmarkEnd w:id="55"/>
      <w:r>
        <w:rPr>
          <w:rFonts w:hint="eastAsia" w:ascii="仿宋" w:hAnsi="仿宋" w:eastAsia="仿宋" w:cs="仿宋"/>
          <w:color w:val="auto"/>
          <w:sz w:val="24"/>
          <w:szCs w:val="24"/>
        </w:rPr>
        <w:t>报价要求</w:t>
      </w:r>
      <w:bookmarkEnd w:id="56"/>
    </w:p>
    <w:p w14:paraId="34F2D9B0">
      <w:pPr>
        <w:pStyle w:val="6"/>
        <w:spacing w:before="0" w:after="0" w:line="360" w:lineRule="auto"/>
        <w:ind w:firstLine="480" w:firstLineChars="200"/>
        <w:rPr>
          <w:rFonts w:hint="eastAsia" w:ascii="仿宋" w:hAnsi="仿宋" w:eastAsia="仿宋" w:cs="仿宋"/>
          <w:b/>
          <w:color w:val="auto"/>
          <w:sz w:val="24"/>
          <w:szCs w:val="24"/>
          <w:lang w:val="en-US" w:eastAsia="zh-CN"/>
        </w:rPr>
      </w:pPr>
      <w:bookmarkStart w:id="57" w:name="_Toc27719"/>
      <w:bookmarkStart w:id="58" w:name="_Toc76373879"/>
      <w:bookmarkStart w:id="59" w:name="_Toc267320051"/>
      <w:bookmarkStart w:id="60" w:name="_Toc30551"/>
      <w:bookmarkStart w:id="61" w:name="_Toc76387240"/>
      <w:bookmarkStart w:id="62" w:name="_Toc15686"/>
      <w:bookmarkStart w:id="63" w:name="_Toc14311"/>
      <w:bookmarkStart w:id="64" w:name="_Toc5959"/>
      <w:bookmarkStart w:id="65" w:name="_Toc22561"/>
      <w:r>
        <w:rPr>
          <w:rFonts w:hint="eastAsia" w:ascii="仿宋" w:hAnsi="仿宋" w:eastAsia="仿宋" w:cs="仿宋"/>
          <w:b w:val="0"/>
          <w:color w:val="auto"/>
          <w:kern w:val="2"/>
          <w:sz w:val="24"/>
          <w:szCs w:val="24"/>
          <w:highlight w:val="none"/>
          <w:lang w:val="en-US" w:eastAsia="zh-CN" w:bidi="ar-SA"/>
        </w:rPr>
        <w:t>本次报价须为人民币总价报价，投标人需根据要求在分项报价明细表中，对本项目人员费用进行填报，报价包括但不限于：员工工资、社会保险、商业险（若有）、劳保福利、防暑降温费、税费、残疾人保障金、服装费、员工遣散费、管理费、日常管理运行成本等所有费用。因中标人自身原因造成漏报、少报皆由其自行承担责任，采购人不再补偿。</w:t>
      </w:r>
      <w:bookmarkEnd w:id="57"/>
    </w:p>
    <w:bookmarkEnd w:id="58"/>
    <w:bookmarkEnd w:id="59"/>
    <w:bookmarkEnd w:id="60"/>
    <w:bookmarkEnd w:id="61"/>
    <w:bookmarkEnd w:id="62"/>
    <w:bookmarkEnd w:id="63"/>
    <w:bookmarkEnd w:id="64"/>
    <w:bookmarkEnd w:id="65"/>
    <w:p w14:paraId="24E4E957">
      <w:pPr>
        <w:pStyle w:val="6"/>
        <w:spacing w:before="0" w:after="0" w:line="360" w:lineRule="auto"/>
        <w:rPr>
          <w:rFonts w:hint="eastAsia" w:ascii="仿宋" w:hAnsi="仿宋" w:eastAsia="仿宋" w:cs="仿宋"/>
          <w:b/>
          <w:color w:val="auto"/>
          <w:sz w:val="24"/>
          <w:szCs w:val="24"/>
          <w:lang w:val="en-US" w:eastAsia="zh-CN"/>
        </w:rPr>
      </w:pPr>
      <w:bookmarkStart w:id="66" w:name="_Toc31817"/>
      <w:r>
        <w:rPr>
          <w:rFonts w:hint="eastAsia" w:ascii="仿宋" w:hAnsi="仿宋" w:eastAsia="仿宋" w:cs="仿宋"/>
          <w:b/>
          <w:color w:val="auto"/>
          <w:sz w:val="24"/>
          <w:szCs w:val="24"/>
        </w:rPr>
        <w:t>三、</w:t>
      </w:r>
      <w:bookmarkStart w:id="67" w:name="_Toc344475122"/>
      <w:r>
        <w:rPr>
          <w:rFonts w:hint="eastAsia" w:ascii="仿宋" w:hAnsi="仿宋" w:eastAsia="仿宋" w:cs="仿宋"/>
          <w:b/>
          <w:color w:val="auto"/>
          <w:sz w:val="24"/>
          <w:szCs w:val="24"/>
          <w:lang w:val="en-US" w:eastAsia="zh-CN"/>
        </w:rPr>
        <w:t>履约保证金及合同付款</w:t>
      </w:r>
      <w:bookmarkEnd w:id="66"/>
    </w:p>
    <w:p w14:paraId="0557184B">
      <w:pPr>
        <w:pageBreakBefore w:val="0"/>
        <w:widowControl w:val="0"/>
        <w:kinsoku/>
        <w:wordWrap/>
        <w:overflowPunct/>
        <w:topLinePunct w:val="0"/>
        <w:autoSpaceDE/>
        <w:autoSpaceDN/>
        <w:bidi w:val="0"/>
        <w:snapToGrid w:val="0"/>
        <w:spacing w:line="400" w:lineRule="exact"/>
        <w:ind w:firstLine="480" w:firstLineChars="200"/>
        <w:rPr>
          <w:rFonts w:hint="eastAsia" w:ascii="仿宋" w:hAnsi="仿宋" w:eastAsia="仿宋" w:cs="仿宋"/>
          <w:b w:val="0"/>
          <w:color w:val="auto"/>
          <w:kern w:val="2"/>
          <w:sz w:val="24"/>
          <w:szCs w:val="24"/>
          <w:highlight w:val="none"/>
          <w:lang w:val="en-US" w:eastAsia="zh-CN" w:bidi="ar-SA"/>
        </w:rPr>
      </w:pPr>
      <w:r>
        <w:rPr>
          <w:rFonts w:hint="eastAsia" w:ascii="仿宋" w:hAnsi="仿宋" w:eastAsia="仿宋" w:cs="仿宋"/>
          <w:b w:val="0"/>
          <w:color w:val="auto"/>
          <w:kern w:val="2"/>
          <w:sz w:val="24"/>
          <w:szCs w:val="24"/>
          <w:highlight w:val="none"/>
          <w:lang w:val="en-US" w:eastAsia="zh-CN" w:bidi="ar-SA"/>
        </w:rPr>
        <w:t xml:space="preserve">（一）合同签订签中标人向采购人缴纳合同金额10%的履约保证金（以现金或保函方式提交，履约保函包括银行保函、保证保险和担保保函；履约保函的开立人应当是具有相应资格的银行、保险机构、融资担保公司，其信用资质、履约能力、担保能力、赔付流程、安全保密等应符合履约保函业务条件。中标人对所提交的履约保函的真实性、合法性、有效性负责。）； </w:t>
      </w:r>
    </w:p>
    <w:p w14:paraId="73E2D736">
      <w:pPr>
        <w:pageBreakBefore w:val="0"/>
        <w:widowControl w:val="0"/>
        <w:kinsoku/>
        <w:wordWrap/>
        <w:overflowPunct/>
        <w:topLinePunct w:val="0"/>
        <w:autoSpaceDE/>
        <w:autoSpaceDN/>
        <w:bidi w:val="0"/>
        <w:snapToGrid w:val="0"/>
        <w:spacing w:line="400" w:lineRule="exact"/>
        <w:ind w:firstLine="480" w:firstLineChars="200"/>
        <w:rPr>
          <w:rFonts w:hint="eastAsia"/>
          <w:color w:val="auto"/>
          <w:lang w:val="en-US" w:eastAsia="zh-CN"/>
        </w:rPr>
      </w:pPr>
      <w:r>
        <w:rPr>
          <w:rFonts w:hint="eastAsia" w:ascii="仿宋" w:hAnsi="仿宋" w:eastAsia="仿宋" w:cs="仿宋"/>
          <w:b w:val="0"/>
          <w:color w:val="auto"/>
          <w:kern w:val="2"/>
          <w:sz w:val="24"/>
          <w:szCs w:val="24"/>
          <w:highlight w:val="none"/>
          <w:lang w:val="en-US" w:eastAsia="zh-CN" w:bidi="ar-SA"/>
        </w:rPr>
        <w:t>注：根据《关于印发重庆市融资担保公司监管评级及分类监管办法的通知》（渝金发〔2021〕5号）文件，担保公司须在《重庆市地方金融监督管理局关于开展2022年度监管评级有关工作的通知》、《重庆市地方金融监督管理局关于开展2023年度监管评级有关工作的通知》中监管评级等级在B级及以上。</w:t>
      </w:r>
    </w:p>
    <w:p w14:paraId="47D41965">
      <w:pPr>
        <w:pageBreakBefore w:val="0"/>
        <w:widowControl w:val="0"/>
        <w:kinsoku/>
        <w:wordWrap/>
        <w:overflowPunct/>
        <w:topLinePunct w:val="0"/>
        <w:autoSpaceDE/>
        <w:autoSpaceDN/>
        <w:bidi w:val="0"/>
        <w:snapToGrid w:val="0"/>
        <w:spacing w:line="400" w:lineRule="exact"/>
        <w:ind w:firstLine="480" w:firstLineChars="200"/>
        <w:rPr>
          <w:rFonts w:hint="eastAsia" w:ascii="仿宋" w:hAnsi="仿宋" w:eastAsia="仿宋" w:cs="仿宋"/>
          <w:b w:val="0"/>
          <w:color w:val="auto"/>
          <w:kern w:val="2"/>
          <w:sz w:val="24"/>
          <w:szCs w:val="24"/>
          <w:highlight w:val="none"/>
          <w:lang w:val="en-US" w:eastAsia="zh-CN" w:bidi="ar-SA"/>
        </w:rPr>
      </w:pPr>
      <w:r>
        <w:rPr>
          <w:rFonts w:hint="eastAsia" w:ascii="仿宋" w:hAnsi="仿宋" w:eastAsia="仿宋" w:cs="仿宋"/>
          <w:b w:val="0"/>
          <w:color w:val="auto"/>
          <w:kern w:val="2"/>
          <w:sz w:val="24"/>
          <w:szCs w:val="24"/>
          <w:highlight w:val="none"/>
          <w:lang w:val="en-US" w:eastAsia="zh-CN" w:bidi="ar-SA"/>
        </w:rPr>
        <w:t>（二）中标人按采购合同提供餐饮服务，每月经采购人检查考核后，依据检查考核情况，按月付款，具体计算公式为：</w:t>
      </w:r>
    </w:p>
    <w:p w14:paraId="214CA83A">
      <w:pPr>
        <w:pageBreakBefore w:val="0"/>
        <w:widowControl w:val="0"/>
        <w:kinsoku/>
        <w:wordWrap/>
        <w:overflowPunct/>
        <w:topLinePunct w:val="0"/>
        <w:autoSpaceDE/>
        <w:autoSpaceDN/>
        <w:bidi w:val="0"/>
        <w:snapToGrid w:val="0"/>
        <w:spacing w:line="400" w:lineRule="exact"/>
        <w:ind w:firstLine="480" w:firstLineChars="200"/>
        <w:rPr>
          <w:rFonts w:hint="eastAsia" w:ascii="仿宋" w:hAnsi="仿宋" w:eastAsia="仿宋" w:cs="仿宋"/>
          <w:b w:val="0"/>
          <w:color w:val="auto"/>
          <w:kern w:val="2"/>
          <w:sz w:val="24"/>
          <w:szCs w:val="24"/>
          <w:highlight w:val="none"/>
          <w:lang w:val="en-US" w:eastAsia="zh-CN" w:bidi="ar-SA"/>
        </w:rPr>
      </w:pPr>
      <w:r>
        <w:rPr>
          <w:rFonts w:hint="eastAsia" w:ascii="仿宋" w:hAnsi="仿宋" w:eastAsia="仿宋" w:cs="仿宋"/>
          <w:b w:val="0"/>
          <w:color w:val="auto"/>
          <w:kern w:val="2"/>
          <w:sz w:val="24"/>
          <w:szCs w:val="24"/>
          <w:highlight w:val="none"/>
          <w:lang w:val="en-US" w:eastAsia="zh-CN" w:bidi="ar-SA"/>
        </w:rPr>
        <w:t>实际到岗人数*对应岗位费用-扣款=实际结算金额</w:t>
      </w:r>
    </w:p>
    <w:p w14:paraId="1A5A1338">
      <w:pPr>
        <w:pageBreakBefore w:val="0"/>
        <w:widowControl w:val="0"/>
        <w:kinsoku/>
        <w:wordWrap/>
        <w:overflowPunct/>
        <w:topLinePunct w:val="0"/>
        <w:autoSpaceDE/>
        <w:autoSpaceDN/>
        <w:bidi w:val="0"/>
        <w:snapToGrid w:val="0"/>
        <w:spacing w:line="400" w:lineRule="exact"/>
        <w:ind w:firstLine="480" w:firstLineChars="200"/>
        <w:rPr>
          <w:rFonts w:hint="default"/>
          <w:color w:val="auto"/>
          <w:lang w:val="en-US" w:eastAsia="zh-CN"/>
        </w:rPr>
      </w:pPr>
      <w:r>
        <w:rPr>
          <w:rFonts w:hint="eastAsia" w:ascii="仿宋" w:hAnsi="仿宋" w:eastAsia="仿宋" w:cs="仿宋"/>
          <w:b w:val="0"/>
          <w:color w:val="auto"/>
          <w:kern w:val="2"/>
          <w:sz w:val="24"/>
          <w:szCs w:val="24"/>
          <w:highlight w:val="none"/>
          <w:lang w:val="en-US" w:eastAsia="zh-CN" w:bidi="ar-SA"/>
        </w:rPr>
        <w:t>注：项目履约过程中，若因用餐人数增加，须投标人增加劳务人员的，按投标人响应文件中相应人员报价金额增加相应费用。项目履约过程中，若因用餐形式或标准发生变化需增减费用，双方商定后执行。</w:t>
      </w:r>
    </w:p>
    <w:bookmarkEnd w:id="67"/>
    <w:p w14:paraId="2D8A2D0D">
      <w:pPr>
        <w:snapToGrid w:val="0"/>
        <w:spacing w:beforeLines="0" w:afterLines="0" w:line="360" w:lineRule="auto"/>
        <w:ind w:firstLine="480" w:firstLineChars="200"/>
        <w:rPr>
          <w:rFonts w:hint="eastAsia"/>
          <w:color w:val="auto"/>
          <w:lang w:val="en-US" w:eastAsia="zh-CN"/>
        </w:rPr>
      </w:pPr>
      <w:bookmarkStart w:id="68" w:name="_Toc344475124"/>
      <w:r>
        <w:rPr>
          <w:rFonts w:hint="eastAsia" w:ascii="仿宋" w:hAnsi="仿宋" w:eastAsia="仿宋" w:cs="仿宋"/>
          <w:color w:val="auto"/>
          <w:kern w:val="0"/>
          <w:sz w:val="24"/>
          <w:szCs w:val="24"/>
          <w:highlight w:val="none"/>
          <w:lang w:eastAsia="zh-CN"/>
        </w:rPr>
        <w:t>（三）</w:t>
      </w:r>
      <w:r>
        <w:rPr>
          <w:rFonts w:hint="eastAsia" w:ascii="仿宋" w:hAnsi="仿宋" w:eastAsia="仿宋" w:cs="仿宋"/>
          <w:color w:val="auto"/>
          <w:kern w:val="0"/>
          <w:sz w:val="24"/>
          <w:szCs w:val="24"/>
          <w:highlight w:val="none"/>
        </w:rPr>
        <w:t>在合同期满后，中标人无违约情况或侵权行为，可提出书面申请，由采购人在7个工作日内将履约保证金退给中标人。</w:t>
      </w:r>
    </w:p>
    <w:p w14:paraId="05F5C175">
      <w:pPr>
        <w:pStyle w:val="6"/>
        <w:numPr>
          <w:ilvl w:val="0"/>
          <w:numId w:val="1"/>
        </w:numPr>
        <w:spacing w:before="0" w:after="0" w:line="360" w:lineRule="auto"/>
        <w:rPr>
          <w:rFonts w:hint="eastAsia" w:ascii="仿宋" w:hAnsi="仿宋" w:eastAsia="仿宋" w:cs="仿宋"/>
          <w:b/>
          <w:color w:val="auto"/>
          <w:sz w:val="24"/>
          <w:szCs w:val="24"/>
          <w:lang w:val="en-US" w:eastAsia="zh-CN"/>
        </w:rPr>
      </w:pPr>
      <w:bookmarkStart w:id="69" w:name="_Toc23506"/>
      <w:r>
        <w:rPr>
          <w:rFonts w:hint="eastAsia" w:ascii="仿宋" w:hAnsi="仿宋" w:eastAsia="仿宋" w:cs="仿宋"/>
          <w:b/>
          <w:color w:val="auto"/>
          <w:sz w:val="24"/>
          <w:szCs w:val="24"/>
          <w:lang w:val="en-US" w:eastAsia="zh-CN"/>
        </w:rPr>
        <w:t>考核方式</w:t>
      </w:r>
      <w:bookmarkEnd w:id="69"/>
    </w:p>
    <w:p w14:paraId="497138A2">
      <w:pPr>
        <w:pageBreakBefore w:val="0"/>
        <w:widowControl w:val="0"/>
        <w:kinsoku/>
        <w:wordWrap/>
        <w:overflowPunct/>
        <w:topLinePunct w:val="0"/>
        <w:autoSpaceDE/>
        <w:autoSpaceDN/>
        <w:bidi w:val="0"/>
        <w:snapToGrid w:val="0"/>
        <w:spacing w:line="400" w:lineRule="exact"/>
        <w:ind w:firstLine="480" w:firstLineChars="200"/>
        <w:outlineLvl w:val="2"/>
        <w:rPr>
          <w:rFonts w:hint="eastAsia" w:ascii="仿宋" w:hAnsi="仿宋" w:eastAsia="仿宋" w:cs="仿宋"/>
          <w:b w:val="0"/>
          <w:color w:val="auto"/>
          <w:kern w:val="2"/>
          <w:sz w:val="24"/>
          <w:szCs w:val="24"/>
          <w:highlight w:val="none"/>
          <w:lang w:val="en-US" w:eastAsia="zh-CN" w:bidi="ar-SA"/>
        </w:rPr>
      </w:pPr>
      <w:r>
        <w:rPr>
          <w:rFonts w:hint="eastAsia" w:ascii="仿宋" w:hAnsi="仿宋" w:eastAsia="仿宋" w:cs="仿宋"/>
          <w:b w:val="0"/>
          <w:color w:val="auto"/>
          <w:kern w:val="2"/>
          <w:sz w:val="24"/>
          <w:szCs w:val="24"/>
          <w:highlight w:val="none"/>
          <w:lang w:val="en-US" w:eastAsia="zh-CN" w:bidi="ar-SA"/>
        </w:rPr>
        <w:t>（一）满意度调查</w:t>
      </w:r>
    </w:p>
    <w:p w14:paraId="1E9B0AE8">
      <w:pPr>
        <w:pageBreakBefore w:val="0"/>
        <w:widowControl w:val="0"/>
        <w:kinsoku/>
        <w:wordWrap/>
        <w:overflowPunct/>
        <w:topLinePunct w:val="0"/>
        <w:autoSpaceDE/>
        <w:autoSpaceDN/>
        <w:bidi w:val="0"/>
        <w:snapToGrid w:val="0"/>
        <w:spacing w:line="400" w:lineRule="exact"/>
        <w:ind w:firstLine="480" w:firstLineChars="200"/>
        <w:outlineLvl w:val="2"/>
        <w:rPr>
          <w:rFonts w:hint="eastAsia" w:ascii="仿宋" w:hAnsi="仿宋" w:eastAsia="仿宋" w:cs="仿宋"/>
          <w:b w:val="0"/>
          <w:color w:val="auto"/>
          <w:kern w:val="2"/>
          <w:sz w:val="24"/>
          <w:szCs w:val="24"/>
          <w:highlight w:val="none"/>
          <w:lang w:val="en-US" w:eastAsia="zh-CN" w:bidi="ar-SA"/>
        </w:rPr>
      </w:pPr>
      <w:r>
        <w:rPr>
          <w:rFonts w:hint="eastAsia" w:ascii="仿宋" w:hAnsi="仿宋" w:eastAsia="仿宋" w:cs="仿宋"/>
          <w:b w:val="0"/>
          <w:color w:val="auto"/>
          <w:kern w:val="2"/>
          <w:sz w:val="24"/>
          <w:szCs w:val="24"/>
          <w:highlight w:val="none"/>
          <w:lang w:val="en-US" w:eastAsia="zh-CN" w:bidi="ar-SA"/>
        </w:rPr>
        <w:t>1.采购人与中标人双方每月共同组织职工对食堂满意度调查，满意度调查达到90%以上为合格。若低于90%的，采购人向中标人下达整改通知。</w:t>
      </w:r>
    </w:p>
    <w:p w14:paraId="70172D06">
      <w:pPr>
        <w:pageBreakBefore w:val="0"/>
        <w:widowControl w:val="0"/>
        <w:kinsoku/>
        <w:wordWrap/>
        <w:overflowPunct/>
        <w:topLinePunct w:val="0"/>
        <w:autoSpaceDE/>
        <w:autoSpaceDN/>
        <w:bidi w:val="0"/>
        <w:snapToGrid w:val="0"/>
        <w:spacing w:line="400" w:lineRule="exact"/>
        <w:ind w:firstLine="480" w:firstLineChars="200"/>
        <w:outlineLvl w:val="2"/>
        <w:rPr>
          <w:rFonts w:hint="eastAsia" w:ascii="仿宋" w:hAnsi="仿宋" w:eastAsia="仿宋" w:cs="仿宋"/>
          <w:b w:val="0"/>
          <w:color w:val="auto"/>
          <w:kern w:val="2"/>
          <w:sz w:val="24"/>
          <w:szCs w:val="24"/>
          <w:highlight w:val="none"/>
          <w:lang w:val="en-US" w:eastAsia="zh-CN" w:bidi="ar-SA"/>
        </w:rPr>
      </w:pPr>
      <w:r>
        <w:rPr>
          <w:rFonts w:hint="eastAsia" w:ascii="仿宋" w:hAnsi="仿宋" w:eastAsia="仿宋" w:cs="仿宋"/>
          <w:b w:val="0"/>
          <w:color w:val="auto"/>
          <w:kern w:val="2"/>
          <w:sz w:val="24"/>
          <w:szCs w:val="24"/>
          <w:highlight w:val="none"/>
          <w:lang w:val="en-US" w:eastAsia="zh-CN" w:bidi="ar-SA"/>
        </w:rPr>
        <w:t>2.若连续3次满意度调查低于80%的，则采购人有权扣除中标人全部履约保证金。</w:t>
      </w:r>
    </w:p>
    <w:p w14:paraId="455681ED">
      <w:pPr>
        <w:pageBreakBefore w:val="0"/>
        <w:widowControl w:val="0"/>
        <w:kinsoku/>
        <w:wordWrap/>
        <w:overflowPunct/>
        <w:topLinePunct w:val="0"/>
        <w:autoSpaceDE/>
        <w:autoSpaceDN/>
        <w:bidi w:val="0"/>
        <w:snapToGrid w:val="0"/>
        <w:spacing w:line="400" w:lineRule="exact"/>
        <w:ind w:firstLine="480" w:firstLineChars="200"/>
        <w:outlineLvl w:val="2"/>
        <w:rPr>
          <w:rFonts w:hint="eastAsia" w:ascii="仿宋" w:hAnsi="仿宋" w:eastAsia="仿宋" w:cs="仿宋"/>
          <w:b w:val="0"/>
          <w:color w:val="auto"/>
          <w:kern w:val="2"/>
          <w:sz w:val="24"/>
          <w:szCs w:val="24"/>
          <w:highlight w:val="none"/>
          <w:lang w:val="en-US" w:eastAsia="zh-CN" w:bidi="ar-SA"/>
        </w:rPr>
      </w:pPr>
      <w:r>
        <w:rPr>
          <w:rFonts w:hint="eastAsia" w:ascii="仿宋" w:hAnsi="仿宋" w:eastAsia="仿宋" w:cs="仿宋"/>
          <w:b w:val="0"/>
          <w:color w:val="auto"/>
          <w:kern w:val="2"/>
          <w:sz w:val="24"/>
          <w:szCs w:val="24"/>
          <w:highlight w:val="none"/>
          <w:lang w:val="en-US" w:eastAsia="zh-CN" w:bidi="ar-SA"/>
        </w:rPr>
        <w:t>（二）服务细则考核</w:t>
      </w:r>
    </w:p>
    <w:p w14:paraId="7B3C4B90">
      <w:pPr>
        <w:pageBreakBefore w:val="0"/>
        <w:widowControl w:val="0"/>
        <w:kinsoku/>
        <w:wordWrap/>
        <w:overflowPunct/>
        <w:topLinePunct w:val="0"/>
        <w:autoSpaceDE/>
        <w:autoSpaceDN/>
        <w:bidi w:val="0"/>
        <w:snapToGrid w:val="0"/>
        <w:spacing w:line="400" w:lineRule="exact"/>
        <w:ind w:firstLine="480" w:firstLineChars="200"/>
        <w:outlineLvl w:val="2"/>
        <w:rPr>
          <w:rFonts w:hint="eastAsia" w:ascii="仿宋" w:hAnsi="仿宋" w:eastAsia="仿宋" w:cs="仿宋"/>
          <w:b w:val="0"/>
          <w:color w:val="auto"/>
          <w:kern w:val="2"/>
          <w:sz w:val="24"/>
          <w:szCs w:val="24"/>
          <w:highlight w:val="none"/>
          <w:lang w:val="en-US" w:eastAsia="zh-CN" w:bidi="ar-SA"/>
        </w:rPr>
      </w:pPr>
      <w:r>
        <w:rPr>
          <w:rFonts w:hint="eastAsia" w:ascii="仿宋" w:hAnsi="仿宋" w:eastAsia="仿宋" w:cs="仿宋"/>
          <w:b w:val="0"/>
          <w:color w:val="auto"/>
          <w:kern w:val="2"/>
          <w:sz w:val="24"/>
          <w:szCs w:val="24"/>
          <w:highlight w:val="none"/>
          <w:lang w:val="en-US" w:eastAsia="zh-CN" w:bidi="ar-SA"/>
        </w:rPr>
        <w:t>1.采购人按照本项目质量考核细则对中标人管理工作进行考核，采取满分倒扣制，满分100分。月考核得分超过95分的为合格；得分90分（含90分）以上且低于95分（含95分）的为“基本合格”等级；得分85分（含85分）以上且低于90分的为“较差”等级，以90分为基准分值，差1分扣当月合同价款100元；得分低于85分为“差”等级，以90分为基准分值，差1分扣当月合同价款200元。累计两次月考核得分低于80分，采购人有权解除合同并扣除中标人全部履约保证金。</w:t>
      </w:r>
    </w:p>
    <w:p w14:paraId="676DF40F">
      <w:pPr>
        <w:pageBreakBefore w:val="0"/>
        <w:widowControl w:val="0"/>
        <w:kinsoku/>
        <w:wordWrap/>
        <w:overflowPunct/>
        <w:topLinePunct w:val="0"/>
        <w:autoSpaceDE/>
        <w:autoSpaceDN/>
        <w:bidi w:val="0"/>
        <w:snapToGrid w:val="0"/>
        <w:spacing w:line="400" w:lineRule="exact"/>
        <w:ind w:firstLine="480" w:firstLineChars="200"/>
        <w:outlineLvl w:val="2"/>
        <w:rPr>
          <w:rFonts w:hint="eastAsia" w:ascii="仿宋" w:hAnsi="仿宋" w:eastAsia="仿宋" w:cs="仿宋"/>
          <w:b w:val="0"/>
          <w:color w:val="auto"/>
          <w:kern w:val="2"/>
          <w:sz w:val="24"/>
          <w:szCs w:val="24"/>
          <w:highlight w:val="none"/>
          <w:lang w:val="en-US" w:eastAsia="zh-CN" w:bidi="ar-SA"/>
        </w:rPr>
      </w:pPr>
      <w:r>
        <w:rPr>
          <w:rFonts w:hint="eastAsia" w:ascii="仿宋" w:hAnsi="仿宋" w:eastAsia="仿宋" w:cs="仿宋"/>
          <w:b w:val="0"/>
          <w:color w:val="auto"/>
          <w:kern w:val="2"/>
          <w:sz w:val="24"/>
          <w:szCs w:val="24"/>
          <w:highlight w:val="none"/>
          <w:lang w:val="en-US" w:eastAsia="zh-CN" w:bidi="ar-SA"/>
        </w:rPr>
        <w:t>2.连续2月考核得分低于85分的或一年中累计3次考核得分低于85分的，中标人必须立即更换管理岗位人员，新岗位人员必须于10个工作日内到位，经采购人试用合格后上岗。</w:t>
      </w:r>
    </w:p>
    <w:p w14:paraId="5DE2C527">
      <w:pPr>
        <w:pageBreakBefore w:val="0"/>
        <w:widowControl w:val="0"/>
        <w:kinsoku/>
        <w:wordWrap/>
        <w:overflowPunct/>
        <w:topLinePunct w:val="0"/>
        <w:autoSpaceDE/>
        <w:autoSpaceDN/>
        <w:bidi w:val="0"/>
        <w:snapToGrid w:val="0"/>
        <w:spacing w:line="400" w:lineRule="exact"/>
        <w:ind w:firstLine="480" w:firstLineChars="200"/>
        <w:outlineLvl w:val="2"/>
        <w:rPr>
          <w:rFonts w:hint="eastAsia" w:ascii="仿宋" w:hAnsi="仿宋" w:eastAsia="仿宋" w:cs="仿宋"/>
          <w:b w:val="0"/>
          <w:color w:val="auto"/>
          <w:kern w:val="2"/>
          <w:sz w:val="24"/>
          <w:szCs w:val="24"/>
          <w:highlight w:val="none"/>
          <w:lang w:val="en-US" w:eastAsia="zh-CN" w:bidi="ar-SA"/>
        </w:rPr>
      </w:pPr>
      <w:r>
        <w:rPr>
          <w:rFonts w:hint="eastAsia" w:ascii="仿宋" w:hAnsi="仿宋" w:eastAsia="仿宋" w:cs="仿宋"/>
          <w:b w:val="0"/>
          <w:color w:val="auto"/>
          <w:kern w:val="2"/>
          <w:sz w:val="24"/>
          <w:szCs w:val="24"/>
          <w:highlight w:val="none"/>
          <w:lang w:val="en-US" w:eastAsia="zh-CN" w:bidi="ar-SA"/>
        </w:rPr>
        <w:t>3.考核细则：</w:t>
      </w:r>
    </w:p>
    <w:tbl>
      <w:tblPr>
        <w:tblStyle w:val="19"/>
        <w:tblW w:w="9397" w:type="dxa"/>
        <w:tblInd w:w="9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9"/>
        <w:gridCol w:w="819"/>
        <w:gridCol w:w="1418"/>
        <w:gridCol w:w="6341"/>
      </w:tblGrid>
      <w:tr w14:paraId="46BBF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9397" w:type="dxa"/>
            <w:gridSpan w:val="4"/>
            <w:noWrap w:val="0"/>
            <w:vAlign w:val="center"/>
          </w:tcPr>
          <w:p w14:paraId="4B64040E">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食堂服务项目质量考核细则</w:t>
            </w:r>
          </w:p>
        </w:tc>
      </w:tr>
      <w:tr w14:paraId="6E24B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noWrap w:val="0"/>
            <w:vAlign w:val="center"/>
          </w:tcPr>
          <w:p w14:paraId="51E79632">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项目</w:t>
            </w:r>
          </w:p>
        </w:tc>
        <w:tc>
          <w:tcPr>
            <w:tcW w:w="819" w:type="dxa"/>
            <w:noWrap w:val="0"/>
            <w:vAlign w:val="center"/>
          </w:tcPr>
          <w:p w14:paraId="2CB09DFC">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分数</w:t>
            </w:r>
          </w:p>
        </w:tc>
        <w:tc>
          <w:tcPr>
            <w:tcW w:w="1418" w:type="dxa"/>
            <w:noWrap w:val="0"/>
            <w:vAlign w:val="center"/>
          </w:tcPr>
          <w:p w14:paraId="3C9EC079">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考核指标</w:t>
            </w:r>
          </w:p>
        </w:tc>
        <w:tc>
          <w:tcPr>
            <w:tcW w:w="6341" w:type="dxa"/>
            <w:noWrap w:val="0"/>
            <w:vAlign w:val="center"/>
          </w:tcPr>
          <w:p w14:paraId="42C03DE9">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扣分说明</w:t>
            </w:r>
          </w:p>
        </w:tc>
      </w:tr>
      <w:tr w14:paraId="258F2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restart"/>
            <w:noWrap w:val="0"/>
            <w:vAlign w:val="center"/>
          </w:tcPr>
          <w:p w14:paraId="178DA83E">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制度规范</w:t>
            </w:r>
          </w:p>
        </w:tc>
        <w:tc>
          <w:tcPr>
            <w:tcW w:w="819" w:type="dxa"/>
            <w:vMerge w:val="restart"/>
            <w:noWrap w:val="0"/>
            <w:vAlign w:val="center"/>
          </w:tcPr>
          <w:p w14:paraId="41324A96">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20分</w:t>
            </w:r>
          </w:p>
        </w:tc>
        <w:tc>
          <w:tcPr>
            <w:tcW w:w="1418" w:type="dxa"/>
            <w:noWrap w:val="0"/>
            <w:vAlign w:val="center"/>
          </w:tcPr>
          <w:p w14:paraId="280A083E">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管理制度</w:t>
            </w:r>
          </w:p>
        </w:tc>
        <w:tc>
          <w:tcPr>
            <w:tcW w:w="6341" w:type="dxa"/>
            <w:noWrap w:val="0"/>
            <w:vAlign w:val="center"/>
          </w:tcPr>
          <w:p w14:paraId="121870DD">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有合同约定的各项管理制度，每缺一个管理制度扣1分。</w:t>
            </w:r>
          </w:p>
        </w:tc>
      </w:tr>
      <w:tr w14:paraId="6CA4A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continue"/>
            <w:noWrap w:val="0"/>
            <w:vAlign w:val="center"/>
          </w:tcPr>
          <w:p w14:paraId="305F29CE">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819" w:type="dxa"/>
            <w:vMerge w:val="continue"/>
            <w:noWrap w:val="0"/>
            <w:vAlign w:val="center"/>
          </w:tcPr>
          <w:p w14:paraId="7712E549">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1418" w:type="dxa"/>
            <w:noWrap w:val="0"/>
            <w:vAlign w:val="center"/>
          </w:tcPr>
          <w:p w14:paraId="5FBD72EC">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岗位管理</w:t>
            </w:r>
          </w:p>
        </w:tc>
        <w:tc>
          <w:tcPr>
            <w:tcW w:w="6341" w:type="dxa"/>
            <w:noWrap w:val="0"/>
            <w:vAlign w:val="center"/>
          </w:tcPr>
          <w:p w14:paraId="7882E346">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员工配备与合同要求不符（经甲方同意的除外），管理岗位扣2分，一般岗位每个扣1分，并按合同扣除相应经费。更换人员应有甲方同意，未经同意私自更换的一次扣1分。新进员工或员工离开当日未报告，一次扣1分。违反保密要求和规范化管理等，一次扣1分。因违反规定被采购人书面通报的，一次扣3分等。未及时调整更换采购方要求更换的厨师、服务人员的，一人次扣5分。</w:t>
            </w:r>
          </w:p>
        </w:tc>
      </w:tr>
      <w:tr w14:paraId="12B77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continue"/>
            <w:noWrap w:val="0"/>
            <w:vAlign w:val="center"/>
          </w:tcPr>
          <w:p w14:paraId="4A4CC21C">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819" w:type="dxa"/>
            <w:vMerge w:val="continue"/>
            <w:noWrap w:val="0"/>
            <w:vAlign w:val="center"/>
          </w:tcPr>
          <w:p w14:paraId="736C274C">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1418" w:type="dxa"/>
            <w:noWrap w:val="0"/>
            <w:vAlign w:val="center"/>
          </w:tcPr>
          <w:p w14:paraId="613EC658">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消防安全</w:t>
            </w:r>
          </w:p>
        </w:tc>
        <w:tc>
          <w:tcPr>
            <w:tcW w:w="6341" w:type="dxa"/>
            <w:noWrap w:val="0"/>
            <w:vAlign w:val="center"/>
          </w:tcPr>
          <w:p w14:paraId="3EECACFD">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每月未开展消防培训,扣0.5分,每月开展全面消防安全检查工作2次，未开展检查或检查到有消防隐患未及时整改的,一次扣 0.5分，发生消防安全事故的，一次扣2-10分，赔偿损失并承担相应法律责任；厨房明火无人值守，一次扣 1分等。</w:t>
            </w:r>
          </w:p>
        </w:tc>
      </w:tr>
      <w:tr w14:paraId="5EE1B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continue"/>
            <w:noWrap w:val="0"/>
            <w:vAlign w:val="center"/>
          </w:tcPr>
          <w:p w14:paraId="5B134178">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819" w:type="dxa"/>
            <w:vMerge w:val="continue"/>
            <w:noWrap w:val="0"/>
            <w:vAlign w:val="center"/>
          </w:tcPr>
          <w:p w14:paraId="13D0F564">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1418" w:type="dxa"/>
            <w:noWrap w:val="0"/>
            <w:vAlign w:val="center"/>
          </w:tcPr>
          <w:p w14:paraId="7B2C5061">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培训教育</w:t>
            </w:r>
          </w:p>
        </w:tc>
        <w:tc>
          <w:tcPr>
            <w:tcW w:w="6341" w:type="dxa"/>
            <w:noWrap w:val="0"/>
            <w:vAlign w:val="center"/>
          </w:tcPr>
          <w:p w14:paraId="238EECA7">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没有食品安全、食品卫生、服务礼仪、厨艺培训方案和计划的，每一项扣1分，未落实培训一项扣1分。没有培训记录一项扣0.5分。每周全员例会、班组例会缺一次扣0.5分等。</w:t>
            </w:r>
          </w:p>
        </w:tc>
      </w:tr>
      <w:tr w14:paraId="11D56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continue"/>
            <w:noWrap w:val="0"/>
            <w:vAlign w:val="center"/>
          </w:tcPr>
          <w:p w14:paraId="6F4CEE9E">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819" w:type="dxa"/>
            <w:vMerge w:val="continue"/>
            <w:noWrap w:val="0"/>
            <w:vAlign w:val="center"/>
          </w:tcPr>
          <w:p w14:paraId="312332BB">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1418" w:type="dxa"/>
            <w:noWrap w:val="0"/>
            <w:vAlign w:val="center"/>
          </w:tcPr>
          <w:p w14:paraId="3DAA9EFC">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考核奖励机制</w:t>
            </w:r>
          </w:p>
        </w:tc>
        <w:tc>
          <w:tcPr>
            <w:tcW w:w="6341" w:type="dxa"/>
            <w:noWrap w:val="0"/>
            <w:vAlign w:val="center"/>
          </w:tcPr>
          <w:p w14:paraId="7CA9E05B">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没有员工考核奖励机制，扣1分，每月未落实，扣1分。奖励经费未在服务费支付后10日内发放的，延误1天扣0.5分。奖励结果未经甲方同意后实施的，一次扣1分；奖励情况未按规定公示，一次扣1分。</w:t>
            </w:r>
          </w:p>
        </w:tc>
      </w:tr>
      <w:tr w14:paraId="045FC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continue"/>
            <w:noWrap w:val="0"/>
            <w:vAlign w:val="center"/>
          </w:tcPr>
          <w:p w14:paraId="309F68C0">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819" w:type="dxa"/>
            <w:vMerge w:val="continue"/>
            <w:noWrap w:val="0"/>
            <w:vAlign w:val="center"/>
          </w:tcPr>
          <w:p w14:paraId="57FC61A5">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1418" w:type="dxa"/>
            <w:noWrap w:val="0"/>
            <w:vAlign w:val="center"/>
          </w:tcPr>
          <w:p w14:paraId="5E6E830D">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履约保证</w:t>
            </w:r>
          </w:p>
        </w:tc>
        <w:tc>
          <w:tcPr>
            <w:tcW w:w="6341" w:type="dxa"/>
            <w:noWrap w:val="0"/>
            <w:vAlign w:val="center"/>
          </w:tcPr>
          <w:p w14:paraId="5A2F3612">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扣除的履约保证金应在10个工作日内补交齐全，每延误1天扣0.5分。</w:t>
            </w:r>
          </w:p>
        </w:tc>
      </w:tr>
      <w:tr w14:paraId="5BEF8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restart"/>
            <w:noWrap w:val="0"/>
            <w:vAlign w:val="center"/>
          </w:tcPr>
          <w:p w14:paraId="1E784C3B">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日常管理及服务</w:t>
            </w:r>
          </w:p>
        </w:tc>
        <w:tc>
          <w:tcPr>
            <w:tcW w:w="819" w:type="dxa"/>
            <w:vMerge w:val="restart"/>
            <w:noWrap w:val="0"/>
            <w:vAlign w:val="center"/>
          </w:tcPr>
          <w:p w14:paraId="76CEDD9D">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28分</w:t>
            </w:r>
          </w:p>
        </w:tc>
        <w:tc>
          <w:tcPr>
            <w:tcW w:w="1418" w:type="dxa"/>
            <w:noWrap w:val="0"/>
            <w:vAlign w:val="center"/>
          </w:tcPr>
          <w:p w14:paraId="14046B54">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员工管理</w:t>
            </w:r>
          </w:p>
        </w:tc>
        <w:tc>
          <w:tcPr>
            <w:tcW w:w="6341" w:type="dxa"/>
            <w:noWrap w:val="0"/>
            <w:vAlign w:val="center"/>
          </w:tcPr>
          <w:p w14:paraId="55C0A71B">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工作人员工作期间不规范着装扣，发现一次扣0.5分，个人卫生不整洁，留长发、长指甲、长胡子，涂指甲油，佩戴首饰等发现一次扣0.5分，工作时抽烟、赤脚、穿拖鞋、背心的，发现一次扣0.5分，员工饮酒后上班或在上班期间饮酒，视情节一次扣1-2分，不服从采购方管理人员管理的，视情况一次扣1-2分等。有就餐人员投诉，经调查属实的一次扣1-2分，公司针对投诉意见必须24小时内写出书面情况提交管理部门，延误一天扣0.5分等。</w:t>
            </w:r>
          </w:p>
        </w:tc>
      </w:tr>
      <w:tr w14:paraId="19E75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continue"/>
            <w:noWrap w:val="0"/>
            <w:vAlign w:val="center"/>
          </w:tcPr>
          <w:p w14:paraId="5CFEA0C4">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819" w:type="dxa"/>
            <w:vMerge w:val="continue"/>
            <w:noWrap w:val="0"/>
            <w:vAlign w:val="center"/>
          </w:tcPr>
          <w:p w14:paraId="52F205FF">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1418" w:type="dxa"/>
            <w:noWrap w:val="0"/>
            <w:vAlign w:val="center"/>
          </w:tcPr>
          <w:p w14:paraId="593ACAA0">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菜品质量</w:t>
            </w:r>
          </w:p>
        </w:tc>
        <w:tc>
          <w:tcPr>
            <w:tcW w:w="6341" w:type="dxa"/>
            <w:noWrap w:val="0"/>
            <w:vAlign w:val="center"/>
          </w:tcPr>
          <w:p w14:paraId="09CB663D">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到开餐时间菜品未上齐，一次扣 1分（特殊情况除外）。用餐期间出现断档，3分钟未补齐，一个菜品一次扣0.5分。因工作失误未造成后果的，一次扣0.5分；造成后果的一次扣1分等。</w:t>
            </w:r>
          </w:p>
        </w:tc>
      </w:tr>
      <w:tr w14:paraId="67A8E3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continue"/>
            <w:noWrap w:val="0"/>
            <w:vAlign w:val="center"/>
          </w:tcPr>
          <w:p w14:paraId="4666F294">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819" w:type="dxa"/>
            <w:vMerge w:val="continue"/>
            <w:noWrap w:val="0"/>
            <w:vAlign w:val="center"/>
          </w:tcPr>
          <w:p w14:paraId="6537A27C">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1418" w:type="dxa"/>
            <w:noWrap w:val="0"/>
            <w:vAlign w:val="center"/>
          </w:tcPr>
          <w:p w14:paraId="03D471D8">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设施设备</w:t>
            </w:r>
          </w:p>
        </w:tc>
        <w:tc>
          <w:tcPr>
            <w:tcW w:w="6341" w:type="dxa"/>
            <w:noWrap w:val="0"/>
            <w:vAlign w:val="center"/>
          </w:tcPr>
          <w:p w14:paraId="052B1B69">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未定期对炊事机械进行保养、清洁的，一次扣0.5分。未按规定使用或违规操作设施设备的，一次扣0.5分，造成设施设备损坏的，一次扣2分，须修复或照价赔偿。仓库货架有积灰，物品摆放混乱发现一次扣1分。</w:t>
            </w:r>
          </w:p>
        </w:tc>
      </w:tr>
      <w:tr w14:paraId="757EAD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continue"/>
            <w:noWrap w:val="0"/>
            <w:vAlign w:val="center"/>
          </w:tcPr>
          <w:p w14:paraId="3778294F">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819" w:type="dxa"/>
            <w:vMerge w:val="continue"/>
            <w:noWrap w:val="0"/>
            <w:vAlign w:val="center"/>
          </w:tcPr>
          <w:p w14:paraId="46E47B11">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1418" w:type="dxa"/>
            <w:noWrap w:val="0"/>
            <w:vAlign w:val="center"/>
          </w:tcPr>
          <w:p w14:paraId="5C31436F">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用餐服务</w:t>
            </w:r>
          </w:p>
        </w:tc>
        <w:tc>
          <w:tcPr>
            <w:tcW w:w="6341" w:type="dxa"/>
            <w:noWrap w:val="0"/>
            <w:vAlign w:val="center"/>
          </w:tcPr>
          <w:p w14:paraId="178FB377">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盛食品容器、售饭工具未清洗干净，发现一次扣1分。监督就餐打卡、物资发放人员必须在岗履职，做好提醒和解释，凡甲方抽查发现未打卡（购票）进入餐厅的情形，一人次扣1分等。</w:t>
            </w:r>
          </w:p>
        </w:tc>
      </w:tr>
      <w:tr w14:paraId="65858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continue"/>
            <w:noWrap w:val="0"/>
            <w:vAlign w:val="center"/>
          </w:tcPr>
          <w:p w14:paraId="18D6F1DC">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819" w:type="dxa"/>
            <w:vMerge w:val="continue"/>
            <w:noWrap w:val="0"/>
            <w:vAlign w:val="center"/>
          </w:tcPr>
          <w:p w14:paraId="439F1288">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1418" w:type="dxa"/>
            <w:noWrap w:val="0"/>
            <w:vAlign w:val="center"/>
          </w:tcPr>
          <w:p w14:paraId="2388A1CB">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菜品更新</w:t>
            </w:r>
          </w:p>
        </w:tc>
        <w:tc>
          <w:tcPr>
            <w:tcW w:w="6341" w:type="dxa"/>
            <w:noWrap w:val="0"/>
            <w:vAlign w:val="center"/>
          </w:tcPr>
          <w:p w14:paraId="3A73222F">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不按时提交下周菜谱供采购人商议,一次扣0.5分；更换菜品不及时向采购人通报，擅自更换菜品的一次扣1分。工作人员应保持通讯畅通，违反一次扣1分。</w:t>
            </w:r>
          </w:p>
        </w:tc>
      </w:tr>
      <w:tr w14:paraId="706B87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continue"/>
            <w:noWrap w:val="0"/>
            <w:vAlign w:val="center"/>
          </w:tcPr>
          <w:p w14:paraId="0CAFF46C">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819" w:type="dxa"/>
            <w:vMerge w:val="continue"/>
            <w:noWrap w:val="0"/>
            <w:vAlign w:val="center"/>
          </w:tcPr>
          <w:p w14:paraId="73A626B3">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1418" w:type="dxa"/>
            <w:noWrap w:val="0"/>
            <w:vAlign w:val="center"/>
          </w:tcPr>
          <w:p w14:paraId="721CCB29">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公司履行监督管理职责</w:t>
            </w:r>
          </w:p>
        </w:tc>
        <w:tc>
          <w:tcPr>
            <w:tcW w:w="6341" w:type="dxa"/>
            <w:noWrap w:val="0"/>
            <w:vAlign w:val="center"/>
          </w:tcPr>
          <w:p w14:paraId="6D73825C">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公司对项目制定有考核规定并按月执行，未执行一次扣1分；公司项目组外管理人员或考核监管人员必须每月到项目现场了解运行情况，与甲方座谈交流保障情况，缺少一次扣1分。</w:t>
            </w:r>
          </w:p>
        </w:tc>
      </w:tr>
      <w:tr w14:paraId="4DB14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restart"/>
            <w:noWrap w:val="0"/>
            <w:vAlign w:val="center"/>
          </w:tcPr>
          <w:p w14:paraId="5B13CF60">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环境卫生</w:t>
            </w:r>
          </w:p>
        </w:tc>
        <w:tc>
          <w:tcPr>
            <w:tcW w:w="819" w:type="dxa"/>
            <w:vMerge w:val="restart"/>
            <w:noWrap w:val="0"/>
            <w:vAlign w:val="center"/>
          </w:tcPr>
          <w:p w14:paraId="40740386">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10分</w:t>
            </w:r>
          </w:p>
        </w:tc>
        <w:tc>
          <w:tcPr>
            <w:tcW w:w="1418" w:type="dxa"/>
            <w:noWrap w:val="0"/>
            <w:vAlign w:val="center"/>
          </w:tcPr>
          <w:p w14:paraId="6DFC37F0">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餐具管理</w:t>
            </w:r>
          </w:p>
        </w:tc>
        <w:tc>
          <w:tcPr>
            <w:tcW w:w="6341" w:type="dxa"/>
            <w:noWrap w:val="0"/>
            <w:vAlign w:val="center"/>
          </w:tcPr>
          <w:p w14:paraId="7495C10C">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菜品分装不规范，一次扣0.5分；餐厨用具清洁没有达到要求的，一次扣0.5分，未定期消毒一次扣1分，摆放不规范的，一次扣0.5分，故意损毁餐厨用具的扣1分并赔偿相应损失。</w:t>
            </w:r>
          </w:p>
        </w:tc>
      </w:tr>
      <w:tr w14:paraId="75F81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continue"/>
            <w:noWrap w:val="0"/>
            <w:vAlign w:val="center"/>
          </w:tcPr>
          <w:p w14:paraId="1D43CD0B">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819" w:type="dxa"/>
            <w:vMerge w:val="continue"/>
            <w:noWrap w:val="0"/>
            <w:vAlign w:val="center"/>
          </w:tcPr>
          <w:p w14:paraId="244ACB64">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1418" w:type="dxa"/>
            <w:noWrap w:val="0"/>
            <w:vAlign w:val="center"/>
          </w:tcPr>
          <w:p w14:paraId="195255D7">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环境清洁</w:t>
            </w:r>
          </w:p>
          <w:p w14:paraId="22A27D7F">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6341" w:type="dxa"/>
            <w:noWrap w:val="0"/>
            <w:vAlign w:val="center"/>
          </w:tcPr>
          <w:p w14:paraId="4B840262">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厨房卫生清理不及时、不卫生每次扣0.5分，厨房卫生每周未大扫除，一次扣1分，厨房周边环境卫生未达到要求的，一次扣0.5分；故意违反卫生要求的，视情况扣0.5-1分。</w:t>
            </w:r>
          </w:p>
          <w:p w14:paraId="41D881F1">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卫生间清洁未达标的一次扣0.5分。卫生间有明显异味的，一次扣0.5分，卫生用品未及时补充的，一次扣0.5分。</w:t>
            </w:r>
          </w:p>
          <w:p w14:paraId="5CC11631">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地面的防滑措施不到位,一次扣0.5分,造成人员摔倒的,一次扣1分并赔偿相应损失。地毯、桌椅等清洁不到位或摆放不整齐一次扣0.5分，地面污物不及时清洁发现一次扣0.5分等。</w:t>
            </w:r>
          </w:p>
          <w:p w14:paraId="05816D3E">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不及时进行有害生物灭除和记录等每次扣1分等。</w:t>
            </w:r>
          </w:p>
        </w:tc>
      </w:tr>
      <w:tr w14:paraId="2A078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restart"/>
            <w:noWrap w:val="0"/>
            <w:vAlign w:val="center"/>
          </w:tcPr>
          <w:p w14:paraId="01BB9499">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食品安全</w:t>
            </w:r>
          </w:p>
        </w:tc>
        <w:tc>
          <w:tcPr>
            <w:tcW w:w="819" w:type="dxa"/>
            <w:vMerge w:val="restart"/>
            <w:noWrap w:val="0"/>
            <w:vAlign w:val="center"/>
          </w:tcPr>
          <w:p w14:paraId="040F9D50">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20分</w:t>
            </w:r>
          </w:p>
        </w:tc>
        <w:tc>
          <w:tcPr>
            <w:tcW w:w="1418" w:type="dxa"/>
            <w:noWrap w:val="0"/>
            <w:vAlign w:val="center"/>
          </w:tcPr>
          <w:p w14:paraId="7E7446A8">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食材管理</w:t>
            </w:r>
          </w:p>
        </w:tc>
        <w:tc>
          <w:tcPr>
            <w:tcW w:w="6341" w:type="dxa"/>
            <w:noWrap w:val="0"/>
            <w:vAlign w:val="center"/>
          </w:tcPr>
          <w:p w14:paraId="5CBF3C9A">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厨房未及时下单或下单不齐、字迹不清、标注不明的，导致无法正常开餐的，视情况一次扣1-3分。因验收把关不严，有腐烂变质、异味的食材流入食堂，一次扣 0.5分，有过期食品流入的，一次扣0.5分。食材未分类存放、未贴标签、未做到先存先用等的，一次扣0.5分等。</w:t>
            </w:r>
          </w:p>
          <w:p w14:paraId="32247221">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不按照规定程序申购或领用物资、冒领冒用食材发现一次扣1分，因加工不当造成食材浪费一次扣1分并赔偿相应损失。生熟不分发现一次扣0.5分。食品添加剂没有专人专柜负责的，扣 2分，使用时没有相关记录或记录不全的,发现一次扣0.5分；非食材物品存放必须与食材分离，做到单独存放、有专人保管及领用，使用现场有专人监督等，未做到一次扣1分。</w:t>
            </w:r>
          </w:p>
        </w:tc>
      </w:tr>
      <w:tr w14:paraId="1F4BD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continue"/>
            <w:noWrap w:val="0"/>
            <w:vAlign w:val="center"/>
          </w:tcPr>
          <w:p w14:paraId="6F593947">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819" w:type="dxa"/>
            <w:vMerge w:val="continue"/>
            <w:noWrap w:val="0"/>
            <w:vAlign w:val="center"/>
          </w:tcPr>
          <w:p w14:paraId="7123D4E9">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1418" w:type="dxa"/>
            <w:noWrap w:val="0"/>
            <w:vAlign w:val="center"/>
          </w:tcPr>
          <w:p w14:paraId="695B08CC">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食品留样</w:t>
            </w:r>
          </w:p>
        </w:tc>
        <w:tc>
          <w:tcPr>
            <w:tcW w:w="6341" w:type="dxa"/>
            <w:noWrap w:val="0"/>
            <w:vAlign w:val="center"/>
          </w:tcPr>
          <w:p w14:paraId="69BCAFCD">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没有食品留样、留样品种不齐全、时间不够、没有进行记录的，一次扣0.5分等。</w:t>
            </w:r>
          </w:p>
        </w:tc>
      </w:tr>
      <w:tr w14:paraId="563A3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continue"/>
            <w:noWrap w:val="0"/>
            <w:vAlign w:val="center"/>
          </w:tcPr>
          <w:p w14:paraId="6BB65A7D">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819" w:type="dxa"/>
            <w:vMerge w:val="continue"/>
            <w:noWrap w:val="0"/>
            <w:vAlign w:val="center"/>
          </w:tcPr>
          <w:p w14:paraId="1F5B8FDF">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1418" w:type="dxa"/>
            <w:noWrap w:val="0"/>
            <w:vAlign w:val="center"/>
          </w:tcPr>
          <w:p w14:paraId="25C78992">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健康管理</w:t>
            </w:r>
          </w:p>
        </w:tc>
        <w:tc>
          <w:tcPr>
            <w:tcW w:w="6341" w:type="dxa"/>
            <w:noWrap w:val="0"/>
            <w:vAlign w:val="center"/>
          </w:tcPr>
          <w:p w14:paraId="55E11DC7">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员工无《健康证》的，一人次扣 2分；未组织员工体检，发现有碍食品安全病症的人员在工作岗位的，一次扣 3分；员工的个人卫生不符合要求的，一次扣0.5分。</w:t>
            </w:r>
          </w:p>
        </w:tc>
      </w:tr>
      <w:tr w14:paraId="35652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continue"/>
            <w:noWrap w:val="0"/>
            <w:vAlign w:val="center"/>
          </w:tcPr>
          <w:p w14:paraId="1E5081D6">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819" w:type="dxa"/>
            <w:vMerge w:val="continue"/>
            <w:noWrap w:val="0"/>
            <w:vAlign w:val="center"/>
          </w:tcPr>
          <w:p w14:paraId="290709F3">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1418" w:type="dxa"/>
            <w:noWrap w:val="0"/>
            <w:vAlign w:val="center"/>
          </w:tcPr>
          <w:p w14:paraId="0DEBA14F">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其它管理</w:t>
            </w:r>
          </w:p>
        </w:tc>
        <w:tc>
          <w:tcPr>
            <w:tcW w:w="6341" w:type="dxa"/>
            <w:noWrap w:val="0"/>
            <w:vAlign w:val="center"/>
          </w:tcPr>
          <w:p w14:paraId="736098C0">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菜品制作中未按规定程序的，一次扣1-3分等。</w:t>
            </w:r>
          </w:p>
          <w:p w14:paraId="47044055">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 xml:space="preserve">每月菜品中发现异物：1、第一次发现沙子类异物做警告提醒处理；第二次发现扣1分；第三次及三次以上发现异物的，一次扣1分并没收履约保障金200元。2、第一次发现虫子类异物做警告提醒处理；第二次发现异物扣2分；第三次及三次以上发现异物的，一次扣2分并没收履约保障金500元。           </w:t>
            </w:r>
          </w:p>
        </w:tc>
      </w:tr>
      <w:tr w14:paraId="37C64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restart"/>
            <w:noWrap w:val="0"/>
            <w:vAlign w:val="center"/>
          </w:tcPr>
          <w:p w14:paraId="429135C0">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成本管理</w:t>
            </w:r>
          </w:p>
        </w:tc>
        <w:tc>
          <w:tcPr>
            <w:tcW w:w="819" w:type="dxa"/>
            <w:vMerge w:val="restart"/>
            <w:noWrap w:val="0"/>
            <w:vAlign w:val="center"/>
          </w:tcPr>
          <w:p w14:paraId="46D7D156">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22分</w:t>
            </w:r>
          </w:p>
        </w:tc>
        <w:tc>
          <w:tcPr>
            <w:tcW w:w="1418" w:type="dxa"/>
            <w:noWrap w:val="0"/>
            <w:vAlign w:val="center"/>
          </w:tcPr>
          <w:p w14:paraId="6C3200E9">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能源管理</w:t>
            </w:r>
          </w:p>
        </w:tc>
        <w:tc>
          <w:tcPr>
            <w:tcW w:w="6341" w:type="dxa"/>
            <w:noWrap w:val="0"/>
            <w:vAlign w:val="center"/>
          </w:tcPr>
          <w:p w14:paraId="01029D57">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发现浪费水电气情况、不及时关水电气等现象，一次扣0.5分。</w:t>
            </w:r>
          </w:p>
        </w:tc>
      </w:tr>
      <w:tr w14:paraId="4C267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continue"/>
            <w:noWrap w:val="0"/>
            <w:vAlign w:val="center"/>
          </w:tcPr>
          <w:p w14:paraId="515E06B5">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819" w:type="dxa"/>
            <w:vMerge w:val="continue"/>
            <w:noWrap w:val="0"/>
            <w:vAlign w:val="center"/>
          </w:tcPr>
          <w:p w14:paraId="6D187F87">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1418" w:type="dxa"/>
            <w:noWrap w:val="0"/>
            <w:vAlign w:val="center"/>
          </w:tcPr>
          <w:p w14:paraId="317D1601">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节约管理</w:t>
            </w:r>
          </w:p>
        </w:tc>
        <w:tc>
          <w:tcPr>
            <w:tcW w:w="6341" w:type="dxa"/>
            <w:noWrap w:val="0"/>
            <w:vAlign w:val="center"/>
          </w:tcPr>
          <w:p w14:paraId="6A29A460">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按需领用物资，服从库管要求，违反一次扣0.5分。发现浪费食材现象一次扣 0.5-2分，造成损失的照价赔偿等。</w:t>
            </w:r>
          </w:p>
        </w:tc>
      </w:tr>
      <w:tr w14:paraId="6A5E6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continue"/>
            <w:noWrap w:val="0"/>
            <w:vAlign w:val="center"/>
          </w:tcPr>
          <w:p w14:paraId="26B297E9">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819" w:type="dxa"/>
            <w:vMerge w:val="continue"/>
            <w:noWrap w:val="0"/>
            <w:vAlign w:val="center"/>
          </w:tcPr>
          <w:p w14:paraId="3D688388">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1418" w:type="dxa"/>
            <w:noWrap w:val="0"/>
            <w:vAlign w:val="center"/>
          </w:tcPr>
          <w:p w14:paraId="1D2C2F67">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库存管理</w:t>
            </w:r>
          </w:p>
        </w:tc>
        <w:tc>
          <w:tcPr>
            <w:tcW w:w="6341" w:type="dxa"/>
            <w:noWrap w:val="0"/>
            <w:vAlign w:val="center"/>
          </w:tcPr>
          <w:p w14:paraId="0799045D">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发现库存物资过期或腐烂变质不能使用的，一次扣1分并赔偿等。</w:t>
            </w:r>
          </w:p>
        </w:tc>
      </w:tr>
      <w:tr w14:paraId="0CC63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continue"/>
            <w:noWrap w:val="0"/>
            <w:vAlign w:val="center"/>
          </w:tcPr>
          <w:p w14:paraId="67290D76">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819" w:type="dxa"/>
            <w:vMerge w:val="continue"/>
            <w:noWrap w:val="0"/>
            <w:vAlign w:val="center"/>
          </w:tcPr>
          <w:p w14:paraId="20EA7384">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1418" w:type="dxa"/>
            <w:noWrap w:val="0"/>
            <w:vAlign w:val="center"/>
          </w:tcPr>
          <w:p w14:paraId="30FEB86C">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计划管理</w:t>
            </w:r>
          </w:p>
        </w:tc>
        <w:tc>
          <w:tcPr>
            <w:tcW w:w="6341" w:type="dxa"/>
            <w:noWrap w:val="0"/>
            <w:vAlign w:val="center"/>
          </w:tcPr>
          <w:p w14:paraId="42A32E3A">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没有根据用餐人数合理出餐，造成菜品浪费的，一次扣1分并赔偿等。</w:t>
            </w:r>
          </w:p>
        </w:tc>
      </w:tr>
      <w:tr w14:paraId="116DB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19" w:type="dxa"/>
            <w:vMerge w:val="continue"/>
            <w:noWrap w:val="0"/>
            <w:vAlign w:val="center"/>
          </w:tcPr>
          <w:p w14:paraId="077B7C48">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819" w:type="dxa"/>
            <w:vMerge w:val="continue"/>
            <w:noWrap w:val="0"/>
            <w:vAlign w:val="center"/>
          </w:tcPr>
          <w:p w14:paraId="7E4225C7">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p>
        </w:tc>
        <w:tc>
          <w:tcPr>
            <w:tcW w:w="1418" w:type="dxa"/>
            <w:noWrap w:val="0"/>
            <w:vAlign w:val="center"/>
          </w:tcPr>
          <w:p w14:paraId="6F883664">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其它管理事项</w:t>
            </w:r>
          </w:p>
        </w:tc>
        <w:tc>
          <w:tcPr>
            <w:tcW w:w="6341" w:type="dxa"/>
            <w:noWrap w:val="0"/>
            <w:vAlign w:val="center"/>
          </w:tcPr>
          <w:p w14:paraId="17194202">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员工偷吃偷拿,发现一次扣3分，发生食材被盗扣3分等。员工偷带偷拿东西出食堂的，发现一次扣5分，开除当事员工，并没收履约保证金2000元/人次并赔偿相应损失等。</w:t>
            </w:r>
          </w:p>
        </w:tc>
      </w:tr>
      <w:tr w14:paraId="5B1D5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1638" w:type="dxa"/>
            <w:gridSpan w:val="2"/>
            <w:noWrap w:val="0"/>
            <w:vAlign w:val="center"/>
          </w:tcPr>
          <w:p w14:paraId="7A5CBA6F">
            <w:pPr>
              <w:pStyle w:val="7"/>
              <w:pageBreakBefore w:val="0"/>
              <w:widowControl w:val="0"/>
              <w:kinsoku/>
              <w:wordWrap/>
              <w:overflowPunct/>
              <w:topLinePunct w:val="0"/>
              <w:autoSpaceDE/>
              <w:autoSpaceDN/>
              <w:bidi w:val="0"/>
              <w:spacing w:line="240" w:lineRule="auto"/>
              <w:ind w:firstLine="0"/>
              <w:jc w:val="center"/>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加分</w:t>
            </w:r>
          </w:p>
        </w:tc>
        <w:tc>
          <w:tcPr>
            <w:tcW w:w="7759" w:type="dxa"/>
            <w:gridSpan w:val="2"/>
            <w:noWrap w:val="0"/>
            <w:vAlign w:val="center"/>
          </w:tcPr>
          <w:p w14:paraId="2710A6A5">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1、拾金不昧1次加1分、失物价值5000元以上的每次加3分；</w:t>
            </w:r>
          </w:p>
          <w:p w14:paraId="76F7B348">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2、成功应急处置停水停气等突发情况、保证用餐的，每次加1分；</w:t>
            </w:r>
          </w:p>
          <w:p w14:paraId="4DE78B4E">
            <w:pPr>
              <w:pStyle w:val="7"/>
              <w:pageBreakBefore w:val="0"/>
              <w:widowControl w:val="0"/>
              <w:kinsoku/>
              <w:wordWrap/>
              <w:overflowPunct/>
              <w:topLinePunct w:val="0"/>
              <w:autoSpaceDE/>
              <w:autoSpaceDN/>
              <w:bidi w:val="0"/>
              <w:spacing w:line="240" w:lineRule="auto"/>
              <w:ind w:firstLine="0"/>
              <w:jc w:val="left"/>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3、每季度食堂问卷调查满意率95%以上，加2分、满意率97%以上，加3分、满意率100%的，加5分。</w:t>
            </w:r>
          </w:p>
        </w:tc>
      </w:tr>
    </w:tbl>
    <w:p w14:paraId="7B28435A">
      <w:pPr>
        <w:numPr>
          <w:ilvl w:val="0"/>
          <w:numId w:val="0"/>
        </w:numPr>
        <w:rPr>
          <w:rFonts w:hint="eastAsia"/>
          <w:color w:val="auto"/>
          <w:highlight w:val="yellow"/>
          <w:lang w:val="en-US" w:eastAsia="zh-CN"/>
        </w:rPr>
      </w:pPr>
    </w:p>
    <w:p w14:paraId="7F7CE714">
      <w:pPr>
        <w:pStyle w:val="6"/>
        <w:numPr>
          <w:ilvl w:val="0"/>
          <w:numId w:val="1"/>
        </w:numPr>
        <w:spacing w:before="0" w:after="0" w:line="360" w:lineRule="auto"/>
        <w:ind w:left="0" w:leftChars="0" w:firstLine="0" w:firstLineChars="0"/>
        <w:rPr>
          <w:rFonts w:hint="eastAsia" w:ascii="仿宋" w:hAnsi="仿宋" w:eastAsia="仿宋" w:cs="仿宋"/>
          <w:b/>
          <w:color w:val="auto"/>
          <w:sz w:val="24"/>
          <w:szCs w:val="24"/>
          <w:lang w:val="en-US" w:eastAsia="zh-CN"/>
        </w:rPr>
      </w:pPr>
      <w:r>
        <w:rPr>
          <w:rFonts w:hint="eastAsia" w:ascii="仿宋" w:hAnsi="仿宋" w:eastAsia="仿宋" w:cs="仿宋"/>
          <w:b/>
          <w:color w:val="auto"/>
          <w:sz w:val="24"/>
          <w:szCs w:val="24"/>
          <w:lang w:val="en-US" w:eastAsia="zh-CN"/>
        </w:rPr>
        <w:t>退出机制</w:t>
      </w:r>
    </w:p>
    <w:p w14:paraId="0178C51B">
      <w:pPr>
        <w:snapToGrid w:val="0"/>
        <w:spacing w:line="360" w:lineRule="auto"/>
        <w:ind w:firstLine="440" w:firstLineChars="200"/>
        <w:outlineLvl w:val="0"/>
        <w:rPr>
          <w:rFonts w:hint="eastAsia" w:ascii="仿宋" w:hAnsi="仿宋" w:eastAsia="仿宋" w:cs="仿宋"/>
          <w:b w:val="0"/>
          <w:color w:val="auto"/>
          <w:kern w:val="2"/>
          <w:sz w:val="22"/>
          <w:szCs w:val="22"/>
          <w:highlight w:val="none"/>
          <w:lang w:val="en-US" w:eastAsia="zh-CN" w:bidi="ar-SA"/>
        </w:rPr>
      </w:pPr>
      <w:r>
        <w:rPr>
          <w:rFonts w:hint="eastAsia" w:ascii="仿宋" w:hAnsi="仿宋" w:eastAsia="仿宋" w:cs="仿宋"/>
          <w:b w:val="0"/>
          <w:color w:val="auto"/>
          <w:kern w:val="2"/>
          <w:sz w:val="22"/>
          <w:szCs w:val="22"/>
          <w:highlight w:val="none"/>
          <w:lang w:val="en-US" w:eastAsia="zh-CN" w:bidi="ar-SA"/>
        </w:rPr>
        <w:t>中标人在履行协议期间出现下列行为之一，采购人有权单方面无条件终止合同，并没收全部履约保证金及纳入黑名单：</w:t>
      </w:r>
    </w:p>
    <w:p w14:paraId="7CDC0290">
      <w:pPr>
        <w:snapToGrid w:val="0"/>
        <w:spacing w:line="360" w:lineRule="auto"/>
        <w:ind w:firstLine="440" w:firstLineChars="200"/>
        <w:rPr>
          <w:rFonts w:hint="eastAsia" w:ascii="仿宋" w:hAnsi="仿宋" w:eastAsia="仿宋" w:cs="仿宋"/>
          <w:color w:val="auto"/>
          <w:sz w:val="24"/>
          <w:szCs w:val="24"/>
          <w:lang w:val="en-US" w:eastAsia="zh-CN"/>
        </w:rPr>
      </w:pPr>
      <w:bookmarkStart w:id="70" w:name="_Toc9399"/>
      <w:r>
        <w:rPr>
          <w:rFonts w:hint="eastAsia" w:ascii="仿宋" w:hAnsi="仿宋" w:eastAsia="仿宋" w:cs="仿宋"/>
          <w:b w:val="0"/>
          <w:color w:val="auto"/>
          <w:kern w:val="2"/>
          <w:sz w:val="22"/>
          <w:szCs w:val="22"/>
          <w:highlight w:val="none"/>
          <w:lang w:val="en-US" w:eastAsia="zh-CN" w:bidi="ar-SA"/>
        </w:rPr>
        <w:t>1、因中标人拟派人员导致严重食品安全事故的，采购人保留对供应商追究法律责任的权利。</w:t>
      </w:r>
    </w:p>
    <w:p w14:paraId="7BB37844">
      <w:pPr>
        <w:snapToGrid w:val="0"/>
        <w:spacing w:line="360" w:lineRule="auto"/>
        <w:ind w:firstLine="480" w:firstLineChars="200"/>
        <w:outlineLvl w:val="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2、存在转包分包行为，造成重大负面舆情</w:t>
      </w:r>
      <w:r>
        <w:rPr>
          <w:rFonts w:hint="eastAsia" w:ascii="仿宋" w:hAnsi="仿宋" w:eastAsia="仿宋" w:cs="仿宋"/>
          <w:b w:val="0"/>
          <w:color w:val="auto"/>
          <w:kern w:val="2"/>
          <w:sz w:val="22"/>
          <w:szCs w:val="22"/>
          <w:highlight w:val="none"/>
          <w:lang w:val="en-US" w:eastAsia="zh-CN" w:bidi="ar-SA"/>
        </w:rPr>
        <w:t>的。</w:t>
      </w:r>
    </w:p>
    <w:p w14:paraId="3D63D37B">
      <w:pPr>
        <w:snapToGrid w:val="0"/>
        <w:spacing w:line="360" w:lineRule="auto"/>
        <w:ind w:firstLine="480" w:firstLineChars="200"/>
        <w:outlineLvl w:val="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3、满意度持续低于标准，多次违规未整改，服务质量不达标，资源浪费严重的。</w:t>
      </w:r>
    </w:p>
    <w:p w14:paraId="05667F0F">
      <w:pPr>
        <w:snapToGrid w:val="0"/>
        <w:spacing w:line="360" w:lineRule="auto"/>
        <w:ind w:firstLine="480" w:firstLineChars="200"/>
        <w:outlineLvl w:val="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4、伪造签收手续等资料的。</w:t>
      </w:r>
    </w:p>
    <w:p w14:paraId="05057AF8">
      <w:pPr>
        <w:snapToGrid w:val="0"/>
        <w:spacing w:line="360" w:lineRule="auto"/>
        <w:ind w:firstLine="480" w:firstLineChars="200"/>
        <w:outlineLvl w:val="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5、因中标人导致的其他安全事故，对采购人造成损失的，由供应商承担一切责任，并赔偿所造成的损失。</w:t>
      </w:r>
    </w:p>
    <w:p w14:paraId="6D309F95">
      <w:pPr>
        <w:snapToGrid w:val="0"/>
        <w:spacing w:line="360" w:lineRule="auto"/>
        <w:ind w:firstLine="480" w:firstLineChars="200"/>
        <w:outlineLvl w:val="0"/>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6、其他未满足采购人要求及相关法律法规的。</w:t>
      </w:r>
    </w:p>
    <w:p w14:paraId="0092D850">
      <w:pPr>
        <w:pStyle w:val="6"/>
        <w:spacing w:before="0" w:after="0" w:line="360" w:lineRule="auto"/>
        <w:rPr>
          <w:rFonts w:hint="eastAsia" w:ascii="仿宋" w:hAnsi="仿宋" w:eastAsia="仿宋" w:cs="仿宋"/>
          <w:b/>
          <w:color w:val="auto"/>
          <w:sz w:val="24"/>
          <w:szCs w:val="24"/>
          <w:lang w:val="en-US" w:eastAsia="zh-CN"/>
        </w:rPr>
      </w:pPr>
      <w:r>
        <w:rPr>
          <w:rFonts w:hint="eastAsia" w:ascii="仿宋" w:hAnsi="仿宋" w:eastAsia="仿宋" w:cs="仿宋"/>
          <w:b/>
          <w:color w:val="auto"/>
          <w:sz w:val="24"/>
          <w:szCs w:val="24"/>
          <w:lang w:val="en-US" w:eastAsia="zh-CN"/>
        </w:rPr>
        <w:t>六、</w:t>
      </w:r>
      <w:bookmarkEnd w:id="68"/>
      <w:bookmarkStart w:id="71" w:name="_Toc344475125"/>
      <w:r>
        <w:rPr>
          <w:rFonts w:hint="eastAsia" w:ascii="仿宋" w:hAnsi="仿宋" w:eastAsia="仿宋" w:cs="仿宋"/>
          <w:b/>
          <w:color w:val="auto"/>
          <w:sz w:val="24"/>
          <w:szCs w:val="24"/>
          <w:lang w:val="en-US" w:eastAsia="zh-CN"/>
        </w:rPr>
        <w:t>其他</w:t>
      </w:r>
      <w:bookmarkEnd w:id="70"/>
    </w:p>
    <w:bookmarkEnd w:id="71"/>
    <w:p w14:paraId="2162A5DE">
      <w:pPr>
        <w:snapToGrid w:val="0"/>
        <w:spacing w:line="360" w:lineRule="auto"/>
        <w:ind w:firstLine="480" w:firstLineChars="200"/>
        <w:outlineLvl w:val="0"/>
        <w:rPr>
          <w:rFonts w:hint="eastAsia" w:ascii="仿宋" w:hAnsi="仿宋" w:eastAsia="仿宋" w:cs="仿宋"/>
          <w:color w:val="auto"/>
          <w:sz w:val="24"/>
          <w:szCs w:val="24"/>
        </w:rPr>
      </w:pPr>
      <w:r>
        <w:rPr>
          <w:rFonts w:hint="eastAsia" w:ascii="仿宋" w:hAnsi="仿宋" w:eastAsia="仿宋" w:cs="仿宋"/>
          <w:color w:val="auto"/>
          <w:sz w:val="24"/>
          <w:szCs w:val="24"/>
        </w:rPr>
        <w:t>（一）供应商必须在响应文件中对以上条款和服务承诺明确列出，承诺内容必须达到本篇及</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其他条款的要求。</w:t>
      </w:r>
    </w:p>
    <w:p w14:paraId="6873FCCC">
      <w:pPr>
        <w:snapToGrid w:val="0"/>
        <w:spacing w:line="360" w:lineRule="auto"/>
        <w:ind w:firstLine="480" w:firstLineChars="200"/>
        <w:outlineLvl w:val="0"/>
        <w:rPr>
          <w:rFonts w:hint="eastAsia" w:ascii="仿宋" w:hAnsi="仿宋" w:eastAsia="仿宋" w:cs="仿宋"/>
          <w:color w:val="auto"/>
          <w:sz w:val="24"/>
          <w:szCs w:val="24"/>
        </w:rPr>
      </w:pPr>
      <w:r>
        <w:rPr>
          <w:rFonts w:hint="eastAsia" w:ascii="仿宋" w:hAnsi="仿宋" w:eastAsia="仿宋" w:cs="仿宋"/>
          <w:color w:val="auto"/>
          <w:sz w:val="24"/>
          <w:szCs w:val="24"/>
        </w:rPr>
        <w:t>（二）其他未尽事宜由供需双方在采购合同中详细约定。</w:t>
      </w:r>
    </w:p>
    <w:p w14:paraId="3DB1C8AB">
      <w:pPr>
        <w:pStyle w:val="3"/>
        <w:spacing w:line="360" w:lineRule="auto"/>
        <w:rPr>
          <w:rFonts w:hint="eastAsia" w:ascii="仿宋" w:hAnsi="仿宋" w:eastAsia="仿宋" w:cs="仿宋"/>
          <w:color w:val="auto"/>
        </w:rPr>
      </w:pPr>
    </w:p>
    <w:p w14:paraId="788C46EC">
      <w:pPr>
        <w:pStyle w:val="5"/>
        <w:pageBreakBefore/>
        <w:spacing w:before="0" w:after="0" w:line="360" w:lineRule="auto"/>
        <w:jc w:val="center"/>
        <w:rPr>
          <w:rFonts w:hint="eastAsia" w:ascii="仿宋" w:hAnsi="仿宋" w:eastAsia="仿宋" w:cs="仿宋"/>
          <w:b w:val="0"/>
          <w:color w:val="auto"/>
          <w:sz w:val="36"/>
          <w:szCs w:val="30"/>
        </w:rPr>
      </w:pPr>
      <w:bookmarkStart w:id="72" w:name="_Toc4343"/>
      <w:bookmarkStart w:id="73" w:name="_Toc76462332"/>
      <w:bookmarkStart w:id="74" w:name="_Toc115126148"/>
      <w:bookmarkStart w:id="75" w:name="_Toc102227320"/>
      <w:bookmarkStart w:id="76" w:name="_Toc342913394"/>
      <w:r>
        <w:rPr>
          <w:rFonts w:hint="eastAsia" w:ascii="仿宋" w:hAnsi="仿宋" w:eastAsia="仿宋" w:cs="仿宋"/>
          <w:b w:val="0"/>
          <w:color w:val="auto"/>
          <w:sz w:val="36"/>
          <w:szCs w:val="30"/>
        </w:rPr>
        <w:t xml:space="preserve">第四篇  </w:t>
      </w:r>
      <w:r>
        <w:rPr>
          <w:rFonts w:hint="eastAsia" w:ascii="仿宋" w:hAnsi="仿宋" w:eastAsia="仿宋" w:cs="仿宋"/>
          <w:b w:val="0"/>
          <w:color w:val="auto"/>
          <w:sz w:val="36"/>
          <w:szCs w:val="30"/>
          <w:lang w:eastAsia="zh-CN"/>
        </w:rPr>
        <w:t>评审</w:t>
      </w:r>
      <w:r>
        <w:rPr>
          <w:rFonts w:hint="eastAsia" w:ascii="仿宋" w:hAnsi="仿宋" w:eastAsia="仿宋" w:cs="仿宋"/>
          <w:b w:val="0"/>
          <w:color w:val="auto"/>
          <w:sz w:val="36"/>
          <w:szCs w:val="30"/>
        </w:rPr>
        <w:t>程序及方法、评审标准、无效响应和</w:t>
      </w:r>
      <w:r>
        <w:rPr>
          <w:rFonts w:hint="eastAsia" w:ascii="仿宋" w:hAnsi="仿宋" w:eastAsia="仿宋" w:cs="仿宋"/>
          <w:b w:val="0"/>
          <w:color w:val="auto"/>
          <w:sz w:val="36"/>
          <w:szCs w:val="36"/>
        </w:rPr>
        <w:t>采购终止</w:t>
      </w:r>
      <w:bookmarkEnd w:id="72"/>
      <w:bookmarkEnd w:id="73"/>
      <w:bookmarkEnd w:id="74"/>
    </w:p>
    <w:p w14:paraId="7A8BDD8F">
      <w:pPr>
        <w:pStyle w:val="5"/>
        <w:adjustRightInd w:val="0"/>
        <w:snapToGrid w:val="0"/>
        <w:spacing w:before="0" w:after="0" w:line="360" w:lineRule="auto"/>
        <w:ind w:firstLine="482" w:firstLineChars="200"/>
        <w:rPr>
          <w:rFonts w:hint="eastAsia" w:ascii="仿宋" w:hAnsi="仿宋" w:eastAsia="仿宋" w:cs="仿宋"/>
          <w:color w:val="auto"/>
          <w:sz w:val="24"/>
        </w:rPr>
      </w:pPr>
      <w:bookmarkStart w:id="77" w:name="_Toc76462333"/>
      <w:bookmarkStart w:id="78" w:name="_Toc16156"/>
      <w:bookmarkStart w:id="79" w:name="_Toc115126149"/>
      <w:r>
        <w:rPr>
          <w:rFonts w:hint="eastAsia" w:ascii="仿宋" w:hAnsi="仿宋" w:eastAsia="仿宋" w:cs="仿宋"/>
          <w:color w:val="auto"/>
          <w:sz w:val="24"/>
        </w:rPr>
        <w:t>一、</w:t>
      </w:r>
      <w:r>
        <w:rPr>
          <w:rFonts w:hint="eastAsia" w:ascii="仿宋" w:hAnsi="仿宋" w:eastAsia="仿宋" w:cs="仿宋"/>
          <w:color w:val="auto"/>
          <w:sz w:val="24"/>
          <w:lang w:eastAsia="zh-CN"/>
        </w:rPr>
        <w:t>评审</w:t>
      </w:r>
      <w:r>
        <w:rPr>
          <w:rFonts w:hint="eastAsia" w:ascii="仿宋" w:hAnsi="仿宋" w:eastAsia="仿宋" w:cs="仿宋"/>
          <w:color w:val="auto"/>
          <w:sz w:val="24"/>
        </w:rPr>
        <w:t>程序及方法</w:t>
      </w:r>
      <w:bookmarkEnd w:id="77"/>
      <w:bookmarkEnd w:id="78"/>
      <w:bookmarkEnd w:id="79"/>
    </w:p>
    <w:p w14:paraId="1342628A">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w:t>
      </w:r>
      <w:r>
        <w:rPr>
          <w:rFonts w:hint="eastAsia" w:ascii="仿宋" w:hAnsi="仿宋" w:eastAsia="仿宋" w:cs="仿宋"/>
          <w:color w:val="auto"/>
          <w:sz w:val="24"/>
          <w:szCs w:val="24"/>
          <w:lang w:eastAsia="zh-CN"/>
        </w:rPr>
        <w:t>按询比文件</w:t>
      </w:r>
      <w:r>
        <w:rPr>
          <w:rFonts w:hint="eastAsia" w:ascii="仿宋" w:hAnsi="仿宋" w:eastAsia="仿宋" w:cs="仿宋"/>
          <w:color w:val="auto"/>
          <w:sz w:val="24"/>
          <w:szCs w:val="24"/>
        </w:rPr>
        <w:t>规定的时间和地点进行，供应商须有法定代表人（或其授权代表）或自然人参加并签到。</w:t>
      </w:r>
    </w:p>
    <w:p w14:paraId="730AC31E">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对各供应商的资格条件、响应文件的有效性、完整性和响应程度进行审查。各供应商只有在完全符合要求的前提下，</w:t>
      </w:r>
      <w:r>
        <w:rPr>
          <w:rFonts w:hint="eastAsia" w:ascii="仿宋" w:hAnsi="仿宋" w:eastAsia="仿宋" w:cs="仿宋"/>
          <w:color w:val="auto"/>
          <w:sz w:val="24"/>
          <w:szCs w:val="24"/>
          <w:lang w:val="en-US" w:eastAsia="zh-CN"/>
        </w:rPr>
        <w:t>才能进入评审环节。</w:t>
      </w:r>
    </w:p>
    <w:p w14:paraId="1BFF0A6B">
      <w:pPr>
        <w:snapToGrid w:val="0"/>
        <w:spacing w:line="360" w:lineRule="auto"/>
        <w:ind w:firstLine="480" w:firstLineChars="200"/>
        <w:rPr>
          <w:rFonts w:hint="eastAsia" w:ascii="仿宋" w:hAnsi="仿宋" w:eastAsia="仿宋" w:cs="仿宋"/>
          <w:color w:val="auto"/>
          <w:kern w:val="0"/>
          <w:sz w:val="24"/>
          <w:szCs w:val="24"/>
        </w:rPr>
      </w:pPr>
      <w:r>
        <w:rPr>
          <w:rFonts w:hint="eastAsia" w:ascii="仿宋" w:hAnsi="仿宋" w:eastAsia="仿宋" w:cs="仿宋"/>
          <w:color w:val="auto"/>
          <w:sz w:val="24"/>
          <w:szCs w:val="24"/>
        </w:rPr>
        <w:t>1.</w:t>
      </w:r>
      <w:r>
        <w:rPr>
          <w:rFonts w:hint="eastAsia" w:ascii="仿宋" w:hAnsi="仿宋" w:eastAsia="仿宋" w:cs="仿宋"/>
          <w:color w:val="auto"/>
          <w:kern w:val="0"/>
          <w:sz w:val="24"/>
          <w:szCs w:val="24"/>
        </w:rPr>
        <w:t>资格性审查。依据法律法规和</w:t>
      </w:r>
      <w:r>
        <w:rPr>
          <w:rFonts w:hint="eastAsia" w:ascii="仿宋" w:hAnsi="仿宋" w:eastAsia="仿宋" w:cs="仿宋"/>
          <w:color w:val="auto"/>
          <w:kern w:val="0"/>
          <w:sz w:val="24"/>
          <w:szCs w:val="24"/>
          <w:lang w:eastAsia="zh-CN"/>
        </w:rPr>
        <w:t>询比文件</w:t>
      </w:r>
      <w:r>
        <w:rPr>
          <w:rFonts w:hint="eastAsia" w:ascii="仿宋" w:hAnsi="仿宋" w:eastAsia="仿宋" w:cs="仿宋"/>
          <w:color w:val="auto"/>
          <w:kern w:val="0"/>
          <w:sz w:val="24"/>
          <w:szCs w:val="24"/>
        </w:rPr>
        <w:t>的规定，对响应文件中的资格证明、等进行审查。资格性审查资料表如下：</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709"/>
        <w:gridCol w:w="3118"/>
        <w:gridCol w:w="4984"/>
      </w:tblGrid>
      <w:tr w14:paraId="2DD8D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0"/>
            <w:vAlign w:val="center"/>
          </w:tcPr>
          <w:p w14:paraId="2874D74A">
            <w:pPr>
              <w:spacing w:line="240" w:lineRule="auto"/>
              <w:jc w:val="center"/>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序号</w:t>
            </w:r>
          </w:p>
        </w:tc>
        <w:tc>
          <w:tcPr>
            <w:tcW w:w="3827" w:type="dxa"/>
            <w:gridSpan w:val="2"/>
            <w:tcBorders>
              <w:top w:val="single" w:color="auto" w:sz="4" w:space="0"/>
              <w:left w:val="single" w:color="auto" w:sz="4" w:space="0"/>
              <w:bottom w:val="single" w:color="auto" w:sz="4" w:space="0"/>
              <w:right w:val="single" w:color="auto" w:sz="4" w:space="0"/>
            </w:tcBorders>
            <w:noWrap w:val="0"/>
            <w:vAlign w:val="center"/>
          </w:tcPr>
          <w:p w14:paraId="1846646E">
            <w:pPr>
              <w:spacing w:line="240" w:lineRule="auto"/>
              <w:jc w:val="center"/>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检查因素</w:t>
            </w:r>
          </w:p>
        </w:tc>
        <w:tc>
          <w:tcPr>
            <w:tcW w:w="4984" w:type="dxa"/>
            <w:tcBorders>
              <w:top w:val="single" w:color="auto" w:sz="4" w:space="0"/>
              <w:left w:val="single" w:color="auto" w:sz="4" w:space="0"/>
              <w:bottom w:val="single" w:color="auto" w:sz="4" w:space="0"/>
              <w:right w:val="single" w:color="auto" w:sz="4" w:space="0"/>
            </w:tcBorders>
            <w:noWrap w:val="0"/>
            <w:vAlign w:val="center"/>
          </w:tcPr>
          <w:p w14:paraId="1A49F5D4">
            <w:pPr>
              <w:spacing w:line="240" w:lineRule="auto"/>
              <w:jc w:val="center"/>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检查内容</w:t>
            </w:r>
          </w:p>
        </w:tc>
      </w:tr>
      <w:tr w14:paraId="3868A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restart"/>
            <w:noWrap w:val="0"/>
            <w:vAlign w:val="center"/>
          </w:tcPr>
          <w:p w14:paraId="24DA0210">
            <w:pPr>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（一）</w:t>
            </w:r>
          </w:p>
        </w:tc>
        <w:tc>
          <w:tcPr>
            <w:tcW w:w="709" w:type="dxa"/>
            <w:vMerge w:val="restart"/>
            <w:noWrap w:val="0"/>
            <w:vAlign w:val="center"/>
          </w:tcPr>
          <w:p w14:paraId="1414904D">
            <w:pPr>
              <w:spacing w:line="240" w:lineRule="auto"/>
              <w:rPr>
                <w:rFonts w:hint="eastAsia" w:ascii="仿宋" w:hAnsi="仿宋" w:eastAsia="仿宋" w:cs="仿宋"/>
                <w:color w:val="auto"/>
                <w:sz w:val="21"/>
                <w:szCs w:val="21"/>
                <w:lang w:val="zh-CN"/>
              </w:rPr>
            </w:pPr>
            <w:r>
              <w:rPr>
                <w:rFonts w:hint="eastAsia" w:ascii="仿宋" w:hAnsi="仿宋" w:eastAsia="仿宋" w:cs="仿宋"/>
                <w:color w:val="auto"/>
                <w:sz w:val="21"/>
                <w:szCs w:val="21"/>
                <w:lang w:val="zh-CN"/>
              </w:rPr>
              <w:t>《中华人民共和国政府采购法》第二十二条规定</w:t>
            </w:r>
          </w:p>
        </w:tc>
        <w:tc>
          <w:tcPr>
            <w:tcW w:w="3118" w:type="dxa"/>
            <w:noWrap w:val="0"/>
            <w:vAlign w:val="center"/>
          </w:tcPr>
          <w:p w14:paraId="3D5B5FE6">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1.具有独立承担民事责任的能力</w:t>
            </w:r>
          </w:p>
        </w:tc>
        <w:tc>
          <w:tcPr>
            <w:tcW w:w="4984" w:type="dxa"/>
            <w:noWrap w:val="0"/>
            <w:vAlign w:val="center"/>
          </w:tcPr>
          <w:p w14:paraId="20FD10D9">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 xml:space="preserve">1. 供应商法人营业执照（副本）或事业单位法人证书（副本）或个体工商户营业执照或有效的自然人身份证明复印件； </w:t>
            </w:r>
          </w:p>
          <w:p w14:paraId="43308071">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2.供应商法定代表人身份证明和法定代表人授权代表委托书。</w:t>
            </w:r>
          </w:p>
        </w:tc>
      </w:tr>
      <w:tr w14:paraId="70722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15A2AA1F">
            <w:pPr>
              <w:spacing w:line="240" w:lineRule="auto"/>
              <w:jc w:val="center"/>
              <w:rPr>
                <w:rFonts w:hint="eastAsia" w:ascii="仿宋" w:hAnsi="仿宋" w:eastAsia="仿宋" w:cs="仿宋"/>
                <w:color w:val="auto"/>
                <w:sz w:val="21"/>
                <w:szCs w:val="21"/>
              </w:rPr>
            </w:pPr>
          </w:p>
        </w:tc>
        <w:tc>
          <w:tcPr>
            <w:tcW w:w="709" w:type="dxa"/>
            <w:vMerge w:val="continue"/>
            <w:noWrap w:val="0"/>
            <w:vAlign w:val="center"/>
          </w:tcPr>
          <w:p w14:paraId="32324202">
            <w:pPr>
              <w:spacing w:line="240" w:lineRule="auto"/>
              <w:rPr>
                <w:rFonts w:hint="eastAsia" w:ascii="仿宋" w:hAnsi="仿宋" w:eastAsia="仿宋" w:cs="仿宋"/>
                <w:color w:val="auto"/>
                <w:sz w:val="21"/>
                <w:szCs w:val="21"/>
                <w:lang w:val="zh-CN"/>
              </w:rPr>
            </w:pPr>
          </w:p>
        </w:tc>
        <w:tc>
          <w:tcPr>
            <w:tcW w:w="3118" w:type="dxa"/>
            <w:noWrap w:val="0"/>
            <w:vAlign w:val="center"/>
          </w:tcPr>
          <w:p w14:paraId="6D37555C">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lang w:val="zh-CN"/>
              </w:rPr>
              <w:t>2.</w:t>
            </w:r>
            <w:r>
              <w:rPr>
                <w:rFonts w:hint="eastAsia" w:ascii="仿宋" w:hAnsi="仿宋" w:eastAsia="仿宋" w:cs="仿宋"/>
                <w:color w:val="auto"/>
                <w:sz w:val="21"/>
                <w:szCs w:val="21"/>
              </w:rPr>
              <w:t>具有良好的商业信誉和健全的财务会计制度</w:t>
            </w:r>
          </w:p>
        </w:tc>
        <w:tc>
          <w:tcPr>
            <w:tcW w:w="4984" w:type="dxa"/>
            <w:vMerge w:val="restart"/>
            <w:noWrap w:val="0"/>
            <w:vAlign w:val="center"/>
          </w:tcPr>
          <w:p w14:paraId="63B1E32D">
            <w:pPr>
              <w:spacing w:line="240" w:lineRule="auto"/>
              <w:rPr>
                <w:rFonts w:hint="eastAsia" w:ascii="仿宋" w:hAnsi="仿宋" w:eastAsia="仿宋" w:cs="仿宋"/>
                <w:b/>
                <w:color w:val="auto"/>
                <w:sz w:val="21"/>
                <w:szCs w:val="21"/>
              </w:rPr>
            </w:pPr>
            <w:r>
              <w:rPr>
                <w:rFonts w:hint="eastAsia" w:ascii="仿宋" w:hAnsi="仿宋" w:eastAsia="仿宋" w:cs="仿宋"/>
                <w:color w:val="auto"/>
                <w:sz w:val="21"/>
                <w:szCs w:val="21"/>
              </w:rPr>
              <w:t>供应商提供“基本资格条件承诺函”（格式详见第七篇）</w:t>
            </w:r>
          </w:p>
        </w:tc>
      </w:tr>
      <w:tr w14:paraId="4B6B5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4359AF03">
            <w:pPr>
              <w:spacing w:line="240" w:lineRule="auto"/>
              <w:jc w:val="center"/>
              <w:rPr>
                <w:rFonts w:hint="eastAsia" w:ascii="仿宋" w:hAnsi="仿宋" w:eastAsia="仿宋" w:cs="仿宋"/>
                <w:color w:val="auto"/>
                <w:sz w:val="21"/>
                <w:szCs w:val="21"/>
              </w:rPr>
            </w:pPr>
          </w:p>
        </w:tc>
        <w:tc>
          <w:tcPr>
            <w:tcW w:w="709" w:type="dxa"/>
            <w:vMerge w:val="continue"/>
            <w:noWrap w:val="0"/>
            <w:vAlign w:val="center"/>
          </w:tcPr>
          <w:p w14:paraId="0EFFE405">
            <w:pPr>
              <w:spacing w:line="240" w:lineRule="auto"/>
              <w:rPr>
                <w:rFonts w:hint="eastAsia" w:ascii="仿宋" w:hAnsi="仿宋" w:eastAsia="仿宋" w:cs="仿宋"/>
                <w:color w:val="auto"/>
                <w:sz w:val="21"/>
                <w:szCs w:val="21"/>
                <w:lang w:val="zh-CN"/>
              </w:rPr>
            </w:pPr>
          </w:p>
        </w:tc>
        <w:tc>
          <w:tcPr>
            <w:tcW w:w="3118" w:type="dxa"/>
            <w:noWrap w:val="0"/>
            <w:vAlign w:val="center"/>
          </w:tcPr>
          <w:p w14:paraId="585A3228">
            <w:pPr>
              <w:spacing w:line="240" w:lineRule="auto"/>
              <w:rPr>
                <w:rFonts w:hint="eastAsia" w:ascii="仿宋" w:hAnsi="仿宋" w:eastAsia="仿宋" w:cs="仿宋"/>
                <w:color w:val="auto"/>
                <w:sz w:val="21"/>
                <w:szCs w:val="21"/>
                <w:lang w:val="zh-CN"/>
              </w:rPr>
            </w:pPr>
            <w:r>
              <w:rPr>
                <w:rFonts w:hint="eastAsia" w:ascii="仿宋" w:hAnsi="仿宋" w:eastAsia="仿宋" w:cs="仿宋"/>
                <w:color w:val="auto"/>
                <w:sz w:val="21"/>
                <w:szCs w:val="21"/>
                <w:lang w:val="zh-CN"/>
              </w:rPr>
              <w:t>3.具有履行合同所必需的设备和专业技术能力</w:t>
            </w:r>
          </w:p>
        </w:tc>
        <w:tc>
          <w:tcPr>
            <w:tcW w:w="4984" w:type="dxa"/>
            <w:vMerge w:val="continue"/>
            <w:noWrap w:val="0"/>
            <w:vAlign w:val="center"/>
          </w:tcPr>
          <w:p w14:paraId="57BA330C">
            <w:pPr>
              <w:spacing w:line="240" w:lineRule="auto"/>
              <w:rPr>
                <w:rFonts w:hint="eastAsia" w:ascii="仿宋" w:hAnsi="仿宋" w:eastAsia="仿宋" w:cs="仿宋"/>
                <w:color w:val="auto"/>
                <w:sz w:val="21"/>
                <w:szCs w:val="21"/>
              </w:rPr>
            </w:pPr>
          </w:p>
        </w:tc>
      </w:tr>
      <w:tr w14:paraId="55758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47D777E4">
            <w:pPr>
              <w:spacing w:line="240" w:lineRule="auto"/>
              <w:jc w:val="center"/>
              <w:rPr>
                <w:rFonts w:hint="eastAsia" w:ascii="仿宋" w:hAnsi="仿宋" w:eastAsia="仿宋" w:cs="仿宋"/>
                <w:color w:val="auto"/>
                <w:sz w:val="21"/>
                <w:szCs w:val="21"/>
              </w:rPr>
            </w:pPr>
          </w:p>
        </w:tc>
        <w:tc>
          <w:tcPr>
            <w:tcW w:w="709" w:type="dxa"/>
            <w:vMerge w:val="continue"/>
            <w:noWrap w:val="0"/>
            <w:vAlign w:val="center"/>
          </w:tcPr>
          <w:p w14:paraId="017E0B80">
            <w:pPr>
              <w:spacing w:line="240" w:lineRule="auto"/>
              <w:rPr>
                <w:rFonts w:hint="eastAsia" w:ascii="仿宋" w:hAnsi="仿宋" w:eastAsia="仿宋" w:cs="仿宋"/>
                <w:color w:val="auto"/>
                <w:sz w:val="21"/>
                <w:szCs w:val="21"/>
                <w:lang w:val="zh-CN"/>
              </w:rPr>
            </w:pPr>
          </w:p>
        </w:tc>
        <w:tc>
          <w:tcPr>
            <w:tcW w:w="3118" w:type="dxa"/>
            <w:noWrap w:val="0"/>
            <w:vAlign w:val="center"/>
          </w:tcPr>
          <w:p w14:paraId="0AD01E9A">
            <w:pPr>
              <w:spacing w:line="240" w:lineRule="auto"/>
              <w:rPr>
                <w:rFonts w:hint="eastAsia" w:ascii="仿宋" w:hAnsi="仿宋" w:eastAsia="仿宋" w:cs="仿宋"/>
                <w:color w:val="auto"/>
                <w:sz w:val="21"/>
                <w:szCs w:val="21"/>
                <w:lang w:val="zh-CN"/>
              </w:rPr>
            </w:pPr>
            <w:r>
              <w:rPr>
                <w:rFonts w:hint="eastAsia" w:ascii="仿宋" w:hAnsi="仿宋" w:eastAsia="仿宋" w:cs="仿宋"/>
                <w:color w:val="auto"/>
                <w:sz w:val="21"/>
                <w:szCs w:val="21"/>
                <w:lang w:val="zh-CN"/>
              </w:rPr>
              <w:t>4.有依法缴纳税收和社会保障金的良好记录</w:t>
            </w:r>
          </w:p>
        </w:tc>
        <w:tc>
          <w:tcPr>
            <w:tcW w:w="4984" w:type="dxa"/>
            <w:vMerge w:val="continue"/>
            <w:noWrap w:val="0"/>
            <w:vAlign w:val="center"/>
          </w:tcPr>
          <w:p w14:paraId="7A6B167A">
            <w:pPr>
              <w:spacing w:line="240" w:lineRule="auto"/>
              <w:rPr>
                <w:rFonts w:hint="eastAsia" w:ascii="仿宋" w:hAnsi="仿宋" w:eastAsia="仿宋" w:cs="仿宋"/>
                <w:color w:val="auto"/>
                <w:sz w:val="21"/>
                <w:szCs w:val="21"/>
              </w:rPr>
            </w:pPr>
          </w:p>
        </w:tc>
      </w:tr>
      <w:tr w14:paraId="13D82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42156431">
            <w:pPr>
              <w:spacing w:line="240" w:lineRule="auto"/>
              <w:jc w:val="center"/>
              <w:rPr>
                <w:rFonts w:hint="eastAsia" w:ascii="仿宋" w:hAnsi="仿宋" w:eastAsia="仿宋" w:cs="仿宋"/>
                <w:color w:val="auto"/>
                <w:sz w:val="21"/>
                <w:szCs w:val="21"/>
              </w:rPr>
            </w:pPr>
          </w:p>
        </w:tc>
        <w:tc>
          <w:tcPr>
            <w:tcW w:w="709" w:type="dxa"/>
            <w:vMerge w:val="continue"/>
            <w:noWrap w:val="0"/>
            <w:vAlign w:val="center"/>
          </w:tcPr>
          <w:p w14:paraId="2C53105C">
            <w:pPr>
              <w:spacing w:line="240" w:lineRule="auto"/>
              <w:rPr>
                <w:rFonts w:hint="eastAsia" w:ascii="仿宋" w:hAnsi="仿宋" w:eastAsia="仿宋" w:cs="仿宋"/>
                <w:color w:val="auto"/>
                <w:sz w:val="21"/>
                <w:szCs w:val="21"/>
                <w:lang w:val="zh-CN"/>
              </w:rPr>
            </w:pPr>
          </w:p>
        </w:tc>
        <w:tc>
          <w:tcPr>
            <w:tcW w:w="3118" w:type="dxa"/>
            <w:noWrap w:val="0"/>
            <w:vAlign w:val="center"/>
          </w:tcPr>
          <w:p w14:paraId="78772A00">
            <w:pPr>
              <w:spacing w:line="240" w:lineRule="auto"/>
              <w:rPr>
                <w:rFonts w:hint="eastAsia" w:ascii="仿宋" w:hAnsi="仿宋" w:eastAsia="仿宋" w:cs="仿宋"/>
                <w:color w:val="auto"/>
                <w:sz w:val="21"/>
                <w:szCs w:val="21"/>
                <w:lang w:val="zh-CN"/>
              </w:rPr>
            </w:pPr>
            <w:r>
              <w:rPr>
                <w:rFonts w:hint="eastAsia" w:ascii="仿宋" w:hAnsi="仿宋" w:eastAsia="仿宋" w:cs="仿宋"/>
                <w:color w:val="auto"/>
                <w:sz w:val="21"/>
                <w:szCs w:val="21"/>
              </w:rPr>
              <w:t>5.参加政府采购活动前三年内，在经营活动中没有重大违法记录</w:t>
            </w:r>
          </w:p>
        </w:tc>
        <w:tc>
          <w:tcPr>
            <w:tcW w:w="4984" w:type="dxa"/>
            <w:vMerge w:val="continue"/>
            <w:noWrap w:val="0"/>
            <w:vAlign w:val="center"/>
          </w:tcPr>
          <w:p w14:paraId="31619F0C">
            <w:pPr>
              <w:spacing w:line="240" w:lineRule="auto"/>
              <w:rPr>
                <w:rFonts w:hint="eastAsia" w:ascii="仿宋" w:hAnsi="仿宋" w:eastAsia="仿宋" w:cs="仿宋"/>
                <w:b/>
                <w:color w:val="auto"/>
                <w:sz w:val="21"/>
                <w:szCs w:val="21"/>
              </w:rPr>
            </w:pPr>
          </w:p>
        </w:tc>
      </w:tr>
      <w:tr w14:paraId="58C47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817" w:type="dxa"/>
            <w:vMerge w:val="continue"/>
            <w:noWrap w:val="0"/>
            <w:vAlign w:val="center"/>
          </w:tcPr>
          <w:p w14:paraId="63C4D992">
            <w:pPr>
              <w:spacing w:line="240" w:lineRule="auto"/>
              <w:jc w:val="center"/>
              <w:rPr>
                <w:rFonts w:hint="eastAsia" w:ascii="仿宋" w:hAnsi="仿宋" w:eastAsia="仿宋" w:cs="仿宋"/>
                <w:color w:val="auto"/>
                <w:sz w:val="21"/>
                <w:szCs w:val="21"/>
              </w:rPr>
            </w:pPr>
          </w:p>
        </w:tc>
        <w:tc>
          <w:tcPr>
            <w:tcW w:w="709" w:type="dxa"/>
            <w:vMerge w:val="continue"/>
            <w:noWrap w:val="0"/>
            <w:vAlign w:val="center"/>
          </w:tcPr>
          <w:p w14:paraId="5951BF4B">
            <w:pPr>
              <w:spacing w:line="240" w:lineRule="auto"/>
              <w:rPr>
                <w:rFonts w:hint="eastAsia" w:ascii="仿宋" w:hAnsi="仿宋" w:eastAsia="仿宋" w:cs="仿宋"/>
                <w:color w:val="auto"/>
                <w:sz w:val="21"/>
                <w:szCs w:val="21"/>
              </w:rPr>
            </w:pPr>
          </w:p>
        </w:tc>
        <w:tc>
          <w:tcPr>
            <w:tcW w:w="3118" w:type="dxa"/>
            <w:noWrap w:val="0"/>
            <w:vAlign w:val="center"/>
          </w:tcPr>
          <w:p w14:paraId="71FF37AC">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6.法律、行政法规规定的其他条件</w:t>
            </w:r>
          </w:p>
        </w:tc>
        <w:tc>
          <w:tcPr>
            <w:tcW w:w="4984" w:type="dxa"/>
            <w:noWrap w:val="0"/>
            <w:vAlign w:val="center"/>
          </w:tcPr>
          <w:p w14:paraId="47CBDC9B">
            <w:pPr>
              <w:spacing w:line="240" w:lineRule="auto"/>
              <w:rPr>
                <w:rFonts w:hint="eastAsia" w:ascii="仿宋" w:hAnsi="仿宋" w:eastAsia="仿宋" w:cs="仿宋"/>
                <w:color w:val="auto"/>
                <w:sz w:val="21"/>
                <w:szCs w:val="21"/>
              </w:rPr>
            </w:pPr>
          </w:p>
        </w:tc>
      </w:tr>
      <w:tr w14:paraId="1B8D9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817" w:type="dxa"/>
            <w:noWrap w:val="0"/>
            <w:vAlign w:val="center"/>
          </w:tcPr>
          <w:p w14:paraId="249F67A8">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w:t>
            </w:r>
            <w:r>
              <w:rPr>
                <w:rFonts w:hint="eastAsia" w:ascii="仿宋" w:hAnsi="仿宋" w:eastAsia="仿宋" w:cs="仿宋"/>
                <w:color w:val="auto"/>
                <w:sz w:val="21"/>
                <w:szCs w:val="21"/>
                <w:lang w:eastAsia="zh-CN"/>
              </w:rPr>
              <w:t>二</w:t>
            </w:r>
            <w:r>
              <w:rPr>
                <w:rFonts w:hint="eastAsia" w:ascii="仿宋" w:hAnsi="仿宋" w:eastAsia="仿宋" w:cs="仿宋"/>
                <w:color w:val="auto"/>
                <w:sz w:val="21"/>
                <w:szCs w:val="21"/>
              </w:rPr>
              <w:t xml:space="preserve"> ）</w:t>
            </w:r>
          </w:p>
        </w:tc>
        <w:tc>
          <w:tcPr>
            <w:tcW w:w="3827" w:type="dxa"/>
            <w:gridSpan w:val="2"/>
            <w:noWrap w:val="0"/>
            <w:vAlign w:val="center"/>
          </w:tcPr>
          <w:p w14:paraId="7748FC84">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本项目的特定资格要求</w:t>
            </w:r>
          </w:p>
        </w:tc>
        <w:tc>
          <w:tcPr>
            <w:tcW w:w="4984" w:type="dxa"/>
            <w:noWrap w:val="0"/>
            <w:vAlign w:val="center"/>
          </w:tcPr>
          <w:p w14:paraId="7B608BC3">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按“第一篇 三、供应商资格要求（二）本项目的特定资格要求”的要求提交（如果有）。</w:t>
            </w:r>
          </w:p>
        </w:tc>
      </w:tr>
    </w:tbl>
    <w:p w14:paraId="5104466D">
      <w:pPr>
        <w:snapToGrid w:val="0"/>
        <w:spacing w:line="360" w:lineRule="auto"/>
        <w:ind w:firstLine="480" w:firstLineChars="200"/>
        <w:rPr>
          <w:rFonts w:hint="eastAsia" w:ascii="仿宋" w:hAnsi="仿宋" w:eastAsia="仿宋" w:cs="仿宋"/>
          <w:color w:val="auto"/>
          <w:kern w:val="0"/>
          <w:sz w:val="24"/>
          <w:szCs w:val="24"/>
        </w:rPr>
      </w:pPr>
      <w:r>
        <w:rPr>
          <w:rFonts w:hint="eastAsia" w:ascii="仿宋" w:hAnsi="仿宋" w:eastAsia="仿宋" w:cs="仿宋"/>
          <w:color w:val="auto"/>
          <w:kern w:val="0"/>
          <w:sz w:val="24"/>
          <w:szCs w:val="24"/>
        </w:rPr>
        <w:t>注：</w:t>
      </w:r>
    </w:p>
    <w:p w14:paraId="18399308">
      <w:pPr>
        <w:snapToGrid w:val="0"/>
        <w:spacing w:line="360" w:lineRule="auto"/>
        <w:ind w:firstLine="480" w:firstLineChars="200"/>
        <w:rPr>
          <w:rFonts w:hint="eastAsia" w:ascii="仿宋" w:hAnsi="仿宋" w:eastAsia="仿宋" w:cs="仿宋"/>
          <w:color w:val="auto"/>
          <w:kern w:val="0"/>
          <w:sz w:val="24"/>
          <w:szCs w:val="24"/>
        </w:rPr>
      </w:pPr>
      <w:r>
        <w:rPr>
          <w:rFonts w:hint="eastAsia" w:ascii="仿宋" w:hAnsi="仿宋" w:eastAsia="仿宋" w:cs="仿宋"/>
          <w:color w:val="auto"/>
          <w:kern w:val="0"/>
          <w:sz w:val="24"/>
          <w:szCs w:val="24"/>
        </w:rPr>
        <w:fldChar w:fldCharType="begin"/>
      </w:r>
      <w:r>
        <w:rPr>
          <w:rFonts w:hint="eastAsia" w:ascii="仿宋" w:hAnsi="仿宋" w:eastAsia="仿宋" w:cs="仿宋"/>
          <w:color w:val="auto"/>
          <w:kern w:val="0"/>
          <w:sz w:val="24"/>
          <w:szCs w:val="24"/>
        </w:rPr>
        <w:instrText xml:space="preserve"> eq \o\ac(○,</w:instrText>
      </w:r>
      <w:r>
        <w:rPr>
          <w:rFonts w:hint="eastAsia" w:ascii="仿宋" w:hAnsi="仿宋" w:eastAsia="仿宋" w:cs="仿宋"/>
          <w:color w:val="auto"/>
          <w:kern w:val="0"/>
          <w:position w:val="3"/>
          <w:sz w:val="16"/>
          <w:szCs w:val="24"/>
        </w:rPr>
        <w:instrText xml:space="preserve">1</w:instrText>
      </w:r>
      <w:r>
        <w:rPr>
          <w:rFonts w:hint="eastAsia" w:ascii="仿宋" w:hAnsi="仿宋" w:eastAsia="仿宋" w:cs="仿宋"/>
          <w:color w:val="auto"/>
          <w:kern w:val="0"/>
          <w:sz w:val="24"/>
          <w:szCs w:val="24"/>
        </w:rPr>
        <w:instrText xml:space="preserve">)</w:instrText>
      </w:r>
      <w:r>
        <w:rPr>
          <w:rFonts w:hint="eastAsia" w:ascii="仿宋" w:hAnsi="仿宋" w:eastAsia="仿宋" w:cs="仿宋"/>
          <w:color w:val="auto"/>
          <w:kern w:val="0"/>
          <w:sz w:val="24"/>
          <w:szCs w:val="24"/>
        </w:rPr>
        <w:fldChar w:fldCharType="end"/>
      </w:r>
      <w:r>
        <w:rPr>
          <w:rFonts w:hint="eastAsia" w:ascii="仿宋" w:hAnsi="仿宋" w:eastAsia="仿宋" w:cs="仿宋"/>
          <w:color w:val="auto"/>
          <w:kern w:val="0"/>
          <w:sz w:val="24"/>
          <w:szCs w:val="24"/>
        </w:rPr>
        <w:t>根据《中华人民共和国政府采购法实施条例》第十九条“参加政府采购活动前三年内，在经营活动中没有重大违法记录”中“重大违法记录”，是指供应商因违法经营受到刑事处罚或者责令停产停业、吊销许可证或者执照、较大数额罚款等行政处罚。行政处罚中“较大数额”的认定标准，按照“财政部关于《中华人民共和国政府采购法实施条例》第十九条第一款“较大数额罚款”具体适用问题的意见（财库〔2022〕3 号）”执行。供应商可于响应文件递交截止时间前通过 “信用中国”网站(www.creditchina.gov.cn)、"中国政府采购网"(www.ccgp.gov.cn)等渠道查询信用记录。</w:t>
      </w:r>
    </w:p>
    <w:p w14:paraId="4A3E03F1">
      <w:pPr>
        <w:snapToGrid w:val="0"/>
        <w:spacing w:line="360" w:lineRule="auto"/>
        <w:ind w:firstLine="480" w:firstLineChars="200"/>
        <w:rPr>
          <w:rFonts w:hint="eastAsia" w:ascii="仿宋" w:hAnsi="仿宋" w:eastAsia="仿宋" w:cs="仿宋"/>
          <w:color w:val="auto"/>
          <w:kern w:val="0"/>
          <w:sz w:val="24"/>
          <w:szCs w:val="24"/>
        </w:rPr>
      </w:pPr>
      <w:r>
        <w:rPr>
          <w:rFonts w:hint="eastAsia" w:ascii="仿宋" w:hAnsi="仿宋" w:eastAsia="仿宋" w:cs="仿宋"/>
          <w:color w:val="auto"/>
          <w:kern w:val="0"/>
          <w:sz w:val="24"/>
          <w:szCs w:val="24"/>
        </w:rPr>
        <w:t>2.符合性审查。依据</w:t>
      </w:r>
      <w:r>
        <w:rPr>
          <w:rFonts w:hint="eastAsia" w:ascii="仿宋" w:hAnsi="仿宋" w:eastAsia="仿宋" w:cs="仿宋"/>
          <w:color w:val="auto"/>
          <w:kern w:val="0"/>
          <w:sz w:val="24"/>
          <w:szCs w:val="24"/>
          <w:lang w:eastAsia="zh-CN"/>
        </w:rPr>
        <w:t>询比文件</w:t>
      </w:r>
      <w:r>
        <w:rPr>
          <w:rFonts w:hint="eastAsia" w:ascii="仿宋" w:hAnsi="仿宋" w:eastAsia="仿宋" w:cs="仿宋"/>
          <w:color w:val="auto"/>
          <w:kern w:val="0"/>
          <w:sz w:val="24"/>
          <w:szCs w:val="24"/>
        </w:rPr>
        <w:t>的规定，从响应文件的有效性、完整性和对</w:t>
      </w:r>
      <w:r>
        <w:rPr>
          <w:rFonts w:hint="eastAsia" w:ascii="仿宋" w:hAnsi="仿宋" w:eastAsia="仿宋" w:cs="仿宋"/>
          <w:color w:val="auto"/>
          <w:kern w:val="0"/>
          <w:sz w:val="24"/>
          <w:szCs w:val="24"/>
          <w:lang w:eastAsia="zh-CN"/>
        </w:rPr>
        <w:t>询比文件</w:t>
      </w:r>
      <w:r>
        <w:rPr>
          <w:rFonts w:hint="eastAsia" w:ascii="仿宋" w:hAnsi="仿宋" w:eastAsia="仿宋" w:cs="仿宋"/>
          <w:color w:val="auto"/>
          <w:kern w:val="0"/>
          <w:sz w:val="24"/>
          <w:szCs w:val="24"/>
        </w:rPr>
        <w:t>的响应程度进行审查，以确定是否对</w:t>
      </w:r>
      <w:r>
        <w:rPr>
          <w:rFonts w:hint="eastAsia" w:ascii="仿宋" w:hAnsi="仿宋" w:eastAsia="仿宋" w:cs="仿宋"/>
          <w:color w:val="auto"/>
          <w:kern w:val="0"/>
          <w:sz w:val="24"/>
          <w:szCs w:val="24"/>
          <w:lang w:eastAsia="zh-CN"/>
        </w:rPr>
        <w:t>询比文件</w:t>
      </w:r>
      <w:r>
        <w:rPr>
          <w:rFonts w:hint="eastAsia" w:ascii="仿宋" w:hAnsi="仿宋" w:eastAsia="仿宋" w:cs="仿宋"/>
          <w:color w:val="auto"/>
          <w:kern w:val="0"/>
          <w:sz w:val="24"/>
          <w:szCs w:val="24"/>
        </w:rPr>
        <w:t>的实质性要求作出响应。符合性审查资料表如下：</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60"/>
        <w:gridCol w:w="1984"/>
        <w:gridCol w:w="5409"/>
      </w:tblGrid>
      <w:tr w14:paraId="5CD4D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675" w:type="dxa"/>
            <w:noWrap w:val="0"/>
            <w:vAlign w:val="center"/>
          </w:tcPr>
          <w:p w14:paraId="0352D457">
            <w:pPr>
              <w:spacing w:line="240" w:lineRule="auto"/>
              <w:jc w:val="both"/>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序号</w:t>
            </w:r>
          </w:p>
        </w:tc>
        <w:tc>
          <w:tcPr>
            <w:tcW w:w="3544" w:type="dxa"/>
            <w:gridSpan w:val="2"/>
            <w:noWrap w:val="0"/>
            <w:vAlign w:val="center"/>
          </w:tcPr>
          <w:p w14:paraId="34170562">
            <w:pPr>
              <w:spacing w:line="240" w:lineRule="auto"/>
              <w:jc w:val="both"/>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评审因素</w:t>
            </w:r>
          </w:p>
        </w:tc>
        <w:tc>
          <w:tcPr>
            <w:tcW w:w="5409" w:type="dxa"/>
            <w:noWrap w:val="0"/>
            <w:vAlign w:val="center"/>
          </w:tcPr>
          <w:p w14:paraId="5D991EA6">
            <w:pPr>
              <w:spacing w:line="240" w:lineRule="auto"/>
              <w:jc w:val="both"/>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评审标准</w:t>
            </w:r>
          </w:p>
        </w:tc>
      </w:tr>
      <w:tr w14:paraId="22631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trPr>
        <w:tc>
          <w:tcPr>
            <w:tcW w:w="675" w:type="dxa"/>
            <w:vMerge w:val="restart"/>
            <w:noWrap w:val="0"/>
            <w:vAlign w:val="center"/>
          </w:tcPr>
          <w:p w14:paraId="02844B83">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1</w:t>
            </w:r>
          </w:p>
        </w:tc>
        <w:tc>
          <w:tcPr>
            <w:tcW w:w="1560" w:type="dxa"/>
            <w:vMerge w:val="restart"/>
            <w:noWrap w:val="0"/>
            <w:vAlign w:val="center"/>
          </w:tcPr>
          <w:p w14:paraId="34C2DE50">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有效性审查</w:t>
            </w:r>
          </w:p>
        </w:tc>
        <w:tc>
          <w:tcPr>
            <w:tcW w:w="1984" w:type="dxa"/>
            <w:noWrap w:val="0"/>
            <w:vAlign w:val="center"/>
          </w:tcPr>
          <w:p w14:paraId="7A291130">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rPr>
              <w:t>响应文件签署或盖章</w:t>
            </w:r>
          </w:p>
        </w:tc>
        <w:tc>
          <w:tcPr>
            <w:tcW w:w="5409" w:type="dxa"/>
            <w:noWrap w:val="0"/>
            <w:vAlign w:val="center"/>
          </w:tcPr>
          <w:p w14:paraId="75A5AA59">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rPr>
              <w:t>按</w:t>
            </w:r>
            <w:r>
              <w:rPr>
                <w:rFonts w:hint="eastAsia" w:ascii="仿宋" w:hAnsi="仿宋" w:eastAsia="仿宋" w:cs="仿宋"/>
                <w:color w:val="auto"/>
                <w:sz w:val="21"/>
                <w:szCs w:val="21"/>
                <w:lang w:eastAsia="zh-CN"/>
              </w:rPr>
              <w:t>询比文件</w:t>
            </w:r>
            <w:r>
              <w:rPr>
                <w:rFonts w:hint="eastAsia" w:ascii="仿宋" w:hAnsi="仿宋" w:eastAsia="仿宋" w:cs="仿宋"/>
                <w:color w:val="auto"/>
                <w:sz w:val="21"/>
                <w:szCs w:val="21"/>
              </w:rPr>
              <w:t>“第七篇响应文件编制要求”要求签署或盖章。</w:t>
            </w:r>
          </w:p>
        </w:tc>
      </w:tr>
      <w:tr w14:paraId="3AB78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675" w:type="dxa"/>
            <w:vMerge w:val="continue"/>
            <w:noWrap w:val="0"/>
            <w:vAlign w:val="center"/>
          </w:tcPr>
          <w:p w14:paraId="09C6A31E">
            <w:pPr>
              <w:spacing w:line="240" w:lineRule="auto"/>
              <w:jc w:val="both"/>
              <w:rPr>
                <w:rFonts w:hint="eastAsia" w:ascii="仿宋" w:hAnsi="仿宋" w:eastAsia="仿宋" w:cs="仿宋"/>
                <w:color w:val="auto"/>
                <w:kern w:val="0"/>
                <w:sz w:val="21"/>
                <w:szCs w:val="21"/>
              </w:rPr>
            </w:pPr>
          </w:p>
        </w:tc>
        <w:tc>
          <w:tcPr>
            <w:tcW w:w="1560" w:type="dxa"/>
            <w:vMerge w:val="continue"/>
            <w:noWrap w:val="0"/>
            <w:vAlign w:val="center"/>
          </w:tcPr>
          <w:p w14:paraId="5C27654B">
            <w:pPr>
              <w:spacing w:line="240" w:lineRule="auto"/>
              <w:jc w:val="both"/>
              <w:rPr>
                <w:rFonts w:hint="eastAsia" w:ascii="仿宋" w:hAnsi="仿宋" w:eastAsia="仿宋" w:cs="仿宋"/>
                <w:color w:val="auto"/>
                <w:kern w:val="0"/>
                <w:sz w:val="21"/>
                <w:szCs w:val="21"/>
              </w:rPr>
            </w:pPr>
          </w:p>
        </w:tc>
        <w:tc>
          <w:tcPr>
            <w:tcW w:w="1984" w:type="dxa"/>
            <w:noWrap w:val="0"/>
            <w:vAlign w:val="center"/>
          </w:tcPr>
          <w:p w14:paraId="599CCE72">
            <w:pPr>
              <w:spacing w:line="240" w:lineRule="auto"/>
              <w:jc w:val="both"/>
              <w:rPr>
                <w:rFonts w:hint="eastAsia" w:ascii="仿宋" w:hAnsi="仿宋" w:eastAsia="仿宋" w:cs="仿宋"/>
                <w:color w:val="auto"/>
                <w:sz w:val="21"/>
                <w:szCs w:val="21"/>
              </w:rPr>
            </w:pPr>
            <w:r>
              <w:rPr>
                <w:rFonts w:hint="eastAsia" w:ascii="仿宋" w:hAnsi="仿宋" w:eastAsia="仿宋" w:cs="仿宋"/>
                <w:color w:val="auto"/>
                <w:sz w:val="21"/>
                <w:szCs w:val="21"/>
              </w:rPr>
              <w:t>法定代表人身份证明及授权委托书</w:t>
            </w:r>
          </w:p>
        </w:tc>
        <w:tc>
          <w:tcPr>
            <w:tcW w:w="5409" w:type="dxa"/>
            <w:noWrap w:val="0"/>
            <w:vAlign w:val="center"/>
          </w:tcPr>
          <w:p w14:paraId="52897B3C">
            <w:pPr>
              <w:spacing w:line="240" w:lineRule="auto"/>
              <w:jc w:val="both"/>
              <w:rPr>
                <w:rFonts w:hint="eastAsia" w:ascii="仿宋" w:hAnsi="仿宋" w:eastAsia="仿宋" w:cs="仿宋"/>
                <w:color w:val="auto"/>
                <w:sz w:val="21"/>
                <w:szCs w:val="21"/>
              </w:rPr>
            </w:pPr>
            <w:r>
              <w:rPr>
                <w:rFonts w:hint="eastAsia" w:ascii="仿宋" w:hAnsi="仿宋" w:eastAsia="仿宋" w:cs="仿宋"/>
                <w:color w:val="auto"/>
                <w:sz w:val="21"/>
                <w:szCs w:val="21"/>
              </w:rPr>
              <w:t>法定代表人身份证明及授权委托书有效，符合</w:t>
            </w:r>
            <w:r>
              <w:rPr>
                <w:rFonts w:hint="eastAsia" w:ascii="仿宋" w:hAnsi="仿宋" w:eastAsia="仿宋" w:cs="仿宋"/>
                <w:color w:val="auto"/>
                <w:sz w:val="21"/>
                <w:szCs w:val="21"/>
                <w:lang w:eastAsia="zh-CN"/>
              </w:rPr>
              <w:t>询比文件</w:t>
            </w:r>
            <w:r>
              <w:rPr>
                <w:rFonts w:hint="eastAsia" w:ascii="仿宋" w:hAnsi="仿宋" w:eastAsia="仿宋" w:cs="仿宋"/>
                <w:color w:val="auto"/>
                <w:sz w:val="21"/>
                <w:szCs w:val="21"/>
              </w:rPr>
              <w:t>规定的格式，签署或盖章齐全。</w:t>
            </w:r>
          </w:p>
        </w:tc>
      </w:tr>
      <w:tr w14:paraId="1DBA8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trPr>
        <w:tc>
          <w:tcPr>
            <w:tcW w:w="675" w:type="dxa"/>
            <w:vMerge w:val="continue"/>
            <w:noWrap w:val="0"/>
            <w:vAlign w:val="center"/>
          </w:tcPr>
          <w:p w14:paraId="46871341">
            <w:pPr>
              <w:spacing w:line="240" w:lineRule="auto"/>
              <w:jc w:val="both"/>
              <w:rPr>
                <w:rFonts w:hint="eastAsia" w:ascii="仿宋" w:hAnsi="仿宋" w:eastAsia="仿宋" w:cs="仿宋"/>
                <w:color w:val="auto"/>
                <w:kern w:val="0"/>
                <w:sz w:val="21"/>
                <w:szCs w:val="21"/>
              </w:rPr>
            </w:pPr>
          </w:p>
        </w:tc>
        <w:tc>
          <w:tcPr>
            <w:tcW w:w="1560" w:type="dxa"/>
            <w:vMerge w:val="continue"/>
            <w:noWrap w:val="0"/>
            <w:vAlign w:val="center"/>
          </w:tcPr>
          <w:p w14:paraId="48DACB59">
            <w:pPr>
              <w:spacing w:line="240" w:lineRule="auto"/>
              <w:jc w:val="both"/>
              <w:rPr>
                <w:rFonts w:hint="eastAsia" w:ascii="仿宋" w:hAnsi="仿宋" w:eastAsia="仿宋" w:cs="仿宋"/>
                <w:color w:val="auto"/>
                <w:kern w:val="0"/>
                <w:sz w:val="21"/>
                <w:szCs w:val="21"/>
              </w:rPr>
            </w:pPr>
          </w:p>
        </w:tc>
        <w:tc>
          <w:tcPr>
            <w:tcW w:w="1984" w:type="dxa"/>
            <w:noWrap w:val="0"/>
            <w:vAlign w:val="center"/>
          </w:tcPr>
          <w:p w14:paraId="62318CE7">
            <w:pPr>
              <w:spacing w:line="240" w:lineRule="auto"/>
              <w:jc w:val="both"/>
              <w:rPr>
                <w:rFonts w:hint="eastAsia" w:ascii="仿宋" w:hAnsi="仿宋" w:eastAsia="仿宋" w:cs="仿宋"/>
                <w:color w:val="auto"/>
                <w:sz w:val="21"/>
                <w:szCs w:val="21"/>
                <w:lang w:val="zh-CN"/>
              </w:rPr>
            </w:pPr>
            <w:r>
              <w:rPr>
                <w:rFonts w:hint="eastAsia" w:ascii="仿宋" w:hAnsi="仿宋" w:eastAsia="仿宋" w:cs="仿宋"/>
                <w:color w:val="auto"/>
                <w:sz w:val="21"/>
                <w:szCs w:val="21"/>
              </w:rPr>
              <w:t>响应</w:t>
            </w:r>
            <w:r>
              <w:rPr>
                <w:rFonts w:hint="eastAsia" w:ascii="仿宋" w:hAnsi="仿宋" w:eastAsia="仿宋" w:cs="仿宋"/>
                <w:color w:val="auto"/>
                <w:sz w:val="21"/>
                <w:szCs w:val="21"/>
                <w:lang w:val="zh-CN"/>
              </w:rPr>
              <w:t>方案</w:t>
            </w:r>
          </w:p>
        </w:tc>
        <w:tc>
          <w:tcPr>
            <w:tcW w:w="5409" w:type="dxa"/>
            <w:noWrap w:val="0"/>
            <w:vAlign w:val="center"/>
          </w:tcPr>
          <w:p w14:paraId="58FA81C5">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lang w:val="zh-CN"/>
              </w:rPr>
              <w:t>每个包只能有一个</w:t>
            </w:r>
            <w:r>
              <w:rPr>
                <w:rFonts w:hint="eastAsia" w:ascii="仿宋" w:hAnsi="仿宋" w:eastAsia="仿宋" w:cs="仿宋"/>
                <w:color w:val="auto"/>
                <w:sz w:val="21"/>
                <w:szCs w:val="21"/>
              </w:rPr>
              <w:t>响应</w:t>
            </w:r>
            <w:r>
              <w:rPr>
                <w:rFonts w:hint="eastAsia" w:ascii="仿宋" w:hAnsi="仿宋" w:eastAsia="仿宋" w:cs="仿宋"/>
                <w:color w:val="auto"/>
                <w:sz w:val="21"/>
                <w:szCs w:val="21"/>
                <w:lang w:val="zh-CN"/>
              </w:rPr>
              <w:t>方案。</w:t>
            </w:r>
          </w:p>
        </w:tc>
      </w:tr>
      <w:tr w14:paraId="7ACD6C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675" w:type="dxa"/>
            <w:vMerge w:val="continue"/>
            <w:noWrap w:val="0"/>
            <w:vAlign w:val="center"/>
          </w:tcPr>
          <w:p w14:paraId="1FFAF4D2">
            <w:pPr>
              <w:spacing w:line="240" w:lineRule="auto"/>
              <w:jc w:val="both"/>
              <w:rPr>
                <w:rFonts w:hint="eastAsia" w:ascii="仿宋" w:hAnsi="仿宋" w:eastAsia="仿宋" w:cs="仿宋"/>
                <w:color w:val="auto"/>
                <w:kern w:val="0"/>
                <w:sz w:val="21"/>
                <w:szCs w:val="21"/>
              </w:rPr>
            </w:pPr>
          </w:p>
        </w:tc>
        <w:tc>
          <w:tcPr>
            <w:tcW w:w="1560" w:type="dxa"/>
            <w:vMerge w:val="continue"/>
            <w:noWrap w:val="0"/>
            <w:vAlign w:val="center"/>
          </w:tcPr>
          <w:p w14:paraId="7D3A8620">
            <w:pPr>
              <w:spacing w:line="240" w:lineRule="auto"/>
              <w:jc w:val="both"/>
              <w:rPr>
                <w:rFonts w:hint="eastAsia" w:ascii="仿宋" w:hAnsi="仿宋" w:eastAsia="仿宋" w:cs="仿宋"/>
                <w:color w:val="auto"/>
                <w:kern w:val="0"/>
                <w:sz w:val="21"/>
                <w:szCs w:val="21"/>
              </w:rPr>
            </w:pPr>
          </w:p>
        </w:tc>
        <w:tc>
          <w:tcPr>
            <w:tcW w:w="1984" w:type="dxa"/>
            <w:noWrap w:val="0"/>
            <w:vAlign w:val="center"/>
          </w:tcPr>
          <w:p w14:paraId="3C9BC25F">
            <w:pPr>
              <w:spacing w:line="240" w:lineRule="auto"/>
              <w:jc w:val="both"/>
              <w:rPr>
                <w:rFonts w:hint="eastAsia" w:ascii="仿宋" w:hAnsi="仿宋" w:eastAsia="仿宋" w:cs="仿宋"/>
                <w:color w:val="auto"/>
                <w:sz w:val="21"/>
                <w:szCs w:val="21"/>
                <w:lang w:val="zh-CN"/>
              </w:rPr>
            </w:pPr>
            <w:r>
              <w:rPr>
                <w:rFonts w:hint="eastAsia" w:ascii="仿宋" w:hAnsi="仿宋" w:eastAsia="仿宋" w:cs="仿宋"/>
                <w:color w:val="auto"/>
                <w:sz w:val="21"/>
                <w:szCs w:val="21"/>
              </w:rPr>
              <w:t>报价唯一</w:t>
            </w:r>
          </w:p>
        </w:tc>
        <w:tc>
          <w:tcPr>
            <w:tcW w:w="5409" w:type="dxa"/>
            <w:noWrap w:val="0"/>
            <w:vAlign w:val="center"/>
          </w:tcPr>
          <w:p w14:paraId="52AD6049">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rPr>
              <w:t>只能有一个有效报价，不得超过最高限价，不得提交选择性报价。</w:t>
            </w:r>
          </w:p>
        </w:tc>
      </w:tr>
      <w:tr w14:paraId="6E855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atLeast"/>
        </w:trPr>
        <w:tc>
          <w:tcPr>
            <w:tcW w:w="675" w:type="dxa"/>
            <w:noWrap w:val="0"/>
            <w:vAlign w:val="center"/>
          </w:tcPr>
          <w:p w14:paraId="6ECE5EF5">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2</w:t>
            </w:r>
          </w:p>
        </w:tc>
        <w:tc>
          <w:tcPr>
            <w:tcW w:w="1560" w:type="dxa"/>
            <w:noWrap w:val="0"/>
            <w:vAlign w:val="center"/>
          </w:tcPr>
          <w:p w14:paraId="576BF4D3">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完整性审查</w:t>
            </w:r>
          </w:p>
        </w:tc>
        <w:tc>
          <w:tcPr>
            <w:tcW w:w="1984" w:type="dxa"/>
            <w:noWrap w:val="0"/>
            <w:vAlign w:val="center"/>
          </w:tcPr>
          <w:p w14:paraId="14035E3C">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rPr>
              <w:t>响应</w:t>
            </w:r>
            <w:r>
              <w:rPr>
                <w:rFonts w:hint="eastAsia" w:ascii="仿宋" w:hAnsi="仿宋" w:eastAsia="仿宋" w:cs="仿宋"/>
                <w:color w:val="auto"/>
                <w:sz w:val="21"/>
                <w:szCs w:val="21"/>
                <w:lang w:val="zh-CN"/>
              </w:rPr>
              <w:t>文件份数</w:t>
            </w:r>
          </w:p>
        </w:tc>
        <w:tc>
          <w:tcPr>
            <w:tcW w:w="5409" w:type="dxa"/>
            <w:noWrap w:val="0"/>
            <w:vAlign w:val="center"/>
          </w:tcPr>
          <w:p w14:paraId="1A7A76FE">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rPr>
              <w:t>响应</w:t>
            </w:r>
            <w:r>
              <w:rPr>
                <w:rFonts w:hint="eastAsia" w:ascii="仿宋" w:hAnsi="仿宋" w:eastAsia="仿宋" w:cs="仿宋"/>
                <w:color w:val="auto"/>
                <w:sz w:val="21"/>
                <w:szCs w:val="21"/>
                <w:lang w:val="zh-CN"/>
              </w:rPr>
              <w:t>文件正、副本、电子文件数量符合</w:t>
            </w:r>
            <w:r>
              <w:rPr>
                <w:rFonts w:hint="eastAsia" w:ascii="仿宋" w:hAnsi="仿宋" w:eastAsia="仿宋" w:cs="仿宋"/>
                <w:color w:val="auto"/>
                <w:sz w:val="21"/>
                <w:szCs w:val="21"/>
                <w:lang w:eastAsia="zh-CN"/>
              </w:rPr>
              <w:t>询比文件</w:t>
            </w:r>
            <w:r>
              <w:rPr>
                <w:rFonts w:hint="eastAsia" w:ascii="仿宋" w:hAnsi="仿宋" w:eastAsia="仿宋" w:cs="仿宋"/>
                <w:color w:val="auto"/>
                <w:sz w:val="21"/>
                <w:szCs w:val="21"/>
                <w:lang w:val="zh-CN"/>
              </w:rPr>
              <w:t>要求。</w:t>
            </w:r>
          </w:p>
        </w:tc>
      </w:tr>
      <w:tr w14:paraId="31E1D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675" w:type="dxa"/>
            <w:vMerge w:val="restart"/>
            <w:noWrap w:val="0"/>
            <w:vAlign w:val="center"/>
          </w:tcPr>
          <w:p w14:paraId="5D695A17">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3</w:t>
            </w:r>
          </w:p>
        </w:tc>
        <w:tc>
          <w:tcPr>
            <w:tcW w:w="1560" w:type="dxa"/>
            <w:vMerge w:val="restart"/>
            <w:noWrap w:val="0"/>
            <w:vAlign w:val="center"/>
          </w:tcPr>
          <w:p w14:paraId="3BBC78BC">
            <w:pPr>
              <w:spacing w:line="240" w:lineRule="auto"/>
              <w:jc w:val="both"/>
              <w:rPr>
                <w:rFonts w:hint="eastAsia" w:ascii="仿宋" w:hAnsi="仿宋" w:eastAsia="仿宋" w:cs="仿宋"/>
                <w:color w:val="auto"/>
                <w:sz w:val="21"/>
                <w:szCs w:val="21"/>
                <w:lang w:val="zh-CN"/>
              </w:rPr>
            </w:pPr>
            <w:r>
              <w:rPr>
                <w:rFonts w:hint="eastAsia" w:ascii="仿宋" w:hAnsi="仿宋" w:eastAsia="仿宋" w:cs="仿宋"/>
                <w:color w:val="auto"/>
                <w:kern w:val="0"/>
                <w:sz w:val="21"/>
                <w:szCs w:val="21"/>
              </w:rPr>
              <w:t>响应程度审查</w:t>
            </w:r>
          </w:p>
        </w:tc>
        <w:tc>
          <w:tcPr>
            <w:tcW w:w="1984" w:type="dxa"/>
            <w:noWrap w:val="0"/>
            <w:vAlign w:val="center"/>
          </w:tcPr>
          <w:p w14:paraId="45507764">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实质性响应</w:t>
            </w:r>
          </w:p>
        </w:tc>
        <w:tc>
          <w:tcPr>
            <w:tcW w:w="5409" w:type="dxa"/>
            <w:noWrap w:val="0"/>
            <w:vAlign w:val="center"/>
          </w:tcPr>
          <w:p w14:paraId="2D590A1B">
            <w:pPr>
              <w:pStyle w:val="11"/>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对</w:t>
            </w:r>
            <w:r>
              <w:rPr>
                <w:rFonts w:hint="eastAsia" w:ascii="仿宋" w:hAnsi="仿宋" w:eastAsia="仿宋" w:cs="仿宋"/>
                <w:color w:val="auto"/>
                <w:kern w:val="0"/>
                <w:sz w:val="21"/>
                <w:szCs w:val="21"/>
                <w:lang w:eastAsia="zh-CN"/>
              </w:rPr>
              <w:t>询比文件</w:t>
            </w:r>
            <w:r>
              <w:rPr>
                <w:rFonts w:hint="eastAsia" w:ascii="仿宋" w:hAnsi="仿宋" w:eastAsia="仿宋" w:cs="仿宋"/>
                <w:color w:val="auto"/>
                <w:kern w:val="0"/>
                <w:sz w:val="21"/>
                <w:szCs w:val="21"/>
              </w:rPr>
              <w:t>第二、三篇条款的实质性内容逐条作出实质性响应。</w:t>
            </w:r>
          </w:p>
        </w:tc>
      </w:tr>
      <w:tr w14:paraId="457FB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3" w:hRule="atLeast"/>
        </w:trPr>
        <w:tc>
          <w:tcPr>
            <w:tcW w:w="675" w:type="dxa"/>
            <w:vMerge w:val="continue"/>
            <w:noWrap w:val="0"/>
            <w:vAlign w:val="center"/>
          </w:tcPr>
          <w:p w14:paraId="021060AD">
            <w:pPr>
              <w:spacing w:line="240" w:lineRule="auto"/>
              <w:jc w:val="both"/>
              <w:rPr>
                <w:rFonts w:hint="eastAsia" w:ascii="仿宋" w:hAnsi="仿宋" w:eastAsia="仿宋" w:cs="仿宋"/>
                <w:color w:val="auto"/>
                <w:kern w:val="0"/>
                <w:sz w:val="21"/>
                <w:szCs w:val="21"/>
              </w:rPr>
            </w:pPr>
          </w:p>
        </w:tc>
        <w:tc>
          <w:tcPr>
            <w:tcW w:w="1560" w:type="dxa"/>
            <w:vMerge w:val="continue"/>
            <w:noWrap w:val="0"/>
            <w:vAlign w:val="center"/>
          </w:tcPr>
          <w:p w14:paraId="343E914E">
            <w:pPr>
              <w:spacing w:line="240" w:lineRule="auto"/>
              <w:jc w:val="both"/>
              <w:rPr>
                <w:rFonts w:hint="eastAsia" w:ascii="仿宋" w:hAnsi="仿宋" w:eastAsia="仿宋" w:cs="仿宋"/>
                <w:color w:val="auto"/>
                <w:sz w:val="21"/>
                <w:szCs w:val="21"/>
                <w:lang w:val="zh-CN"/>
              </w:rPr>
            </w:pPr>
          </w:p>
        </w:tc>
        <w:tc>
          <w:tcPr>
            <w:tcW w:w="1984" w:type="dxa"/>
            <w:noWrap w:val="0"/>
            <w:vAlign w:val="center"/>
          </w:tcPr>
          <w:p w14:paraId="7A40E46E">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lang w:eastAsia="zh-CN"/>
              </w:rPr>
              <w:t>询比</w:t>
            </w:r>
            <w:r>
              <w:rPr>
                <w:rFonts w:hint="eastAsia" w:ascii="仿宋" w:hAnsi="仿宋" w:eastAsia="仿宋" w:cs="仿宋"/>
                <w:color w:val="auto"/>
                <w:kern w:val="0"/>
                <w:sz w:val="21"/>
                <w:szCs w:val="21"/>
              </w:rPr>
              <w:t>有效期</w:t>
            </w:r>
          </w:p>
        </w:tc>
        <w:tc>
          <w:tcPr>
            <w:tcW w:w="5409" w:type="dxa"/>
            <w:noWrap w:val="0"/>
            <w:vAlign w:val="center"/>
          </w:tcPr>
          <w:p w14:paraId="58A4FBC4">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响应文件及有关承诺文件有效期为提交响应文件截止时间起90天。</w:t>
            </w:r>
          </w:p>
        </w:tc>
      </w:tr>
    </w:tbl>
    <w:p w14:paraId="02C78D54">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（三）澄清有关问题。</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在对响应文件的有效性、完整性和响应程度进行审查时，可以要求供应商对响应文件中含义不明确、同类问题表述不一致或者有明显文字和计算错误的内容等作出必要的澄清、说明或者更正。供应商的澄清、说明或者更正不得超出响应文件的范围或者改变响应文件的实质性内容。</w:t>
      </w:r>
    </w:p>
    <w:p w14:paraId="3DB4335B">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（四）</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要求供应商澄清、说明或者更正响应文件应当以书面形式作出。供应商的澄清、说明或者更正应当由法定代表人（或其授权代表）或自然人（供应商为自然人）签署或者加盖公章。由授权代表签署的，应当附法定代表人授权书。供应商为自然人的，应当由本人签署并附身份证明。</w:t>
      </w:r>
    </w:p>
    <w:p w14:paraId="1F49071E">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（五）在</w:t>
      </w:r>
      <w:r>
        <w:rPr>
          <w:rFonts w:hint="eastAsia" w:ascii="仿宋" w:hAnsi="仿宋" w:eastAsia="仿宋" w:cs="仿宋"/>
          <w:color w:val="auto"/>
          <w:sz w:val="24"/>
          <w:szCs w:val="24"/>
          <w:lang w:eastAsia="zh-CN"/>
        </w:rPr>
        <w:t>采购</w:t>
      </w:r>
      <w:r>
        <w:rPr>
          <w:rFonts w:hint="eastAsia" w:ascii="仿宋" w:hAnsi="仿宋" w:eastAsia="仿宋" w:cs="仿宋"/>
          <w:color w:val="auto"/>
          <w:sz w:val="24"/>
          <w:szCs w:val="24"/>
        </w:rPr>
        <w:t>过程中</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任何一方不得向他人透露与</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有关的服务资料、价格或其他信息。</w:t>
      </w:r>
    </w:p>
    <w:p w14:paraId="649AD227">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六</w:t>
      </w:r>
      <w:r>
        <w:rPr>
          <w:rFonts w:hint="eastAsia" w:ascii="仿宋" w:hAnsi="仿宋" w:eastAsia="仿宋" w:cs="仿宋"/>
          <w:color w:val="auto"/>
          <w:sz w:val="24"/>
          <w:szCs w:val="24"/>
        </w:rPr>
        <w:t>）供应商在</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时作出的所有书面承诺须由法定代表人（或其授权代表）或自然人（供应商为自然人）签署。</w:t>
      </w:r>
    </w:p>
    <w:p w14:paraId="5914EDB5">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七</w:t>
      </w:r>
      <w:r>
        <w:rPr>
          <w:rFonts w:hint="eastAsia" w:ascii="仿宋" w:hAnsi="仿宋" w:eastAsia="仿宋" w:cs="仿宋"/>
          <w:color w:val="auto"/>
          <w:sz w:val="24"/>
          <w:szCs w:val="24"/>
        </w:rPr>
        <w:t>）</w:t>
      </w:r>
      <w:r>
        <w:rPr>
          <w:rFonts w:hint="eastAsia" w:ascii="仿宋" w:hAnsi="仿宋" w:eastAsia="仿宋" w:cs="仿宋"/>
          <w:color w:val="auto"/>
          <w:kern w:val="0"/>
          <w:sz w:val="24"/>
          <w:szCs w:val="24"/>
        </w:rPr>
        <w:t>综合评分法，是指响应文件满足</w:t>
      </w:r>
      <w:r>
        <w:rPr>
          <w:rFonts w:hint="eastAsia" w:ascii="仿宋" w:hAnsi="仿宋" w:eastAsia="仿宋" w:cs="仿宋"/>
          <w:color w:val="auto"/>
          <w:kern w:val="0"/>
          <w:sz w:val="24"/>
          <w:szCs w:val="24"/>
          <w:lang w:eastAsia="zh-CN"/>
        </w:rPr>
        <w:t>询比文件</w:t>
      </w:r>
      <w:r>
        <w:rPr>
          <w:rFonts w:hint="eastAsia" w:ascii="仿宋" w:hAnsi="仿宋" w:eastAsia="仿宋" w:cs="仿宋"/>
          <w:color w:val="auto"/>
          <w:kern w:val="0"/>
          <w:sz w:val="24"/>
          <w:szCs w:val="24"/>
        </w:rPr>
        <w:t>全部实质性要求且按照评审因素的量化指标评审得分最高的供应商为成交候选供应商的评审方法。供应商总得分为价格、服务、商务等评定因素分别按照相应权重值计算分项得分后相加，满分为100分</w:t>
      </w:r>
      <w:r>
        <w:rPr>
          <w:rFonts w:hint="eastAsia" w:ascii="仿宋" w:hAnsi="仿宋" w:eastAsia="仿宋" w:cs="仿宋"/>
          <w:color w:val="auto"/>
          <w:sz w:val="24"/>
          <w:szCs w:val="24"/>
        </w:rPr>
        <w:t>。</w:t>
      </w:r>
    </w:p>
    <w:p w14:paraId="0280E948">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八</w:t>
      </w: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各成员独立对每个有效响应（通过资格性审查、</w:t>
      </w:r>
      <w:r>
        <w:rPr>
          <w:rFonts w:hint="eastAsia" w:ascii="仿宋" w:hAnsi="仿宋" w:eastAsia="仿宋" w:cs="仿宋"/>
          <w:color w:val="auto"/>
          <w:kern w:val="0"/>
          <w:sz w:val="24"/>
          <w:szCs w:val="24"/>
        </w:rPr>
        <w:t>符合性审查的供应商</w:t>
      </w:r>
      <w:r>
        <w:rPr>
          <w:rFonts w:hint="eastAsia" w:ascii="仿宋" w:hAnsi="仿宋" w:eastAsia="仿宋" w:cs="仿宋"/>
          <w:color w:val="auto"/>
          <w:sz w:val="24"/>
          <w:szCs w:val="24"/>
        </w:rPr>
        <w:t>）的文件进行评价、打分，然后汇总每个供应商每项评分因素的得分，并根据综合评分情况按照评审得分由高到低顺序推荐3名以上成交候选供应商，并编写评审报告。若供应商的评审得分相同的，按照最后报价由低到高的顺序排列推荐。评审得分且最后报价相同的，按照服务指标优劣顺序排列推荐。以上都相同的，按商务条款的优劣顺序排列推荐。）</w:t>
      </w:r>
    </w:p>
    <w:p w14:paraId="452DBC73">
      <w:pPr>
        <w:pStyle w:val="5"/>
        <w:adjustRightInd w:val="0"/>
        <w:snapToGrid w:val="0"/>
        <w:spacing w:before="0" w:after="0" w:line="360" w:lineRule="auto"/>
        <w:ind w:firstLine="482" w:firstLineChars="200"/>
        <w:rPr>
          <w:rFonts w:hint="eastAsia" w:ascii="仿宋" w:hAnsi="仿宋" w:eastAsia="仿宋" w:cs="仿宋"/>
          <w:color w:val="auto"/>
          <w:sz w:val="24"/>
        </w:rPr>
      </w:pPr>
      <w:bookmarkStart w:id="80" w:name="_Toc17645"/>
      <w:bookmarkStart w:id="81" w:name="_Toc115126150"/>
      <w:bookmarkStart w:id="82" w:name="_Toc76462334"/>
      <w:r>
        <w:rPr>
          <w:rFonts w:hint="eastAsia" w:ascii="仿宋" w:hAnsi="仿宋" w:eastAsia="仿宋" w:cs="仿宋"/>
          <w:color w:val="auto"/>
          <w:sz w:val="24"/>
        </w:rPr>
        <w:t>二、评审标准</w:t>
      </w:r>
      <w:bookmarkEnd w:id="80"/>
      <w:bookmarkEnd w:id="81"/>
      <w:bookmarkEnd w:id="82"/>
    </w:p>
    <w:tbl>
      <w:tblPr>
        <w:tblStyle w:val="19"/>
        <w:tblW w:w="4913" w:type="pct"/>
        <w:tblInd w:w="0" w:type="dxa"/>
        <w:tblLayout w:type="fixed"/>
        <w:tblCellMar>
          <w:top w:w="0" w:type="dxa"/>
          <w:left w:w="108" w:type="dxa"/>
          <w:bottom w:w="0" w:type="dxa"/>
          <w:right w:w="108" w:type="dxa"/>
        </w:tblCellMar>
      </w:tblPr>
      <w:tblGrid>
        <w:gridCol w:w="729"/>
        <w:gridCol w:w="1185"/>
        <w:gridCol w:w="1241"/>
        <w:gridCol w:w="4933"/>
        <w:gridCol w:w="1372"/>
      </w:tblGrid>
      <w:tr w14:paraId="0A9FCC4B">
        <w:trPr>
          <w:trHeight w:val="955" w:hRule="atLeast"/>
        </w:trPr>
        <w:tc>
          <w:tcPr>
            <w:tcW w:w="385" w:type="pct"/>
            <w:tcBorders>
              <w:top w:val="single" w:color="000000" w:sz="4" w:space="0"/>
              <w:left w:val="single" w:color="000000" w:sz="4" w:space="0"/>
              <w:bottom w:val="single" w:color="000000" w:sz="4" w:space="0"/>
              <w:right w:val="single" w:color="000000" w:sz="4" w:space="0"/>
            </w:tcBorders>
            <w:noWrap w:val="0"/>
            <w:vAlign w:val="center"/>
          </w:tcPr>
          <w:p w14:paraId="728004BB">
            <w:pPr>
              <w:spacing w:line="240" w:lineRule="auto"/>
              <w:ind w:firstLine="0" w:firstLineChars="0"/>
              <w:jc w:val="center"/>
              <w:textAlignment w:val="center"/>
              <w:rPr>
                <w:rFonts w:hint="eastAsia" w:ascii="仿宋_GB2312" w:eastAsia="仿宋_GB2312" w:cs="仿宋"/>
                <w:color w:val="auto"/>
                <w:sz w:val="21"/>
                <w:szCs w:val="21"/>
              </w:rPr>
            </w:pPr>
            <w:bookmarkStart w:id="83" w:name="_Toc115126151"/>
            <w:bookmarkStart w:id="84" w:name="_Toc76462335"/>
            <w:r>
              <w:rPr>
                <w:rFonts w:hint="eastAsia" w:ascii="仿宋_GB2312" w:eastAsia="仿宋_GB2312" w:cs="仿宋"/>
                <w:color w:val="auto"/>
                <w:kern w:val="0"/>
                <w:sz w:val="21"/>
                <w:szCs w:val="21"/>
                <w:lang w:bidi="ar"/>
              </w:rPr>
              <w:t>序号</w:t>
            </w:r>
          </w:p>
        </w:tc>
        <w:tc>
          <w:tcPr>
            <w:tcW w:w="626" w:type="pct"/>
            <w:tcBorders>
              <w:top w:val="single" w:color="000000" w:sz="4" w:space="0"/>
              <w:left w:val="single" w:color="000000" w:sz="4" w:space="0"/>
              <w:bottom w:val="single" w:color="000000" w:sz="4" w:space="0"/>
              <w:right w:val="single" w:color="000000" w:sz="4" w:space="0"/>
            </w:tcBorders>
            <w:noWrap w:val="0"/>
            <w:vAlign w:val="center"/>
          </w:tcPr>
          <w:p w14:paraId="34683EAD">
            <w:pPr>
              <w:spacing w:line="240" w:lineRule="auto"/>
              <w:ind w:firstLine="0" w:firstLineChars="0"/>
              <w:jc w:val="center"/>
              <w:textAlignment w:val="center"/>
              <w:rPr>
                <w:rFonts w:hint="eastAsia" w:ascii="仿宋_GB2312" w:eastAsia="仿宋_GB2312" w:cs="仿宋"/>
                <w:color w:val="auto"/>
                <w:sz w:val="21"/>
                <w:szCs w:val="21"/>
              </w:rPr>
            </w:pPr>
            <w:r>
              <w:rPr>
                <w:rFonts w:hint="eastAsia" w:ascii="仿宋" w:hAnsi="仿宋" w:eastAsia="仿宋" w:cs="仿宋"/>
                <w:color w:val="auto"/>
                <w:sz w:val="21"/>
                <w:szCs w:val="21"/>
                <w:highlight w:val="none"/>
              </w:rPr>
              <w:t>评分因素及权重</w:t>
            </w:r>
          </w:p>
        </w:tc>
        <w:tc>
          <w:tcPr>
            <w:tcW w:w="655" w:type="pct"/>
            <w:tcBorders>
              <w:top w:val="single" w:color="000000" w:sz="4" w:space="0"/>
              <w:left w:val="single" w:color="000000" w:sz="4" w:space="0"/>
              <w:bottom w:val="single" w:color="000000" w:sz="4" w:space="0"/>
              <w:right w:val="single" w:color="000000" w:sz="4" w:space="0"/>
            </w:tcBorders>
            <w:noWrap w:val="0"/>
            <w:vAlign w:val="center"/>
          </w:tcPr>
          <w:p w14:paraId="4AB0DEF8">
            <w:pPr>
              <w:spacing w:line="240" w:lineRule="auto"/>
              <w:ind w:firstLine="0" w:firstLineChars="0"/>
              <w:jc w:val="center"/>
              <w:textAlignment w:val="center"/>
              <w:rPr>
                <w:rFonts w:hint="eastAsia" w:ascii="仿宋_GB2312" w:eastAsia="仿宋_GB2312" w:cs="仿宋"/>
                <w:color w:val="auto"/>
                <w:kern w:val="0"/>
                <w:sz w:val="21"/>
                <w:szCs w:val="21"/>
                <w:lang w:bidi="ar"/>
              </w:rPr>
            </w:pPr>
            <w:r>
              <w:rPr>
                <w:rFonts w:hint="eastAsia" w:ascii="仿宋_GB2312" w:eastAsia="仿宋_GB2312" w:cs="仿宋"/>
                <w:color w:val="auto"/>
                <w:kern w:val="0"/>
                <w:sz w:val="21"/>
                <w:szCs w:val="21"/>
                <w:lang w:bidi="ar"/>
              </w:rPr>
              <w:t>分值</w:t>
            </w:r>
          </w:p>
        </w:tc>
        <w:tc>
          <w:tcPr>
            <w:tcW w:w="2607" w:type="pct"/>
            <w:tcBorders>
              <w:top w:val="single" w:color="000000" w:sz="4" w:space="0"/>
              <w:left w:val="single" w:color="000000" w:sz="4" w:space="0"/>
              <w:bottom w:val="single" w:color="000000" w:sz="4" w:space="0"/>
              <w:right w:val="single" w:color="000000" w:sz="4" w:space="0"/>
            </w:tcBorders>
            <w:noWrap w:val="0"/>
            <w:vAlign w:val="center"/>
          </w:tcPr>
          <w:p w14:paraId="12CD5A02">
            <w:pPr>
              <w:spacing w:line="240" w:lineRule="auto"/>
              <w:ind w:firstLine="420"/>
              <w:jc w:val="center"/>
              <w:textAlignment w:val="center"/>
              <w:rPr>
                <w:rFonts w:hint="eastAsia" w:ascii="仿宋_GB2312" w:eastAsia="仿宋_GB2312" w:cs="仿宋"/>
                <w:color w:val="auto"/>
                <w:sz w:val="21"/>
                <w:szCs w:val="21"/>
              </w:rPr>
            </w:pPr>
            <w:r>
              <w:rPr>
                <w:rFonts w:hint="eastAsia" w:ascii="仿宋_GB2312" w:eastAsia="仿宋_GB2312" w:cs="仿宋"/>
                <w:color w:val="auto"/>
                <w:kern w:val="0"/>
                <w:sz w:val="21"/>
                <w:szCs w:val="21"/>
                <w:lang w:bidi="ar"/>
              </w:rPr>
              <w:t>评分标准</w:t>
            </w:r>
          </w:p>
        </w:tc>
        <w:tc>
          <w:tcPr>
            <w:tcW w:w="725" w:type="pct"/>
            <w:tcBorders>
              <w:top w:val="single" w:color="000000" w:sz="4" w:space="0"/>
              <w:left w:val="single" w:color="000000" w:sz="4" w:space="0"/>
              <w:bottom w:val="single" w:color="000000" w:sz="4" w:space="0"/>
              <w:right w:val="single" w:color="000000" w:sz="4" w:space="0"/>
            </w:tcBorders>
            <w:noWrap w:val="0"/>
            <w:vAlign w:val="center"/>
          </w:tcPr>
          <w:p w14:paraId="3523EBCC">
            <w:pPr>
              <w:spacing w:line="240" w:lineRule="auto"/>
              <w:ind w:firstLine="420"/>
              <w:jc w:val="center"/>
              <w:textAlignment w:val="center"/>
              <w:rPr>
                <w:rFonts w:hint="eastAsia" w:ascii="仿宋_GB2312" w:eastAsia="仿宋_GB2312" w:cs="仿宋"/>
                <w:color w:val="auto"/>
                <w:kern w:val="0"/>
                <w:sz w:val="21"/>
                <w:szCs w:val="21"/>
                <w:lang w:bidi="ar"/>
              </w:rPr>
            </w:pPr>
            <w:r>
              <w:rPr>
                <w:rFonts w:hint="eastAsia" w:ascii="仿宋" w:hAnsi="仿宋" w:eastAsia="仿宋" w:cs="仿宋"/>
                <w:color w:val="auto"/>
                <w:sz w:val="21"/>
                <w:szCs w:val="21"/>
                <w:highlight w:val="none"/>
              </w:rPr>
              <w:t>说明</w:t>
            </w:r>
          </w:p>
        </w:tc>
      </w:tr>
      <w:tr w14:paraId="72E7657B">
        <w:tblPrEx>
          <w:tblCellMar>
            <w:top w:w="0" w:type="dxa"/>
            <w:left w:w="108" w:type="dxa"/>
            <w:bottom w:w="0" w:type="dxa"/>
            <w:right w:w="108" w:type="dxa"/>
          </w:tblCellMar>
        </w:tblPrEx>
        <w:trPr>
          <w:trHeight w:val="657" w:hRule="atLeast"/>
        </w:trPr>
        <w:tc>
          <w:tcPr>
            <w:tcW w:w="385" w:type="pct"/>
            <w:tcBorders>
              <w:top w:val="single" w:color="000000" w:sz="4" w:space="0"/>
              <w:left w:val="single" w:color="000000" w:sz="4" w:space="0"/>
              <w:bottom w:val="single" w:color="000000" w:sz="4" w:space="0"/>
              <w:right w:val="single" w:color="000000" w:sz="4" w:space="0"/>
            </w:tcBorders>
            <w:noWrap w:val="0"/>
            <w:vAlign w:val="center"/>
          </w:tcPr>
          <w:p w14:paraId="4F49A25B">
            <w:pPr>
              <w:spacing w:line="240" w:lineRule="auto"/>
              <w:ind w:firstLine="199" w:firstLineChars="95"/>
              <w:jc w:val="center"/>
              <w:textAlignment w:val="center"/>
              <w:rPr>
                <w:rFonts w:hint="eastAsia" w:ascii="仿宋_GB2312" w:eastAsia="仿宋_GB2312" w:cs="仿宋"/>
                <w:color w:val="auto"/>
                <w:sz w:val="21"/>
                <w:szCs w:val="21"/>
              </w:rPr>
            </w:pPr>
            <w:r>
              <w:rPr>
                <w:rFonts w:hint="eastAsia" w:ascii="仿宋_GB2312" w:eastAsia="仿宋_GB2312" w:cs="仿宋"/>
                <w:color w:val="auto"/>
                <w:kern w:val="0"/>
                <w:sz w:val="21"/>
                <w:szCs w:val="21"/>
                <w:lang w:bidi="ar"/>
              </w:rPr>
              <w:t>1</w:t>
            </w:r>
          </w:p>
        </w:tc>
        <w:tc>
          <w:tcPr>
            <w:tcW w:w="626" w:type="pct"/>
            <w:tcBorders>
              <w:top w:val="single" w:color="000000" w:sz="4" w:space="0"/>
              <w:left w:val="single" w:color="000000" w:sz="4" w:space="0"/>
              <w:bottom w:val="single" w:color="000000" w:sz="4" w:space="0"/>
              <w:right w:val="single" w:color="000000" w:sz="4" w:space="0"/>
            </w:tcBorders>
            <w:noWrap w:val="0"/>
            <w:vAlign w:val="center"/>
          </w:tcPr>
          <w:p w14:paraId="7CCD3927">
            <w:pPr>
              <w:spacing w:line="240" w:lineRule="auto"/>
              <w:ind w:firstLine="0" w:firstLineChars="0"/>
              <w:jc w:val="center"/>
              <w:textAlignment w:val="center"/>
              <w:rPr>
                <w:rFonts w:hint="eastAsia" w:ascii="仿宋_GB2312" w:eastAsia="仿宋_GB2312" w:cs="仿宋"/>
                <w:color w:val="auto"/>
                <w:sz w:val="21"/>
                <w:szCs w:val="21"/>
                <w:lang w:eastAsia="zh-CN"/>
              </w:rPr>
            </w:pPr>
            <w:r>
              <w:rPr>
                <w:rFonts w:hint="eastAsia" w:ascii="仿宋_GB2312" w:eastAsia="仿宋_GB2312" w:cs="仿宋"/>
                <w:color w:val="auto"/>
                <w:kern w:val="0"/>
                <w:sz w:val="21"/>
                <w:szCs w:val="21"/>
                <w:lang w:bidi="ar"/>
              </w:rPr>
              <w:t>投标报价（</w:t>
            </w:r>
            <w:r>
              <w:rPr>
                <w:rFonts w:hint="eastAsia" w:ascii="仿宋_GB2312" w:eastAsia="仿宋_GB2312" w:cs="仿宋"/>
                <w:color w:val="auto"/>
                <w:kern w:val="0"/>
                <w:sz w:val="21"/>
                <w:szCs w:val="21"/>
                <w:lang w:val="en-US" w:eastAsia="zh-CN" w:bidi="ar"/>
              </w:rPr>
              <w:t>20</w:t>
            </w:r>
            <w:r>
              <w:rPr>
                <w:rFonts w:hint="eastAsia" w:ascii="仿宋_GB2312" w:eastAsia="仿宋_GB2312" w:cs="仿宋"/>
                <w:color w:val="auto"/>
                <w:kern w:val="0"/>
                <w:sz w:val="21"/>
                <w:szCs w:val="21"/>
                <w:lang w:bidi="ar"/>
              </w:rPr>
              <w:t>分）</w:t>
            </w:r>
          </w:p>
        </w:tc>
        <w:tc>
          <w:tcPr>
            <w:tcW w:w="655" w:type="pct"/>
            <w:tcBorders>
              <w:top w:val="single" w:color="000000" w:sz="4" w:space="0"/>
              <w:left w:val="single" w:color="000000" w:sz="4" w:space="0"/>
              <w:bottom w:val="single" w:color="000000" w:sz="4" w:space="0"/>
              <w:right w:val="single" w:color="000000" w:sz="4" w:space="0"/>
            </w:tcBorders>
            <w:noWrap w:val="0"/>
            <w:vAlign w:val="center"/>
          </w:tcPr>
          <w:p w14:paraId="493512F1">
            <w:pPr>
              <w:spacing w:line="240" w:lineRule="auto"/>
              <w:ind w:firstLine="0" w:firstLineChars="0"/>
              <w:jc w:val="center"/>
              <w:textAlignment w:val="center"/>
              <w:rPr>
                <w:rFonts w:hint="default" w:ascii="仿宋_GB2312" w:eastAsia="仿宋_GB2312" w:cs="仿宋"/>
                <w:color w:val="auto"/>
                <w:kern w:val="0"/>
                <w:sz w:val="21"/>
                <w:szCs w:val="21"/>
                <w:lang w:val="en-US" w:eastAsia="zh-CN" w:bidi="ar"/>
              </w:rPr>
            </w:pPr>
            <w:r>
              <w:rPr>
                <w:rFonts w:hint="eastAsia" w:ascii="仿宋_GB2312" w:eastAsia="仿宋_GB2312" w:cs="仿宋"/>
                <w:color w:val="auto"/>
                <w:kern w:val="0"/>
                <w:sz w:val="21"/>
                <w:szCs w:val="21"/>
                <w:lang w:val="en-US" w:eastAsia="zh-CN" w:bidi="ar"/>
              </w:rPr>
              <w:t>20分</w:t>
            </w:r>
          </w:p>
        </w:tc>
        <w:tc>
          <w:tcPr>
            <w:tcW w:w="2607" w:type="pct"/>
            <w:tcBorders>
              <w:top w:val="single" w:color="000000" w:sz="4" w:space="0"/>
              <w:left w:val="single" w:color="000000" w:sz="4" w:space="0"/>
              <w:bottom w:val="single" w:color="000000" w:sz="4" w:space="0"/>
              <w:right w:val="single" w:color="000000" w:sz="4" w:space="0"/>
            </w:tcBorders>
            <w:noWrap w:val="0"/>
            <w:vAlign w:val="center"/>
          </w:tcPr>
          <w:p w14:paraId="07D7A3B3">
            <w:pPr>
              <w:keepNext w:val="0"/>
              <w:keepLines w:val="0"/>
              <w:pageBreakBefore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有效的投标报价中的最低价为评标基准价，其价格分为满分。其他投标人的价格分统一按照下列公式计算：</w:t>
            </w:r>
          </w:p>
          <w:p w14:paraId="0977B2EC">
            <w:pPr>
              <w:pStyle w:val="3"/>
              <w:spacing w:line="240" w:lineRule="auto"/>
              <w:ind w:firstLine="420"/>
              <w:rPr>
                <w:rFonts w:hint="eastAsia" w:ascii="仿宋_GB2312" w:eastAsia="仿宋_GB2312" w:cs="仿宋"/>
                <w:color w:val="auto"/>
                <w:kern w:val="0"/>
                <w:sz w:val="21"/>
                <w:szCs w:val="21"/>
                <w:lang w:bidi="ar"/>
              </w:rPr>
            </w:pPr>
            <w:r>
              <w:rPr>
                <w:rFonts w:hint="eastAsia" w:ascii="仿宋" w:hAnsi="仿宋" w:eastAsia="仿宋" w:cs="仿宋"/>
                <w:color w:val="auto"/>
                <w:sz w:val="21"/>
                <w:szCs w:val="21"/>
                <w:highlight w:val="none"/>
              </w:rPr>
              <w:t>投标报价得分＝（评标基准价/投标报价）×价格权重×100。</w:t>
            </w:r>
          </w:p>
        </w:tc>
        <w:tc>
          <w:tcPr>
            <w:tcW w:w="725" w:type="pct"/>
            <w:tcBorders>
              <w:top w:val="single" w:color="000000" w:sz="4" w:space="0"/>
              <w:left w:val="single" w:color="000000" w:sz="4" w:space="0"/>
              <w:bottom w:val="single" w:color="000000" w:sz="4" w:space="0"/>
              <w:right w:val="single" w:color="000000" w:sz="4" w:space="0"/>
            </w:tcBorders>
            <w:noWrap w:val="0"/>
            <w:vAlign w:val="center"/>
          </w:tcPr>
          <w:p w14:paraId="4E4B1B16">
            <w:pPr>
              <w:pStyle w:val="3"/>
              <w:spacing w:line="240" w:lineRule="auto"/>
              <w:ind w:firstLine="420"/>
              <w:rPr>
                <w:rFonts w:hint="eastAsia" w:ascii="仿宋" w:hAnsi="仿宋" w:eastAsia="仿宋" w:cs="仿宋"/>
                <w:color w:val="auto"/>
                <w:sz w:val="21"/>
                <w:szCs w:val="21"/>
                <w:highlight w:val="none"/>
              </w:rPr>
            </w:pPr>
          </w:p>
        </w:tc>
      </w:tr>
      <w:tr w14:paraId="6F284924">
        <w:tblPrEx>
          <w:tblCellMar>
            <w:top w:w="0" w:type="dxa"/>
            <w:left w:w="108" w:type="dxa"/>
            <w:bottom w:w="0" w:type="dxa"/>
            <w:right w:w="108" w:type="dxa"/>
          </w:tblCellMar>
        </w:tblPrEx>
        <w:trPr>
          <w:trHeight w:val="1632" w:hRule="atLeast"/>
        </w:trPr>
        <w:tc>
          <w:tcPr>
            <w:tcW w:w="385" w:type="pct"/>
            <w:vMerge w:val="restart"/>
            <w:tcBorders>
              <w:top w:val="single" w:color="000000" w:sz="4" w:space="0"/>
              <w:left w:val="single" w:color="000000" w:sz="4" w:space="0"/>
              <w:bottom w:val="single" w:color="000000" w:sz="4" w:space="0"/>
              <w:right w:val="single" w:color="000000" w:sz="4" w:space="0"/>
            </w:tcBorders>
            <w:noWrap w:val="0"/>
            <w:vAlign w:val="center"/>
          </w:tcPr>
          <w:p w14:paraId="51B14251">
            <w:pPr>
              <w:spacing w:line="240" w:lineRule="auto"/>
              <w:ind w:firstLine="199" w:firstLineChars="95"/>
              <w:textAlignment w:val="center"/>
              <w:rPr>
                <w:rFonts w:hint="eastAsia" w:ascii="仿宋_GB2312" w:eastAsia="仿宋_GB2312" w:cs="仿宋"/>
                <w:color w:val="auto"/>
                <w:sz w:val="21"/>
                <w:szCs w:val="21"/>
                <w:lang w:eastAsia="zh-CN"/>
              </w:rPr>
            </w:pPr>
            <w:r>
              <w:rPr>
                <w:rFonts w:hint="eastAsia" w:ascii="仿宋_GB2312" w:eastAsia="仿宋_GB2312" w:cs="仿宋"/>
                <w:color w:val="auto"/>
                <w:sz w:val="21"/>
                <w:szCs w:val="21"/>
                <w:lang w:val="en-US" w:eastAsia="zh-CN"/>
              </w:rPr>
              <w:t>2</w:t>
            </w:r>
          </w:p>
        </w:tc>
        <w:tc>
          <w:tcPr>
            <w:tcW w:w="626" w:type="pct"/>
            <w:vMerge w:val="restart"/>
            <w:tcBorders>
              <w:top w:val="single" w:color="000000" w:sz="4" w:space="0"/>
              <w:left w:val="single" w:color="000000" w:sz="4" w:space="0"/>
              <w:right w:val="single" w:color="000000" w:sz="4" w:space="0"/>
            </w:tcBorders>
            <w:noWrap w:val="0"/>
            <w:vAlign w:val="center"/>
          </w:tcPr>
          <w:p w14:paraId="334F07B3">
            <w:pPr>
              <w:spacing w:line="240" w:lineRule="auto"/>
              <w:ind w:firstLine="0" w:firstLineChars="0"/>
              <w:textAlignment w:val="center"/>
              <w:rPr>
                <w:rFonts w:hint="eastAsia" w:ascii="仿宋_GB2312" w:eastAsia="仿宋_GB2312" w:cs="仿宋"/>
                <w:color w:val="auto"/>
                <w:sz w:val="21"/>
                <w:szCs w:val="21"/>
              </w:rPr>
            </w:pPr>
            <w:r>
              <w:rPr>
                <w:rFonts w:hint="eastAsia" w:ascii="仿宋_GB2312" w:eastAsia="仿宋_GB2312" w:cs="仿宋"/>
                <w:color w:val="auto"/>
                <w:kern w:val="0"/>
                <w:sz w:val="21"/>
                <w:szCs w:val="21"/>
                <w:lang w:eastAsia="zh-CN" w:bidi="ar"/>
              </w:rPr>
              <w:t>服务</w:t>
            </w:r>
            <w:r>
              <w:rPr>
                <w:rFonts w:hint="eastAsia" w:ascii="仿宋_GB2312" w:eastAsia="仿宋_GB2312" w:cs="仿宋"/>
                <w:color w:val="auto"/>
                <w:kern w:val="0"/>
                <w:sz w:val="21"/>
                <w:szCs w:val="21"/>
                <w:lang w:bidi="ar"/>
              </w:rPr>
              <w:t>部分（</w:t>
            </w:r>
            <w:r>
              <w:rPr>
                <w:rFonts w:hint="eastAsia" w:ascii="仿宋_GB2312" w:eastAsia="仿宋_GB2312" w:cs="仿宋"/>
                <w:color w:val="auto"/>
                <w:kern w:val="0"/>
                <w:sz w:val="21"/>
                <w:szCs w:val="21"/>
                <w:lang w:val="en-US" w:eastAsia="zh-CN" w:bidi="ar"/>
              </w:rPr>
              <w:t>65%</w:t>
            </w:r>
            <w:r>
              <w:rPr>
                <w:rFonts w:hint="eastAsia" w:ascii="仿宋_GB2312" w:eastAsia="仿宋_GB2312" w:cs="仿宋"/>
                <w:color w:val="auto"/>
                <w:kern w:val="0"/>
                <w:sz w:val="21"/>
                <w:szCs w:val="21"/>
                <w:lang w:bidi="ar"/>
              </w:rPr>
              <w:t>）</w:t>
            </w:r>
          </w:p>
        </w:tc>
        <w:tc>
          <w:tcPr>
            <w:tcW w:w="655" w:type="pct"/>
            <w:tcBorders>
              <w:top w:val="single" w:color="000000" w:sz="4" w:space="0"/>
              <w:left w:val="single" w:color="000000" w:sz="4" w:space="0"/>
              <w:bottom w:val="single" w:color="auto" w:sz="4" w:space="0"/>
              <w:right w:val="single" w:color="000000" w:sz="4" w:space="0"/>
            </w:tcBorders>
            <w:noWrap w:val="0"/>
            <w:vAlign w:val="center"/>
          </w:tcPr>
          <w:p w14:paraId="37A05761">
            <w:pPr>
              <w:spacing w:line="240" w:lineRule="auto"/>
              <w:jc w:val="left"/>
              <w:textAlignment w:val="top"/>
              <w:rPr>
                <w:rFonts w:hint="default"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15分</w:t>
            </w:r>
          </w:p>
        </w:tc>
        <w:tc>
          <w:tcPr>
            <w:tcW w:w="2607" w:type="pct"/>
            <w:tcBorders>
              <w:top w:val="single" w:color="000000" w:sz="4" w:space="0"/>
              <w:left w:val="single" w:color="000000" w:sz="4" w:space="0"/>
              <w:bottom w:val="single" w:color="auto" w:sz="4" w:space="0"/>
              <w:right w:val="single" w:color="000000" w:sz="4" w:space="0"/>
            </w:tcBorders>
            <w:noWrap w:val="0"/>
            <w:vAlign w:val="top"/>
          </w:tcPr>
          <w:p w14:paraId="2D353F55">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提供综合服务管理方案包括但不限于：</w:t>
            </w:r>
          </w:p>
          <w:p w14:paraId="03184843">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总体服务及沟通合作方案；食品安全及质量控制方案；服务质量管理方案；操作规程管理方案；安全作业管理方案；投诉处理方案；餐厅卫生管理方案（食品卫生，人员卫生，环境卫生，垃圾处理方案等）。</w:t>
            </w:r>
          </w:p>
          <w:p w14:paraId="3A972606">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方案内容不存在瑕疵得15分；</w:t>
            </w:r>
          </w:p>
          <w:p w14:paraId="04D42710">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方案内容存在1处瑕疵得12分；</w:t>
            </w:r>
          </w:p>
          <w:p w14:paraId="34FE566A">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方案内容存在2处瑕疵得8分；</w:t>
            </w:r>
          </w:p>
          <w:p w14:paraId="395DADF9">
            <w:pPr>
              <w:spacing w:line="240" w:lineRule="auto"/>
              <w:jc w:val="left"/>
              <w:textAlignment w:val="top"/>
              <w:rPr>
                <w:rFonts w:hint="default"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方案内容存在3处及以上瑕疵的5分；</w:t>
            </w:r>
          </w:p>
          <w:p w14:paraId="4F902155">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方案内容存在4处及以上瑕疵的或未提供得0分。</w:t>
            </w:r>
          </w:p>
        </w:tc>
        <w:tc>
          <w:tcPr>
            <w:tcW w:w="725" w:type="pct"/>
            <w:vMerge w:val="restart"/>
            <w:tcBorders>
              <w:top w:val="single" w:color="000000" w:sz="4" w:space="0"/>
              <w:left w:val="single" w:color="000000" w:sz="4" w:space="0"/>
              <w:right w:val="single" w:color="000000" w:sz="4" w:space="0"/>
            </w:tcBorders>
            <w:noWrap w:val="0"/>
            <w:vAlign w:val="top"/>
          </w:tcPr>
          <w:p w14:paraId="36FB90C7">
            <w:pPr>
              <w:keepNext w:val="0"/>
              <w:keepLines w:val="0"/>
              <w:pageBreakBefore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1"/>
                <w:szCs w:val="21"/>
                <w:highlight w:val="none"/>
                <w:lang w:val="en-US" w:eastAsia="en-US"/>
              </w:rPr>
            </w:pPr>
            <w:r>
              <w:rPr>
                <w:rFonts w:hint="eastAsia" w:ascii="仿宋" w:hAnsi="仿宋" w:eastAsia="仿宋" w:cs="仿宋"/>
                <w:color w:val="auto"/>
                <w:sz w:val="21"/>
                <w:szCs w:val="21"/>
                <w:highlight w:val="none"/>
                <w:lang w:val="en-US" w:eastAsia="en-US"/>
              </w:rPr>
              <w:t>投标人提供方案，格式自拟。</w:t>
            </w:r>
          </w:p>
          <w:p w14:paraId="6613EA96">
            <w:pPr>
              <w:keepNext w:val="0"/>
              <w:keepLines w:val="0"/>
              <w:pageBreakBefore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1"/>
                <w:szCs w:val="21"/>
                <w:highlight w:val="none"/>
                <w:lang w:val="en-US" w:eastAsia="en-US"/>
              </w:rPr>
            </w:pPr>
            <w:r>
              <w:rPr>
                <w:rFonts w:hint="eastAsia" w:ascii="仿宋" w:hAnsi="仿宋" w:eastAsia="仿宋" w:cs="仿宋"/>
                <w:color w:val="auto"/>
                <w:sz w:val="21"/>
                <w:szCs w:val="21"/>
                <w:highlight w:val="none"/>
                <w:lang w:val="en-US" w:eastAsia="en-US"/>
              </w:rPr>
              <w:t>注：</w:t>
            </w:r>
          </w:p>
          <w:p w14:paraId="79891A58">
            <w:pPr>
              <w:keepNext w:val="0"/>
              <w:keepLines w:val="0"/>
              <w:pageBreakBefore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1"/>
                <w:szCs w:val="21"/>
                <w:highlight w:val="none"/>
                <w:lang w:val="en-US" w:eastAsia="en-US"/>
              </w:rPr>
            </w:pPr>
            <w:r>
              <w:rPr>
                <w:rFonts w:hint="eastAsia" w:ascii="仿宋" w:hAnsi="仿宋" w:eastAsia="仿宋" w:cs="仿宋"/>
                <w:color w:val="auto"/>
                <w:sz w:val="21"/>
                <w:szCs w:val="21"/>
                <w:highlight w:val="none"/>
                <w:lang w:val="en-US" w:eastAsia="en-US"/>
              </w:rPr>
              <w:t>1.投标人提供的方案须建立在本项目使用场景之上，否则相关方案按0分处理。</w:t>
            </w:r>
          </w:p>
          <w:p w14:paraId="4C002B58">
            <w:pPr>
              <w:keepNext w:val="0"/>
              <w:keepLines w:val="0"/>
              <w:pageBreakBefore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1"/>
                <w:szCs w:val="21"/>
                <w:highlight w:val="none"/>
                <w:lang w:val="en-US" w:eastAsia="en-US"/>
              </w:rPr>
            </w:pPr>
            <w:r>
              <w:rPr>
                <w:rFonts w:hint="eastAsia" w:ascii="仿宋" w:hAnsi="仿宋" w:eastAsia="仿宋" w:cs="仿宋"/>
                <w:color w:val="auto"/>
                <w:sz w:val="21"/>
                <w:szCs w:val="21"/>
                <w:highlight w:val="none"/>
                <w:lang w:val="en-US" w:eastAsia="en-US"/>
              </w:rPr>
              <w:t>2.本项内容中所称的“瑕疵”：</w:t>
            </w:r>
          </w:p>
          <w:p w14:paraId="0C62075D">
            <w:pPr>
              <w:keepNext w:val="0"/>
              <w:keepLines w:val="0"/>
              <w:pageBreakBefore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1"/>
                <w:szCs w:val="21"/>
                <w:highlight w:val="none"/>
                <w:lang w:val="en-US" w:eastAsia="en-US"/>
              </w:rPr>
            </w:pPr>
            <w:r>
              <w:rPr>
                <w:rFonts w:hint="eastAsia" w:ascii="仿宋" w:hAnsi="仿宋" w:eastAsia="仿宋" w:cs="仿宋"/>
                <w:color w:val="auto"/>
                <w:sz w:val="21"/>
                <w:szCs w:val="21"/>
                <w:highlight w:val="none"/>
                <w:lang w:val="en-US" w:eastAsia="en-US"/>
              </w:rPr>
              <w:t>①内容表述不完整或缺少关键分析点；</w:t>
            </w:r>
          </w:p>
          <w:p w14:paraId="1E9558A7">
            <w:pPr>
              <w:keepNext w:val="0"/>
              <w:keepLines w:val="0"/>
              <w:pageBreakBefore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1"/>
                <w:szCs w:val="21"/>
                <w:highlight w:val="none"/>
                <w:lang w:val="en-US" w:eastAsia="en-US"/>
              </w:rPr>
            </w:pPr>
            <w:r>
              <w:rPr>
                <w:rFonts w:hint="eastAsia" w:ascii="仿宋" w:hAnsi="仿宋" w:eastAsia="仿宋" w:cs="仿宋"/>
                <w:color w:val="auto"/>
                <w:sz w:val="21"/>
                <w:szCs w:val="21"/>
                <w:highlight w:val="none"/>
                <w:lang w:val="en-US" w:eastAsia="en-US"/>
              </w:rPr>
              <w:t>②计划及措施不科学合理方案；</w:t>
            </w:r>
          </w:p>
          <w:p w14:paraId="117996F5">
            <w:pPr>
              <w:keepNext w:val="0"/>
              <w:keepLines w:val="0"/>
              <w:pageBreakBefore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1"/>
                <w:szCs w:val="21"/>
                <w:highlight w:val="none"/>
                <w:lang w:val="en-US" w:eastAsia="en-US"/>
              </w:rPr>
            </w:pPr>
            <w:r>
              <w:rPr>
                <w:rFonts w:hint="eastAsia" w:ascii="仿宋" w:hAnsi="仿宋" w:eastAsia="仿宋" w:cs="仿宋"/>
                <w:color w:val="auto"/>
                <w:sz w:val="21"/>
                <w:szCs w:val="21"/>
                <w:highlight w:val="none"/>
                <w:lang w:val="en-US" w:eastAsia="en-US"/>
              </w:rPr>
              <w:t>③内容表述前后矛盾、无连贯性、内容存在逻辑漏洞；</w:t>
            </w:r>
          </w:p>
          <w:p w14:paraId="4956EE9A">
            <w:pPr>
              <w:keepNext w:val="0"/>
              <w:keepLines w:val="0"/>
              <w:pageBreakBefore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1"/>
                <w:szCs w:val="21"/>
                <w:highlight w:val="none"/>
                <w:lang w:val="en-US" w:eastAsia="en-US"/>
              </w:rPr>
            </w:pPr>
            <w:r>
              <w:rPr>
                <w:rFonts w:hint="eastAsia" w:ascii="仿宋" w:hAnsi="仿宋" w:eastAsia="仿宋" w:cs="仿宋"/>
                <w:color w:val="auto"/>
                <w:sz w:val="21"/>
                <w:szCs w:val="21"/>
                <w:highlight w:val="none"/>
                <w:lang w:val="en-US" w:eastAsia="en-US"/>
              </w:rPr>
              <w:t>④常识性错误；</w:t>
            </w:r>
          </w:p>
          <w:p w14:paraId="1385EE18">
            <w:pPr>
              <w:keepNext w:val="0"/>
              <w:keepLines w:val="0"/>
              <w:pageBreakBefore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1"/>
                <w:szCs w:val="21"/>
                <w:highlight w:val="none"/>
                <w:lang w:val="en-US" w:eastAsia="en-US"/>
              </w:rPr>
            </w:pPr>
            <w:r>
              <w:rPr>
                <w:rFonts w:hint="eastAsia" w:ascii="仿宋" w:hAnsi="仿宋" w:eastAsia="仿宋" w:cs="仿宋"/>
                <w:color w:val="auto"/>
                <w:sz w:val="21"/>
                <w:szCs w:val="21"/>
                <w:highlight w:val="none"/>
                <w:lang w:val="en-US" w:eastAsia="en-US"/>
              </w:rPr>
              <w:t>⑤技术措施保障安排并不适用本项目特性或非专门针对本项目制定；</w:t>
            </w:r>
          </w:p>
          <w:p w14:paraId="1DD53019">
            <w:pPr>
              <w:keepNext w:val="0"/>
              <w:keepLines w:val="0"/>
              <w:pageBreakBefore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1"/>
                <w:szCs w:val="21"/>
                <w:highlight w:val="none"/>
                <w:lang w:val="en-US" w:eastAsia="en-US"/>
              </w:rPr>
            </w:pPr>
            <w:r>
              <w:rPr>
                <w:rFonts w:hint="eastAsia" w:ascii="仿宋" w:hAnsi="仿宋" w:eastAsia="仿宋" w:cs="仿宋"/>
                <w:color w:val="auto"/>
                <w:sz w:val="21"/>
                <w:szCs w:val="21"/>
                <w:highlight w:val="none"/>
                <w:lang w:val="en-US" w:eastAsia="en-US"/>
              </w:rPr>
              <w:t>⑥方案中提出的措施举措不利于本项目目标的实现；</w:t>
            </w:r>
          </w:p>
          <w:p w14:paraId="7C613F68">
            <w:pPr>
              <w:keepNext w:val="0"/>
              <w:keepLines w:val="0"/>
              <w:pageBreakBefore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1"/>
                <w:szCs w:val="21"/>
                <w:highlight w:val="none"/>
                <w:lang w:val="en-US" w:eastAsia="en-US"/>
              </w:rPr>
            </w:pPr>
            <w:r>
              <w:rPr>
                <w:rFonts w:hint="eastAsia" w:ascii="仿宋" w:hAnsi="仿宋" w:eastAsia="仿宋" w:cs="仿宋"/>
                <w:color w:val="auto"/>
                <w:sz w:val="21"/>
                <w:szCs w:val="21"/>
                <w:highlight w:val="none"/>
                <w:lang w:val="en-US" w:eastAsia="en-US"/>
              </w:rPr>
              <w:t>⑦现有技术条件下不可能实现采购目标；</w:t>
            </w:r>
          </w:p>
          <w:p w14:paraId="74D95A7B">
            <w:pPr>
              <w:spacing w:line="240" w:lineRule="auto"/>
              <w:jc w:val="left"/>
              <w:textAlignment w:val="top"/>
              <w:rPr>
                <w:rFonts w:hint="eastAsia" w:ascii="仿宋_GB2312" w:eastAsia="仿宋_GB2312" w:cs="仿宋"/>
                <w:color w:val="auto"/>
                <w:sz w:val="21"/>
                <w:szCs w:val="21"/>
              </w:rPr>
            </w:pPr>
            <w:r>
              <w:rPr>
                <w:rFonts w:hint="eastAsia" w:ascii="仿宋" w:hAnsi="仿宋" w:eastAsia="仿宋" w:cs="仿宋"/>
                <w:color w:val="auto"/>
                <w:sz w:val="21"/>
                <w:szCs w:val="21"/>
                <w:highlight w:val="none"/>
                <w:lang w:val="en-US" w:eastAsia="en-US"/>
              </w:rPr>
              <w:t>上述任意一种情形为1处瑕疵。</w:t>
            </w:r>
          </w:p>
        </w:tc>
      </w:tr>
      <w:tr w14:paraId="18FB2C2C">
        <w:tblPrEx>
          <w:tblCellMar>
            <w:top w:w="0" w:type="dxa"/>
            <w:left w:w="108" w:type="dxa"/>
            <w:bottom w:w="0" w:type="dxa"/>
            <w:right w:w="108" w:type="dxa"/>
          </w:tblCellMar>
        </w:tblPrEx>
        <w:trPr>
          <w:trHeight w:val="1747" w:hRule="atLeast"/>
        </w:trPr>
        <w:tc>
          <w:tcPr>
            <w:tcW w:w="385" w:type="pct"/>
            <w:vMerge w:val="continue"/>
            <w:tcBorders>
              <w:left w:val="single" w:color="000000" w:sz="4" w:space="0"/>
              <w:right w:val="single" w:color="000000" w:sz="4" w:space="0"/>
            </w:tcBorders>
            <w:noWrap w:val="0"/>
            <w:vAlign w:val="center"/>
          </w:tcPr>
          <w:p w14:paraId="1F3C0C7D">
            <w:pPr>
              <w:spacing w:line="240" w:lineRule="auto"/>
              <w:ind w:firstLine="420"/>
              <w:jc w:val="center"/>
              <w:textAlignment w:val="center"/>
              <w:rPr>
                <w:rFonts w:hint="eastAsia" w:ascii="仿宋_GB2312" w:eastAsia="仿宋_GB2312" w:cs="仿宋"/>
                <w:color w:val="auto"/>
                <w:sz w:val="21"/>
                <w:szCs w:val="21"/>
              </w:rPr>
            </w:pPr>
          </w:p>
        </w:tc>
        <w:tc>
          <w:tcPr>
            <w:tcW w:w="626" w:type="pct"/>
            <w:vMerge w:val="continue"/>
            <w:tcBorders>
              <w:left w:val="single" w:color="000000" w:sz="4" w:space="0"/>
              <w:right w:val="single" w:color="000000" w:sz="4" w:space="0"/>
            </w:tcBorders>
            <w:noWrap w:val="0"/>
            <w:vAlign w:val="center"/>
          </w:tcPr>
          <w:p w14:paraId="2CBF15B3">
            <w:pPr>
              <w:spacing w:line="240" w:lineRule="auto"/>
              <w:ind w:firstLine="0" w:firstLineChars="0"/>
              <w:textAlignment w:val="center"/>
              <w:rPr>
                <w:rFonts w:hint="eastAsia" w:ascii="仿宋_GB2312" w:eastAsia="仿宋_GB2312" w:cs="仿宋"/>
                <w:color w:val="auto"/>
                <w:sz w:val="21"/>
                <w:szCs w:val="21"/>
              </w:rPr>
            </w:pPr>
          </w:p>
        </w:tc>
        <w:tc>
          <w:tcPr>
            <w:tcW w:w="655" w:type="pct"/>
            <w:tcBorders>
              <w:top w:val="single" w:color="000000" w:sz="4" w:space="0"/>
              <w:left w:val="single" w:color="000000" w:sz="4" w:space="0"/>
              <w:bottom w:val="single" w:color="auto" w:sz="4" w:space="0"/>
              <w:right w:val="single" w:color="000000" w:sz="4" w:space="0"/>
            </w:tcBorders>
            <w:noWrap w:val="0"/>
            <w:vAlign w:val="center"/>
          </w:tcPr>
          <w:p w14:paraId="58D0FE99">
            <w:pPr>
              <w:spacing w:line="240" w:lineRule="auto"/>
              <w:jc w:val="left"/>
              <w:textAlignment w:val="top"/>
              <w:rPr>
                <w:rFonts w:hint="default"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10分</w:t>
            </w:r>
          </w:p>
        </w:tc>
        <w:tc>
          <w:tcPr>
            <w:tcW w:w="2607" w:type="pct"/>
            <w:tcBorders>
              <w:top w:val="single" w:color="000000" w:sz="4" w:space="0"/>
              <w:left w:val="single" w:color="000000" w:sz="4" w:space="0"/>
              <w:bottom w:val="single" w:color="auto" w:sz="4" w:space="0"/>
              <w:right w:val="single" w:color="000000" w:sz="4" w:space="0"/>
            </w:tcBorders>
            <w:noWrap w:val="0"/>
            <w:vAlign w:val="top"/>
          </w:tcPr>
          <w:p w14:paraId="4301EB96">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根据本项目实际情况，按照用餐标准，编辑用餐预案和分批次用餐的规则和时间等，根据预案的合理性、可行性及针对性进行评审。</w:t>
            </w:r>
          </w:p>
          <w:p w14:paraId="031F57E1">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方案内容不存在瑕疵得10分；</w:t>
            </w:r>
          </w:p>
          <w:p w14:paraId="7909ECA9">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方案内容存在1处瑕疵得6分；</w:t>
            </w:r>
          </w:p>
          <w:p w14:paraId="461E66FD">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方案内容存在2处瑕疵得3分；</w:t>
            </w:r>
          </w:p>
          <w:p w14:paraId="2A82F5C2">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方案内容存在4处及以上瑕疵的或未提供得0分。</w:t>
            </w:r>
          </w:p>
        </w:tc>
        <w:tc>
          <w:tcPr>
            <w:tcW w:w="725" w:type="pct"/>
            <w:vMerge w:val="continue"/>
            <w:tcBorders>
              <w:left w:val="single" w:color="000000" w:sz="4" w:space="0"/>
              <w:right w:val="single" w:color="000000" w:sz="4" w:space="0"/>
            </w:tcBorders>
            <w:noWrap w:val="0"/>
            <w:vAlign w:val="top"/>
          </w:tcPr>
          <w:p w14:paraId="6B88E27E">
            <w:pPr>
              <w:pStyle w:val="3"/>
              <w:spacing w:line="240" w:lineRule="auto"/>
              <w:rPr>
                <w:rFonts w:hint="eastAsia" w:ascii="仿宋_GB2312" w:eastAsia="仿宋_GB2312"/>
                <w:color w:val="auto"/>
                <w:lang w:val="en-US" w:eastAsia="zh-CN"/>
              </w:rPr>
            </w:pPr>
          </w:p>
        </w:tc>
      </w:tr>
      <w:tr w14:paraId="240B48CC">
        <w:tblPrEx>
          <w:tblCellMar>
            <w:top w:w="0" w:type="dxa"/>
            <w:left w:w="108" w:type="dxa"/>
            <w:bottom w:w="0" w:type="dxa"/>
            <w:right w:w="108" w:type="dxa"/>
          </w:tblCellMar>
        </w:tblPrEx>
        <w:trPr>
          <w:trHeight w:val="1317" w:hRule="atLeast"/>
        </w:trPr>
        <w:tc>
          <w:tcPr>
            <w:tcW w:w="385" w:type="pct"/>
            <w:vMerge w:val="continue"/>
            <w:tcBorders>
              <w:left w:val="single" w:color="000000" w:sz="4" w:space="0"/>
              <w:right w:val="single" w:color="000000" w:sz="4" w:space="0"/>
            </w:tcBorders>
            <w:noWrap w:val="0"/>
            <w:vAlign w:val="center"/>
          </w:tcPr>
          <w:p w14:paraId="134D8E2E">
            <w:pPr>
              <w:spacing w:line="240" w:lineRule="auto"/>
              <w:ind w:firstLine="420"/>
              <w:jc w:val="center"/>
              <w:textAlignment w:val="center"/>
              <w:rPr>
                <w:rFonts w:hint="eastAsia" w:ascii="仿宋_GB2312" w:eastAsia="仿宋_GB2312" w:cs="仿宋"/>
                <w:color w:val="auto"/>
                <w:sz w:val="21"/>
                <w:szCs w:val="21"/>
              </w:rPr>
            </w:pPr>
          </w:p>
        </w:tc>
        <w:tc>
          <w:tcPr>
            <w:tcW w:w="626" w:type="pct"/>
            <w:vMerge w:val="continue"/>
            <w:tcBorders>
              <w:left w:val="single" w:color="000000" w:sz="4" w:space="0"/>
              <w:right w:val="single" w:color="000000" w:sz="4" w:space="0"/>
            </w:tcBorders>
            <w:noWrap w:val="0"/>
            <w:vAlign w:val="center"/>
          </w:tcPr>
          <w:p w14:paraId="154C6574">
            <w:pPr>
              <w:spacing w:line="240" w:lineRule="auto"/>
              <w:ind w:firstLine="0" w:firstLineChars="0"/>
              <w:textAlignment w:val="center"/>
              <w:rPr>
                <w:rFonts w:hint="eastAsia" w:ascii="仿宋_GB2312" w:eastAsia="仿宋_GB2312" w:cs="仿宋"/>
                <w:color w:val="auto"/>
                <w:sz w:val="21"/>
                <w:szCs w:val="21"/>
              </w:rPr>
            </w:pPr>
          </w:p>
        </w:tc>
        <w:tc>
          <w:tcPr>
            <w:tcW w:w="655" w:type="pct"/>
            <w:tcBorders>
              <w:top w:val="single" w:color="000000" w:sz="4" w:space="0"/>
              <w:left w:val="single" w:color="000000" w:sz="4" w:space="0"/>
              <w:bottom w:val="single" w:color="auto" w:sz="4" w:space="0"/>
              <w:right w:val="single" w:color="000000" w:sz="4" w:space="0"/>
            </w:tcBorders>
            <w:noWrap w:val="0"/>
            <w:vAlign w:val="center"/>
          </w:tcPr>
          <w:p w14:paraId="37F78191">
            <w:pPr>
              <w:spacing w:line="240" w:lineRule="auto"/>
              <w:jc w:val="left"/>
              <w:textAlignment w:val="top"/>
              <w:rPr>
                <w:rFonts w:hint="default"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10分</w:t>
            </w:r>
          </w:p>
        </w:tc>
        <w:tc>
          <w:tcPr>
            <w:tcW w:w="2607" w:type="pct"/>
            <w:tcBorders>
              <w:top w:val="single" w:color="000000" w:sz="4" w:space="0"/>
              <w:left w:val="single" w:color="000000" w:sz="4" w:space="0"/>
              <w:bottom w:val="single" w:color="auto" w:sz="4" w:space="0"/>
              <w:right w:val="single" w:color="000000" w:sz="4" w:space="0"/>
            </w:tcBorders>
            <w:noWrap w:val="0"/>
            <w:vAlign w:val="top"/>
          </w:tcPr>
          <w:p w14:paraId="7D66D5AA">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根据本项目实际情况，设计菜谱情况，内容包含但不限于菜单多样化设计、营养均衡搭配方案、特殊饮食方案（低脂/低糖餐、过敏人群餐等）、日常配餐搭配方案、季节性调整方案等内容。</w:t>
            </w:r>
          </w:p>
          <w:p w14:paraId="3E643E94">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方案内容不存在瑕疵得10分；</w:t>
            </w:r>
          </w:p>
          <w:p w14:paraId="6BC6B627">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方案内容存在1处瑕疵得6分；</w:t>
            </w:r>
          </w:p>
          <w:p w14:paraId="462F8CB9">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方案内容存在2处瑕疵得3分；</w:t>
            </w:r>
          </w:p>
          <w:p w14:paraId="6622B014">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方案内容存在4处及以上瑕疵的或未提供得0分。</w:t>
            </w:r>
          </w:p>
        </w:tc>
        <w:tc>
          <w:tcPr>
            <w:tcW w:w="725" w:type="pct"/>
            <w:vMerge w:val="continue"/>
            <w:tcBorders>
              <w:left w:val="single" w:color="000000" w:sz="4" w:space="0"/>
              <w:right w:val="single" w:color="000000" w:sz="4" w:space="0"/>
            </w:tcBorders>
            <w:noWrap w:val="0"/>
            <w:vAlign w:val="top"/>
          </w:tcPr>
          <w:p w14:paraId="412398A8">
            <w:pPr>
              <w:spacing w:line="240" w:lineRule="auto"/>
              <w:jc w:val="left"/>
              <w:textAlignment w:val="top"/>
              <w:rPr>
                <w:rFonts w:hint="eastAsia" w:ascii="仿宋_GB2312" w:eastAsia="仿宋_GB2312" w:cs="仿宋"/>
                <w:color w:val="auto"/>
                <w:sz w:val="21"/>
                <w:szCs w:val="21"/>
                <w:lang w:val="en-US" w:eastAsia="zh-CN"/>
              </w:rPr>
            </w:pPr>
          </w:p>
        </w:tc>
      </w:tr>
      <w:tr w14:paraId="0AA76299">
        <w:tblPrEx>
          <w:tblCellMar>
            <w:top w:w="0" w:type="dxa"/>
            <w:left w:w="108" w:type="dxa"/>
            <w:bottom w:w="0" w:type="dxa"/>
            <w:right w:w="108" w:type="dxa"/>
          </w:tblCellMar>
        </w:tblPrEx>
        <w:trPr>
          <w:trHeight w:val="1489" w:hRule="atLeast"/>
        </w:trPr>
        <w:tc>
          <w:tcPr>
            <w:tcW w:w="385" w:type="pct"/>
            <w:vMerge w:val="continue"/>
            <w:tcBorders>
              <w:left w:val="single" w:color="000000" w:sz="4" w:space="0"/>
              <w:right w:val="single" w:color="000000" w:sz="4" w:space="0"/>
            </w:tcBorders>
            <w:noWrap w:val="0"/>
            <w:vAlign w:val="center"/>
          </w:tcPr>
          <w:p w14:paraId="437E149C">
            <w:pPr>
              <w:spacing w:line="240" w:lineRule="auto"/>
              <w:ind w:firstLine="420"/>
              <w:jc w:val="center"/>
              <w:textAlignment w:val="center"/>
              <w:rPr>
                <w:rFonts w:hint="eastAsia" w:ascii="仿宋_GB2312" w:eastAsia="仿宋_GB2312" w:cs="仿宋"/>
                <w:color w:val="auto"/>
                <w:sz w:val="21"/>
                <w:szCs w:val="21"/>
              </w:rPr>
            </w:pPr>
          </w:p>
        </w:tc>
        <w:tc>
          <w:tcPr>
            <w:tcW w:w="626" w:type="pct"/>
            <w:vMerge w:val="continue"/>
            <w:tcBorders>
              <w:left w:val="single" w:color="000000" w:sz="4" w:space="0"/>
              <w:right w:val="single" w:color="000000" w:sz="4" w:space="0"/>
            </w:tcBorders>
            <w:noWrap w:val="0"/>
            <w:vAlign w:val="center"/>
          </w:tcPr>
          <w:p w14:paraId="27B29846">
            <w:pPr>
              <w:spacing w:line="240" w:lineRule="auto"/>
              <w:ind w:firstLine="0" w:firstLineChars="0"/>
              <w:textAlignment w:val="center"/>
              <w:rPr>
                <w:rFonts w:hint="eastAsia" w:ascii="仿宋_GB2312" w:eastAsia="仿宋_GB2312" w:cs="仿宋"/>
                <w:color w:val="auto"/>
                <w:sz w:val="21"/>
                <w:szCs w:val="21"/>
              </w:rPr>
            </w:pPr>
          </w:p>
        </w:tc>
        <w:tc>
          <w:tcPr>
            <w:tcW w:w="655" w:type="pct"/>
            <w:tcBorders>
              <w:top w:val="single" w:color="auto" w:sz="4" w:space="0"/>
              <w:left w:val="single" w:color="000000" w:sz="4" w:space="0"/>
              <w:bottom w:val="single" w:color="000000" w:sz="4" w:space="0"/>
              <w:right w:val="single" w:color="000000" w:sz="4" w:space="0"/>
            </w:tcBorders>
            <w:noWrap w:val="0"/>
            <w:vAlign w:val="center"/>
          </w:tcPr>
          <w:p w14:paraId="0DA92CFE">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10分</w:t>
            </w:r>
          </w:p>
        </w:tc>
        <w:tc>
          <w:tcPr>
            <w:tcW w:w="2607" w:type="pct"/>
            <w:tcBorders>
              <w:top w:val="single" w:color="auto" w:sz="4" w:space="0"/>
              <w:left w:val="single" w:color="000000" w:sz="4" w:space="0"/>
              <w:right w:val="single" w:color="000000" w:sz="4" w:space="0"/>
            </w:tcBorders>
            <w:noWrap w:val="0"/>
            <w:vAlign w:val="top"/>
          </w:tcPr>
          <w:p w14:paraId="26EEE351">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根据本项目实际情况，编制符合本项目实际情况的成本控制方案，内容包含但不限于实施方案、能源节约措施等内容。</w:t>
            </w:r>
          </w:p>
          <w:p w14:paraId="07BAE9EA">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方案内容不存在瑕疵得10分；</w:t>
            </w:r>
          </w:p>
          <w:p w14:paraId="7C0C6475">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方案内容存在1处瑕疵得6分；</w:t>
            </w:r>
          </w:p>
          <w:p w14:paraId="27C73418">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方案内容存在2处瑕疵得3分；</w:t>
            </w:r>
          </w:p>
          <w:p w14:paraId="7DF7A863">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方案内容存在4处及以上瑕疵的或未提供得0分。</w:t>
            </w:r>
          </w:p>
        </w:tc>
        <w:tc>
          <w:tcPr>
            <w:tcW w:w="725" w:type="pct"/>
            <w:vMerge w:val="continue"/>
            <w:tcBorders>
              <w:left w:val="single" w:color="000000" w:sz="4" w:space="0"/>
              <w:right w:val="single" w:color="000000" w:sz="4" w:space="0"/>
            </w:tcBorders>
            <w:noWrap w:val="0"/>
            <w:vAlign w:val="top"/>
          </w:tcPr>
          <w:p w14:paraId="6CD338D9">
            <w:pPr>
              <w:spacing w:line="240" w:lineRule="auto"/>
              <w:jc w:val="left"/>
              <w:textAlignment w:val="top"/>
              <w:rPr>
                <w:rFonts w:hint="eastAsia" w:ascii="仿宋_GB2312" w:eastAsia="仿宋_GB2312" w:cs="仿宋"/>
                <w:color w:val="auto"/>
                <w:sz w:val="21"/>
                <w:szCs w:val="21"/>
                <w:lang w:val="en-US" w:eastAsia="zh-CN"/>
              </w:rPr>
            </w:pPr>
          </w:p>
        </w:tc>
      </w:tr>
      <w:tr w14:paraId="6138B2F1">
        <w:tblPrEx>
          <w:tblCellMar>
            <w:top w:w="0" w:type="dxa"/>
            <w:left w:w="108" w:type="dxa"/>
            <w:bottom w:w="0" w:type="dxa"/>
            <w:right w:w="108" w:type="dxa"/>
          </w:tblCellMar>
        </w:tblPrEx>
        <w:trPr>
          <w:trHeight w:val="2224" w:hRule="atLeast"/>
        </w:trPr>
        <w:tc>
          <w:tcPr>
            <w:tcW w:w="385" w:type="pct"/>
            <w:vMerge w:val="continue"/>
            <w:tcBorders>
              <w:top w:val="single" w:color="000000" w:sz="4" w:space="0"/>
              <w:left w:val="single" w:color="000000" w:sz="4" w:space="0"/>
              <w:bottom w:val="single" w:color="000000" w:sz="4" w:space="0"/>
              <w:right w:val="single" w:color="000000" w:sz="4" w:space="0"/>
            </w:tcBorders>
            <w:noWrap w:val="0"/>
            <w:vAlign w:val="center"/>
          </w:tcPr>
          <w:p w14:paraId="66A8210A">
            <w:pPr>
              <w:spacing w:line="240" w:lineRule="auto"/>
              <w:ind w:firstLine="420"/>
              <w:jc w:val="center"/>
              <w:rPr>
                <w:rFonts w:hint="eastAsia" w:ascii="仿宋_GB2312" w:eastAsia="仿宋_GB2312" w:cs="仿宋"/>
                <w:color w:val="auto"/>
                <w:sz w:val="21"/>
                <w:szCs w:val="21"/>
              </w:rPr>
            </w:pPr>
          </w:p>
        </w:tc>
        <w:tc>
          <w:tcPr>
            <w:tcW w:w="626" w:type="pct"/>
            <w:vMerge w:val="continue"/>
            <w:tcBorders>
              <w:left w:val="single" w:color="000000" w:sz="4" w:space="0"/>
              <w:right w:val="single" w:color="000000" w:sz="4" w:space="0"/>
            </w:tcBorders>
            <w:noWrap w:val="0"/>
            <w:vAlign w:val="center"/>
          </w:tcPr>
          <w:p w14:paraId="287D6C2F">
            <w:pPr>
              <w:spacing w:line="240" w:lineRule="auto"/>
              <w:ind w:firstLine="0" w:firstLineChars="0"/>
              <w:textAlignment w:val="center"/>
              <w:rPr>
                <w:rFonts w:hint="eastAsia" w:ascii="仿宋_GB2312" w:eastAsia="仿宋_GB2312" w:cs="仿宋"/>
                <w:color w:val="auto"/>
                <w:sz w:val="21"/>
                <w:szCs w:val="21"/>
              </w:rPr>
            </w:pPr>
          </w:p>
        </w:tc>
        <w:tc>
          <w:tcPr>
            <w:tcW w:w="655" w:type="pct"/>
            <w:tcBorders>
              <w:top w:val="single" w:color="000000" w:sz="4" w:space="0"/>
              <w:left w:val="single" w:color="000000" w:sz="4" w:space="0"/>
              <w:bottom w:val="single" w:color="auto" w:sz="4" w:space="0"/>
              <w:right w:val="single" w:color="000000" w:sz="4" w:space="0"/>
            </w:tcBorders>
            <w:noWrap w:val="0"/>
            <w:vAlign w:val="center"/>
          </w:tcPr>
          <w:p w14:paraId="5A524DF2">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10分</w:t>
            </w:r>
          </w:p>
        </w:tc>
        <w:tc>
          <w:tcPr>
            <w:tcW w:w="2607" w:type="pct"/>
            <w:tcBorders>
              <w:top w:val="single" w:color="000000" w:sz="4" w:space="0"/>
              <w:left w:val="single" w:color="000000" w:sz="4" w:space="0"/>
              <w:bottom w:val="single" w:color="000000" w:sz="4" w:space="0"/>
              <w:right w:val="single" w:color="000000" w:sz="4" w:space="0"/>
            </w:tcBorders>
            <w:noWrap w:val="0"/>
            <w:vAlign w:val="top"/>
          </w:tcPr>
          <w:p w14:paraId="200C3937">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根据本项目实际情况，编制符合本项目实际情况的食品安全措施及应急方案，内容包含但不限于食品加工流程、食品安全事故处理流程、备用供餐方案、食品安全应急预案等内容。</w:t>
            </w:r>
          </w:p>
          <w:p w14:paraId="76405DC6">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方案内容不存在瑕疵得10分；</w:t>
            </w:r>
          </w:p>
          <w:p w14:paraId="0DB39337">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方案内容存在1处瑕疵得6分；</w:t>
            </w:r>
          </w:p>
          <w:p w14:paraId="47210C2A">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方案内容存在2处瑕疵得3分；</w:t>
            </w:r>
          </w:p>
          <w:p w14:paraId="558415C5">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方案内容存在4处及以上瑕疵的或未提供得0分。</w:t>
            </w:r>
          </w:p>
        </w:tc>
        <w:tc>
          <w:tcPr>
            <w:tcW w:w="725" w:type="pct"/>
            <w:vMerge w:val="continue"/>
            <w:tcBorders>
              <w:left w:val="single" w:color="000000" w:sz="4" w:space="0"/>
              <w:right w:val="single" w:color="000000" w:sz="4" w:space="0"/>
            </w:tcBorders>
            <w:noWrap w:val="0"/>
            <w:vAlign w:val="top"/>
          </w:tcPr>
          <w:p w14:paraId="4B5AC8E1">
            <w:pPr>
              <w:spacing w:line="240" w:lineRule="auto"/>
              <w:jc w:val="left"/>
              <w:textAlignment w:val="top"/>
              <w:rPr>
                <w:rFonts w:hint="eastAsia" w:ascii="仿宋_GB2312" w:eastAsia="仿宋_GB2312" w:cs="仿宋"/>
                <w:color w:val="auto"/>
                <w:sz w:val="21"/>
                <w:szCs w:val="21"/>
                <w:lang w:val="en-US" w:eastAsia="zh-CN"/>
              </w:rPr>
            </w:pPr>
          </w:p>
        </w:tc>
      </w:tr>
      <w:tr w14:paraId="1A581622">
        <w:tblPrEx>
          <w:tblCellMar>
            <w:top w:w="0" w:type="dxa"/>
            <w:left w:w="108" w:type="dxa"/>
            <w:bottom w:w="0" w:type="dxa"/>
            <w:right w:w="108" w:type="dxa"/>
          </w:tblCellMar>
        </w:tblPrEx>
        <w:trPr>
          <w:trHeight w:val="2089" w:hRule="atLeast"/>
        </w:trPr>
        <w:tc>
          <w:tcPr>
            <w:tcW w:w="385" w:type="pct"/>
            <w:vMerge w:val="continue"/>
            <w:tcBorders>
              <w:top w:val="single" w:color="000000" w:sz="4" w:space="0"/>
              <w:left w:val="single" w:color="000000" w:sz="4" w:space="0"/>
              <w:bottom w:val="single" w:color="000000" w:sz="4" w:space="0"/>
              <w:right w:val="single" w:color="000000" w:sz="4" w:space="0"/>
            </w:tcBorders>
            <w:noWrap w:val="0"/>
            <w:vAlign w:val="center"/>
          </w:tcPr>
          <w:p w14:paraId="08CC6914">
            <w:pPr>
              <w:spacing w:line="240" w:lineRule="auto"/>
              <w:ind w:firstLine="420"/>
              <w:jc w:val="center"/>
              <w:rPr>
                <w:rFonts w:hint="eastAsia" w:ascii="仿宋_GB2312" w:eastAsia="仿宋_GB2312" w:cs="仿宋"/>
                <w:color w:val="auto"/>
                <w:sz w:val="21"/>
                <w:szCs w:val="21"/>
              </w:rPr>
            </w:pPr>
          </w:p>
        </w:tc>
        <w:tc>
          <w:tcPr>
            <w:tcW w:w="626" w:type="pct"/>
            <w:vMerge w:val="continue"/>
            <w:tcBorders>
              <w:left w:val="single" w:color="000000" w:sz="4" w:space="0"/>
              <w:bottom w:val="single" w:color="000000" w:sz="4" w:space="0"/>
              <w:right w:val="single" w:color="000000" w:sz="4" w:space="0"/>
            </w:tcBorders>
            <w:noWrap w:val="0"/>
            <w:vAlign w:val="center"/>
          </w:tcPr>
          <w:p w14:paraId="2C36566C">
            <w:pPr>
              <w:spacing w:line="240" w:lineRule="auto"/>
              <w:ind w:firstLine="0" w:firstLineChars="0"/>
              <w:textAlignment w:val="center"/>
              <w:rPr>
                <w:rFonts w:hint="eastAsia" w:ascii="仿宋_GB2312" w:eastAsia="仿宋_GB2312" w:cs="仿宋"/>
                <w:color w:val="auto"/>
                <w:sz w:val="21"/>
                <w:szCs w:val="21"/>
              </w:rPr>
            </w:pPr>
          </w:p>
        </w:tc>
        <w:tc>
          <w:tcPr>
            <w:tcW w:w="655" w:type="pct"/>
            <w:tcBorders>
              <w:top w:val="single" w:color="000000" w:sz="4" w:space="0"/>
              <w:left w:val="single" w:color="000000" w:sz="4" w:space="0"/>
              <w:bottom w:val="single" w:color="auto" w:sz="4" w:space="0"/>
              <w:right w:val="single" w:color="000000" w:sz="4" w:space="0"/>
            </w:tcBorders>
            <w:noWrap w:val="0"/>
            <w:vAlign w:val="center"/>
          </w:tcPr>
          <w:p w14:paraId="0AA474AF">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eastAsia" w:ascii="仿宋_GB2312" w:hAnsi="Times New Roman" w:eastAsia="仿宋_GB2312" w:cs="仿宋"/>
                <w:color w:val="auto"/>
                <w:sz w:val="21"/>
                <w:szCs w:val="21"/>
                <w:lang w:val="en-US" w:eastAsia="zh-CN"/>
              </w:rPr>
            </w:pPr>
            <w:r>
              <w:rPr>
                <w:rFonts w:hint="eastAsia" w:ascii="仿宋" w:hAnsi="仿宋" w:eastAsia="仿宋" w:cs="仿宋"/>
                <w:color w:val="auto"/>
                <w:sz w:val="21"/>
                <w:szCs w:val="21"/>
                <w:highlight w:val="none"/>
                <w:lang w:val="en-US" w:eastAsia="zh-CN"/>
              </w:rPr>
              <w:t>10分</w:t>
            </w:r>
          </w:p>
        </w:tc>
        <w:tc>
          <w:tcPr>
            <w:tcW w:w="2607" w:type="pct"/>
            <w:tcBorders>
              <w:top w:val="single" w:color="000000" w:sz="4" w:space="0"/>
              <w:left w:val="single" w:color="000000" w:sz="4" w:space="0"/>
              <w:bottom w:val="single" w:color="000000" w:sz="4" w:space="0"/>
              <w:right w:val="single" w:color="000000" w:sz="4" w:space="0"/>
            </w:tcBorders>
            <w:noWrap w:val="0"/>
            <w:vAlign w:val="center"/>
          </w:tcPr>
          <w:p w14:paraId="3A328EF9">
            <w:pPr>
              <w:keepNext w:val="0"/>
              <w:keepLines w:val="0"/>
              <w:pageBreakBefore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提供</w:t>
            </w:r>
            <w:r>
              <w:rPr>
                <w:rFonts w:hint="eastAsia" w:ascii="仿宋" w:hAnsi="仿宋" w:eastAsia="仿宋" w:cs="仿宋"/>
                <w:color w:val="auto"/>
                <w:sz w:val="21"/>
                <w:szCs w:val="21"/>
                <w:highlight w:val="none"/>
                <w:lang w:val="en-US" w:eastAsia="en-US"/>
              </w:rPr>
              <w:t>针对本项目的人员管理方案</w:t>
            </w:r>
            <w:r>
              <w:rPr>
                <w:rFonts w:hint="eastAsia" w:ascii="仿宋" w:hAnsi="仿宋" w:eastAsia="仿宋" w:cs="仿宋"/>
                <w:color w:val="auto"/>
                <w:sz w:val="21"/>
                <w:szCs w:val="21"/>
                <w:highlight w:val="none"/>
                <w:lang w:val="en-US" w:eastAsia="zh-CN"/>
              </w:rPr>
              <w:t>，内容应包含岗位设置、岗位职责及工作内容、人员招募、配备、教育培训、上岗，从业人员管理规定、奖惩考核办法等。</w:t>
            </w:r>
          </w:p>
          <w:p w14:paraId="442BF571">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方案内容不存在瑕疵得10分；</w:t>
            </w:r>
          </w:p>
          <w:p w14:paraId="0CC20182">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方案内容存在1处瑕疵得6分；</w:t>
            </w:r>
          </w:p>
          <w:p w14:paraId="7CD4E071">
            <w:pPr>
              <w:spacing w:line="240" w:lineRule="auto"/>
              <w:jc w:val="left"/>
              <w:textAlignment w:val="top"/>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方案内容存在2处瑕疵得3分；</w:t>
            </w:r>
          </w:p>
          <w:p w14:paraId="6D0319FD">
            <w:pPr>
              <w:keepNext w:val="0"/>
              <w:keepLines w:val="0"/>
              <w:pageBreakBefore w:val="0"/>
              <w:kinsoku/>
              <w:wordWrap/>
              <w:overflowPunct/>
              <w:topLinePunct w:val="0"/>
              <w:autoSpaceDE/>
              <w:autoSpaceDN/>
              <w:bidi w:val="0"/>
              <w:adjustRightInd/>
              <w:snapToGrid/>
              <w:spacing w:line="240" w:lineRule="auto"/>
              <w:ind w:firstLine="0" w:firstLineChars="0"/>
              <w:textAlignment w:val="auto"/>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方案内容存在4处及以上瑕疵的或未提供得0分。</w:t>
            </w:r>
          </w:p>
        </w:tc>
        <w:tc>
          <w:tcPr>
            <w:tcW w:w="725" w:type="pct"/>
            <w:vMerge w:val="continue"/>
            <w:tcBorders>
              <w:left w:val="single" w:color="000000" w:sz="4" w:space="0"/>
              <w:bottom w:val="single" w:color="000000" w:sz="4" w:space="0"/>
              <w:right w:val="single" w:color="000000" w:sz="4" w:space="0"/>
            </w:tcBorders>
            <w:noWrap w:val="0"/>
            <w:vAlign w:val="top"/>
          </w:tcPr>
          <w:p w14:paraId="144D2970">
            <w:pPr>
              <w:pStyle w:val="3"/>
              <w:spacing w:line="240" w:lineRule="auto"/>
              <w:rPr>
                <w:rFonts w:hint="eastAsia" w:ascii="仿宋_GB2312" w:eastAsia="仿宋_GB2312"/>
                <w:color w:val="auto"/>
                <w:lang w:val="en-US" w:eastAsia="zh-CN"/>
              </w:rPr>
            </w:pPr>
          </w:p>
        </w:tc>
      </w:tr>
      <w:tr w14:paraId="7F9DD232">
        <w:tblPrEx>
          <w:tblCellMar>
            <w:top w:w="0" w:type="dxa"/>
            <w:left w:w="108" w:type="dxa"/>
            <w:bottom w:w="0" w:type="dxa"/>
            <w:right w:w="108" w:type="dxa"/>
          </w:tblCellMar>
        </w:tblPrEx>
        <w:trPr>
          <w:trHeight w:val="805" w:hRule="atLeast"/>
        </w:trPr>
        <w:tc>
          <w:tcPr>
            <w:tcW w:w="385" w:type="pct"/>
            <w:vMerge w:val="restart"/>
            <w:tcBorders>
              <w:top w:val="single" w:color="000000" w:sz="4" w:space="0"/>
              <w:left w:val="single" w:color="000000" w:sz="4" w:space="0"/>
              <w:right w:val="single" w:color="000000" w:sz="4" w:space="0"/>
            </w:tcBorders>
            <w:noWrap w:val="0"/>
            <w:vAlign w:val="center"/>
          </w:tcPr>
          <w:p w14:paraId="54FDF44F">
            <w:pPr>
              <w:spacing w:line="240" w:lineRule="auto"/>
              <w:ind w:firstLine="420"/>
              <w:jc w:val="center"/>
              <w:rPr>
                <w:rFonts w:hint="eastAsia" w:ascii="仿宋_GB2312" w:eastAsia="仿宋_GB2312" w:cs="仿宋"/>
                <w:color w:val="auto"/>
                <w:sz w:val="21"/>
                <w:szCs w:val="21"/>
                <w:lang w:val="en-US" w:eastAsia="zh-CN"/>
              </w:rPr>
            </w:pPr>
            <w:r>
              <w:rPr>
                <w:rFonts w:hint="eastAsia" w:ascii="仿宋_GB2312" w:eastAsia="仿宋_GB2312" w:cs="仿宋"/>
                <w:color w:val="auto"/>
                <w:sz w:val="21"/>
                <w:szCs w:val="21"/>
                <w:lang w:val="en-US" w:eastAsia="zh-CN"/>
              </w:rPr>
              <w:t>3</w:t>
            </w:r>
          </w:p>
        </w:tc>
        <w:tc>
          <w:tcPr>
            <w:tcW w:w="626" w:type="pct"/>
            <w:vMerge w:val="restart"/>
            <w:tcBorders>
              <w:top w:val="single" w:color="000000" w:sz="4" w:space="0"/>
              <w:left w:val="single" w:color="000000" w:sz="4" w:space="0"/>
              <w:right w:val="single" w:color="auto" w:sz="4" w:space="0"/>
            </w:tcBorders>
            <w:noWrap w:val="0"/>
            <w:vAlign w:val="center"/>
          </w:tcPr>
          <w:p w14:paraId="20F09FEB">
            <w:pPr>
              <w:spacing w:line="240" w:lineRule="auto"/>
              <w:jc w:val="both"/>
              <w:rPr>
                <w:rFonts w:hint="eastAsia" w:ascii="仿宋_GB2312" w:eastAsia="仿宋_GB2312" w:cs="仿宋"/>
                <w:color w:val="auto"/>
                <w:sz w:val="21"/>
                <w:szCs w:val="21"/>
              </w:rPr>
            </w:pPr>
            <w:r>
              <w:rPr>
                <w:rFonts w:hint="eastAsia" w:ascii="仿宋_GB2312" w:eastAsia="仿宋_GB2312" w:cs="仿宋"/>
                <w:color w:val="auto"/>
                <w:sz w:val="21"/>
                <w:szCs w:val="21"/>
              </w:rPr>
              <w:t>商务部分（</w:t>
            </w:r>
            <w:r>
              <w:rPr>
                <w:rFonts w:hint="eastAsia" w:ascii="仿宋_GB2312" w:eastAsia="仿宋_GB2312" w:cs="仿宋"/>
                <w:color w:val="auto"/>
                <w:sz w:val="21"/>
                <w:szCs w:val="21"/>
                <w:lang w:val="en-US" w:eastAsia="zh-CN"/>
              </w:rPr>
              <w:t>15%</w:t>
            </w:r>
            <w:r>
              <w:rPr>
                <w:rFonts w:hint="eastAsia" w:ascii="仿宋_GB2312" w:eastAsia="仿宋_GB2312" w:cs="仿宋"/>
                <w:color w:val="auto"/>
                <w:sz w:val="21"/>
                <w:szCs w:val="21"/>
              </w:rPr>
              <w:t>）</w:t>
            </w:r>
          </w:p>
        </w:tc>
        <w:tc>
          <w:tcPr>
            <w:tcW w:w="655" w:type="pct"/>
            <w:tcBorders>
              <w:top w:val="single" w:color="auto" w:sz="4" w:space="0"/>
              <w:left w:val="single" w:color="auto" w:sz="4" w:space="0"/>
              <w:bottom w:val="single" w:color="auto" w:sz="4" w:space="0"/>
              <w:right w:val="single" w:color="auto" w:sz="4" w:space="0"/>
            </w:tcBorders>
            <w:noWrap w:val="0"/>
            <w:vAlign w:val="center"/>
          </w:tcPr>
          <w:p w14:paraId="338B9C75">
            <w:pPr>
              <w:spacing w:line="240" w:lineRule="auto"/>
              <w:jc w:val="left"/>
              <w:rPr>
                <w:rFonts w:hint="default" w:ascii="仿宋_GB2312" w:hAnsi="Times New Roman" w:eastAsia="仿宋_GB2312" w:cs="仿宋"/>
                <w:color w:val="auto"/>
                <w:sz w:val="21"/>
                <w:szCs w:val="21"/>
                <w:lang w:val="en-US"/>
              </w:rPr>
            </w:pPr>
            <w:r>
              <w:rPr>
                <w:rFonts w:hint="eastAsia" w:ascii="仿宋_GB2312" w:hAnsi="Times New Roman" w:eastAsia="仿宋_GB2312" w:cs="仿宋"/>
                <w:color w:val="auto"/>
                <w:sz w:val="21"/>
                <w:szCs w:val="21"/>
                <w:highlight w:val="yellow"/>
                <w:lang w:val="en-US" w:eastAsia="zh-CN"/>
              </w:rPr>
              <w:t>9分</w:t>
            </w:r>
          </w:p>
        </w:tc>
        <w:tc>
          <w:tcPr>
            <w:tcW w:w="2607" w:type="pct"/>
            <w:tcBorders>
              <w:top w:val="single" w:color="000000" w:sz="4" w:space="0"/>
              <w:left w:val="single" w:color="auto" w:sz="4" w:space="0"/>
              <w:bottom w:val="single" w:color="000000" w:sz="4" w:space="0"/>
              <w:right w:val="single" w:color="000000" w:sz="4" w:space="0"/>
            </w:tcBorders>
            <w:noWrap w:val="0"/>
            <w:vAlign w:val="center"/>
          </w:tcPr>
          <w:p w14:paraId="238D6683">
            <w:pPr>
              <w:spacing w:line="240" w:lineRule="auto"/>
              <w:ind w:firstLine="420" w:firstLineChars="0"/>
              <w:jc w:val="left"/>
              <w:rPr>
                <w:rFonts w:hint="eastAsia" w:ascii="仿宋_GB2312" w:hAnsi="Times New Roman" w:eastAsia="仿宋_GB2312" w:cs="仿宋"/>
                <w:color w:val="auto"/>
                <w:sz w:val="21"/>
                <w:szCs w:val="21"/>
                <w:lang w:val="en-US" w:eastAsia="zh-CN"/>
              </w:rPr>
            </w:pPr>
          </w:p>
          <w:p w14:paraId="3A0529F3">
            <w:pPr>
              <w:spacing w:line="240" w:lineRule="auto"/>
              <w:ind w:firstLine="420" w:firstLineChars="200"/>
              <w:jc w:val="left"/>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1.厨师具备高级及以上厨师资格证书得3分，不具备得0分；</w:t>
            </w:r>
          </w:p>
          <w:p w14:paraId="1EE69E3F">
            <w:pPr>
              <w:spacing w:line="240" w:lineRule="auto"/>
              <w:ind w:firstLine="420" w:firstLineChars="200"/>
              <w:jc w:val="left"/>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2.厨师具备中式烹调师具备三级（高级）职业资格证书的3分，不具备得0分；</w:t>
            </w:r>
          </w:p>
          <w:p w14:paraId="6B66794C">
            <w:pPr>
              <w:spacing w:line="240" w:lineRule="auto"/>
              <w:ind w:firstLine="420" w:firstLineChars="200"/>
              <w:jc w:val="left"/>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3.厨师具备食品安全管理员考试合格证明或食品检验工（三级）及以上培训合格证书的，得3分，不具备得0分；</w:t>
            </w:r>
          </w:p>
        </w:tc>
        <w:tc>
          <w:tcPr>
            <w:tcW w:w="725" w:type="pct"/>
            <w:tcBorders>
              <w:top w:val="single" w:color="000000" w:sz="4" w:space="0"/>
              <w:left w:val="single" w:color="000000" w:sz="4" w:space="0"/>
              <w:bottom w:val="single" w:color="000000" w:sz="4" w:space="0"/>
              <w:right w:val="single" w:color="000000" w:sz="4" w:space="0"/>
            </w:tcBorders>
            <w:noWrap w:val="0"/>
            <w:vAlign w:val="center"/>
          </w:tcPr>
          <w:p w14:paraId="5593FAB4">
            <w:pPr>
              <w:numPr>
                <w:ilvl w:val="0"/>
                <w:numId w:val="0"/>
              </w:numPr>
              <w:spacing w:line="240" w:lineRule="auto"/>
              <w:ind w:left="0" w:leftChars="0" w:firstLine="0" w:firstLineChars="0"/>
              <w:jc w:val="left"/>
              <w:rPr>
                <w:rFonts w:hint="eastAsia" w:ascii="仿宋_GB2312" w:eastAsia="仿宋_GB2312" w:cs="仿宋"/>
                <w:color w:val="auto"/>
                <w:sz w:val="21"/>
                <w:szCs w:val="21"/>
                <w:lang w:val="en-US" w:eastAsia="zh-CN"/>
              </w:rPr>
            </w:pPr>
            <w:r>
              <w:rPr>
                <w:rFonts w:hint="eastAsia" w:ascii="仿宋_GB2312" w:hAnsi="Times New Roman" w:eastAsia="仿宋_GB2312" w:cs="仿宋"/>
                <w:color w:val="auto"/>
                <w:sz w:val="21"/>
                <w:szCs w:val="21"/>
                <w:lang w:val="en-US" w:eastAsia="zh-CN"/>
              </w:rPr>
              <w:t>注：提供相应人员身份证、资格证书、2026年1月以来任意一个月社保缴纳证明复印件加盖投标人公章。</w:t>
            </w:r>
          </w:p>
        </w:tc>
      </w:tr>
      <w:tr w14:paraId="4E24BBB7">
        <w:tblPrEx>
          <w:tblCellMar>
            <w:top w:w="0" w:type="dxa"/>
            <w:left w:w="108" w:type="dxa"/>
            <w:bottom w:w="0" w:type="dxa"/>
            <w:right w:w="108" w:type="dxa"/>
          </w:tblCellMar>
        </w:tblPrEx>
        <w:trPr>
          <w:trHeight w:val="805" w:hRule="atLeast"/>
        </w:trPr>
        <w:tc>
          <w:tcPr>
            <w:tcW w:w="385" w:type="pct"/>
            <w:vMerge w:val="continue"/>
            <w:tcBorders>
              <w:left w:val="single" w:color="000000" w:sz="4" w:space="0"/>
              <w:bottom w:val="single" w:color="000000" w:sz="4" w:space="0"/>
              <w:right w:val="single" w:color="000000" w:sz="4" w:space="0"/>
            </w:tcBorders>
            <w:noWrap w:val="0"/>
            <w:vAlign w:val="center"/>
          </w:tcPr>
          <w:p w14:paraId="46BA7E16">
            <w:pPr>
              <w:pStyle w:val="3"/>
              <w:spacing w:line="240" w:lineRule="auto"/>
              <w:rPr>
                <w:rFonts w:hint="eastAsia" w:ascii="仿宋_GB2312" w:eastAsia="仿宋_GB2312"/>
                <w:color w:val="auto"/>
                <w:lang w:val="en-US" w:eastAsia="zh-CN"/>
              </w:rPr>
            </w:pPr>
          </w:p>
        </w:tc>
        <w:tc>
          <w:tcPr>
            <w:tcW w:w="626" w:type="pct"/>
            <w:vMerge w:val="continue"/>
            <w:tcBorders>
              <w:left w:val="single" w:color="000000" w:sz="4" w:space="0"/>
              <w:bottom w:val="single" w:color="000000" w:sz="4" w:space="0"/>
              <w:right w:val="single" w:color="auto" w:sz="4" w:space="0"/>
            </w:tcBorders>
            <w:noWrap w:val="0"/>
            <w:vAlign w:val="center"/>
          </w:tcPr>
          <w:p w14:paraId="2E6E06AB">
            <w:pPr>
              <w:pStyle w:val="3"/>
              <w:spacing w:line="240" w:lineRule="auto"/>
              <w:rPr>
                <w:rFonts w:hint="eastAsia" w:ascii="仿宋_GB2312" w:eastAsia="仿宋_GB2312"/>
                <w:color w:val="auto"/>
                <w:lang w:val="en-US" w:eastAsia="zh-CN"/>
              </w:rPr>
            </w:pPr>
          </w:p>
        </w:tc>
        <w:tc>
          <w:tcPr>
            <w:tcW w:w="655" w:type="pct"/>
            <w:tcBorders>
              <w:top w:val="single" w:color="auto" w:sz="4" w:space="0"/>
              <w:left w:val="single" w:color="auto" w:sz="4" w:space="0"/>
              <w:bottom w:val="single" w:color="auto" w:sz="4" w:space="0"/>
              <w:right w:val="single" w:color="auto" w:sz="4" w:space="0"/>
            </w:tcBorders>
            <w:noWrap w:val="0"/>
            <w:vAlign w:val="center"/>
          </w:tcPr>
          <w:p w14:paraId="5D0C1B96">
            <w:pPr>
              <w:spacing w:line="240" w:lineRule="auto"/>
              <w:jc w:val="left"/>
              <w:rPr>
                <w:rFonts w:hint="eastAsia" w:ascii="仿宋_GB2312" w:hAnsi="Times New Roman" w:eastAsia="仿宋_GB2312" w:cs="仿宋"/>
                <w:color w:val="auto"/>
                <w:sz w:val="21"/>
                <w:szCs w:val="21"/>
                <w:lang w:val="en-US" w:eastAsia="zh-CN"/>
              </w:rPr>
            </w:pPr>
            <w:r>
              <w:rPr>
                <w:rFonts w:hint="eastAsia" w:ascii="仿宋_GB2312" w:hAnsi="Times New Roman" w:eastAsia="仿宋_GB2312" w:cs="仿宋"/>
                <w:color w:val="auto"/>
                <w:sz w:val="21"/>
                <w:szCs w:val="21"/>
                <w:highlight w:val="yellow"/>
                <w:lang w:val="en-US" w:eastAsia="zh-CN"/>
              </w:rPr>
              <w:t>6分</w:t>
            </w:r>
          </w:p>
        </w:tc>
        <w:tc>
          <w:tcPr>
            <w:tcW w:w="2607" w:type="pct"/>
            <w:tcBorders>
              <w:top w:val="single" w:color="000000" w:sz="4" w:space="0"/>
              <w:left w:val="single" w:color="auto" w:sz="4" w:space="0"/>
              <w:bottom w:val="single" w:color="000000" w:sz="4" w:space="0"/>
              <w:right w:val="single" w:color="000000" w:sz="4" w:space="0"/>
            </w:tcBorders>
            <w:noWrap w:val="0"/>
            <w:vAlign w:val="center"/>
          </w:tcPr>
          <w:p w14:paraId="5D540588">
            <w:pPr>
              <w:spacing w:line="240" w:lineRule="auto"/>
              <w:ind w:firstLine="420" w:firstLineChars="0"/>
              <w:jc w:val="left"/>
              <w:rPr>
                <w:rFonts w:hint="eastAsia" w:ascii="仿宋_GB2312" w:hAnsi="Times New Roman" w:eastAsia="仿宋_GB2312" w:cs="仿宋"/>
                <w:color w:val="auto"/>
                <w:sz w:val="21"/>
                <w:szCs w:val="21"/>
                <w:lang w:val="en-US"/>
              </w:rPr>
            </w:pPr>
            <w:r>
              <w:rPr>
                <w:rFonts w:hint="eastAsia" w:ascii="仿宋_GB2312" w:hAnsi="Times New Roman" w:eastAsia="仿宋_GB2312" w:cs="仿宋"/>
                <w:color w:val="auto"/>
                <w:sz w:val="21"/>
                <w:szCs w:val="21"/>
                <w:lang w:val="en-US"/>
              </w:rPr>
              <w:t>投标人每提供1个2022年1月1日至投标截止时间（以合同签订时间为准）</w:t>
            </w:r>
            <w:r>
              <w:rPr>
                <w:rFonts w:hint="eastAsia" w:ascii="仿宋_GB2312" w:hAnsi="Times New Roman" w:eastAsia="仿宋_GB2312" w:cs="仿宋"/>
                <w:color w:val="auto"/>
                <w:sz w:val="21"/>
                <w:szCs w:val="21"/>
                <w:lang w:val="en-US" w:eastAsia="zh-CN"/>
              </w:rPr>
              <w:t>的同类项目</w:t>
            </w:r>
            <w:r>
              <w:rPr>
                <w:rFonts w:hint="eastAsia" w:ascii="仿宋_GB2312" w:hAnsi="Times New Roman" w:eastAsia="仿宋_GB2312" w:cs="仿宋"/>
                <w:color w:val="auto"/>
                <w:sz w:val="21"/>
                <w:szCs w:val="21"/>
                <w:lang w:val="en-US"/>
              </w:rPr>
              <w:t>有效案例得</w:t>
            </w:r>
            <w:r>
              <w:rPr>
                <w:rFonts w:hint="eastAsia" w:ascii="仿宋_GB2312" w:hAnsi="Times New Roman" w:eastAsia="仿宋_GB2312" w:cs="仿宋"/>
                <w:color w:val="auto"/>
                <w:sz w:val="21"/>
                <w:szCs w:val="21"/>
                <w:lang w:val="en-US" w:eastAsia="zh-CN"/>
              </w:rPr>
              <w:t>1</w:t>
            </w:r>
            <w:r>
              <w:rPr>
                <w:rFonts w:hint="eastAsia" w:ascii="仿宋_GB2312" w:hAnsi="Times New Roman" w:eastAsia="仿宋_GB2312" w:cs="仿宋"/>
                <w:color w:val="auto"/>
                <w:sz w:val="21"/>
                <w:szCs w:val="21"/>
                <w:lang w:val="en-US"/>
              </w:rPr>
              <w:t>分，</w:t>
            </w:r>
            <w:r>
              <w:rPr>
                <w:rFonts w:hint="eastAsia" w:ascii="仿宋_GB2312" w:hAnsi="Times New Roman" w:eastAsia="仿宋_GB2312" w:cs="仿宋"/>
                <w:color w:val="auto"/>
                <w:sz w:val="21"/>
                <w:szCs w:val="21"/>
                <w:lang w:val="en-US" w:eastAsia="zh-CN"/>
              </w:rPr>
              <w:t>最高得6分，未提供得0分</w:t>
            </w:r>
            <w:r>
              <w:rPr>
                <w:rFonts w:hint="eastAsia" w:ascii="仿宋_GB2312" w:hAnsi="Times New Roman" w:eastAsia="仿宋_GB2312" w:cs="仿宋"/>
                <w:color w:val="auto"/>
                <w:sz w:val="21"/>
                <w:szCs w:val="21"/>
                <w:lang w:val="en-US"/>
              </w:rPr>
              <w:t>。</w:t>
            </w:r>
          </w:p>
          <w:p w14:paraId="10A8BA5B">
            <w:pPr>
              <w:spacing w:line="240" w:lineRule="auto"/>
              <w:ind w:firstLine="420" w:firstLineChars="0"/>
              <w:jc w:val="left"/>
              <w:rPr>
                <w:rFonts w:hint="eastAsia" w:ascii="仿宋_GB2312" w:hAnsi="Times New Roman" w:eastAsia="仿宋_GB2312" w:cs="仿宋"/>
                <w:color w:val="auto"/>
                <w:sz w:val="21"/>
                <w:szCs w:val="21"/>
                <w:lang w:val="en-US" w:eastAsia="zh-CN"/>
              </w:rPr>
            </w:pPr>
          </w:p>
        </w:tc>
        <w:tc>
          <w:tcPr>
            <w:tcW w:w="725" w:type="pct"/>
            <w:tcBorders>
              <w:top w:val="single" w:color="000000" w:sz="4" w:space="0"/>
              <w:left w:val="single" w:color="000000" w:sz="4" w:space="0"/>
              <w:bottom w:val="single" w:color="000000" w:sz="4" w:space="0"/>
              <w:right w:val="single" w:color="000000" w:sz="4" w:space="0"/>
            </w:tcBorders>
            <w:noWrap w:val="0"/>
            <w:vAlign w:val="center"/>
          </w:tcPr>
          <w:p w14:paraId="6400B010">
            <w:pPr>
              <w:spacing w:line="240" w:lineRule="auto"/>
              <w:jc w:val="left"/>
              <w:rPr>
                <w:rFonts w:hint="eastAsia" w:ascii="仿宋_GB2312" w:eastAsia="仿宋_GB2312" w:cs="仿宋"/>
                <w:color w:val="auto"/>
                <w:sz w:val="21"/>
                <w:szCs w:val="21"/>
                <w:lang w:val="en-US"/>
              </w:rPr>
            </w:pPr>
            <w:r>
              <w:rPr>
                <w:rFonts w:hint="eastAsia" w:ascii="仿宋_GB2312" w:hAnsi="Times New Roman" w:eastAsia="仿宋_GB2312" w:cs="仿宋"/>
                <w:color w:val="auto"/>
                <w:sz w:val="21"/>
                <w:szCs w:val="21"/>
                <w:lang w:val="en-US" w:eastAsia="zh-CN"/>
              </w:rPr>
              <w:t>提供合同复印件加盖公章</w:t>
            </w:r>
            <w:r>
              <w:rPr>
                <w:rFonts w:hint="eastAsia" w:ascii="仿宋_GB2312" w:hAnsi="Times New Roman" w:eastAsia="仿宋_GB2312" w:cs="仿宋"/>
                <w:color w:val="auto"/>
                <w:sz w:val="21"/>
                <w:szCs w:val="21"/>
                <w:lang w:val="en-US"/>
              </w:rPr>
              <w:t>。</w:t>
            </w:r>
          </w:p>
        </w:tc>
      </w:tr>
    </w:tbl>
    <w:p w14:paraId="1E7FAD3D">
      <w:pPr>
        <w:spacing w:line="360" w:lineRule="auto"/>
        <w:rPr>
          <w:rFonts w:hint="eastAsia" w:ascii="仿宋" w:hAnsi="仿宋" w:eastAsia="仿宋" w:cs="仿宋"/>
          <w:color w:val="auto"/>
          <w:sz w:val="24"/>
        </w:rPr>
      </w:pPr>
    </w:p>
    <w:bookmarkEnd w:id="83"/>
    <w:bookmarkEnd w:id="84"/>
    <w:p w14:paraId="4ED02BC2">
      <w:pPr>
        <w:pStyle w:val="6"/>
        <w:spacing w:before="0" w:after="0" w:line="360" w:lineRule="auto"/>
        <w:rPr>
          <w:rFonts w:hint="eastAsia" w:ascii="仿宋" w:hAnsi="仿宋" w:eastAsia="仿宋" w:cs="仿宋"/>
          <w:color w:val="auto"/>
          <w:sz w:val="24"/>
          <w:szCs w:val="24"/>
        </w:rPr>
      </w:pPr>
      <w:bookmarkStart w:id="85" w:name="_Toc2029"/>
      <w:r>
        <w:rPr>
          <w:rFonts w:hint="eastAsia" w:ascii="仿宋" w:hAnsi="仿宋" w:eastAsia="仿宋" w:cs="仿宋"/>
          <w:color w:val="auto"/>
          <w:sz w:val="24"/>
          <w:szCs w:val="24"/>
        </w:rPr>
        <w:t>三、无效响应</w:t>
      </w:r>
      <w:bookmarkEnd w:id="85"/>
    </w:p>
    <w:p w14:paraId="453DC8ED">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供应商发生以下条款情况之一者，视为无效响应，其响应文件将被拒绝：</w:t>
      </w:r>
    </w:p>
    <w:p w14:paraId="728EAF3A">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（一）供应商不符合规定的基本资格条件或特定资格条件的；</w:t>
      </w:r>
    </w:p>
    <w:p w14:paraId="23FF1EA4">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（二）供应商未按</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规定购买</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的；</w:t>
      </w:r>
    </w:p>
    <w:p w14:paraId="0940C461">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（三）供应商的法定代表人或其授权代表未参加</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w:t>
      </w:r>
    </w:p>
    <w:p w14:paraId="0B7260D5">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（四）供应商所提交的响应文件不按第七篇“响应文件编制要求”规定签字、盖章；</w:t>
      </w:r>
    </w:p>
    <w:p w14:paraId="489AEDDC">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（五）供应商的最后报价超过采购预算的；</w:t>
      </w:r>
    </w:p>
    <w:p w14:paraId="768169A6">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（六）法定代表人为同一个人的两个及两个以上法人，母公司、全资子公司及其控股公司，在同一分包采购中同时参与</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w:t>
      </w:r>
    </w:p>
    <w:p w14:paraId="6E6791C9">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（七）单位负责人为同一人或者存在直接控股、管理关系的不同供应商，参加同一合同项下的政府采购活动的；</w:t>
      </w:r>
    </w:p>
    <w:p w14:paraId="728B6A65">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（八）为采购项目提供整体设计、规范编制或者项目管理、监理、检测等服务的供应商，再参加该采购项目的其他采购活动；</w:t>
      </w:r>
    </w:p>
    <w:p w14:paraId="4A77BBBB">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（九）供应商</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有效期不满足</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要求的；</w:t>
      </w:r>
    </w:p>
    <w:p w14:paraId="65AF894E">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（十）供应商响应文件内容有与国家现行法律法规相违背的内容，或附有采购人无法接受的条件。</w:t>
      </w:r>
    </w:p>
    <w:p w14:paraId="11D59758">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（十一）供应商被列入失信被执行人、重大税收违法案件当事人名单、政府采购严重违法失信行为记录名单及其他不符合《中华人民共和国政府采购法》第二十二条规定条件的。</w:t>
      </w:r>
    </w:p>
    <w:p w14:paraId="4B7FAD14">
      <w:pPr>
        <w:pStyle w:val="6"/>
        <w:spacing w:before="0" w:after="0" w:line="360" w:lineRule="auto"/>
        <w:rPr>
          <w:rFonts w:hint="eastAsia" w:ascii="仿宋" w:hAnsi="仿宋" w:eastAsia="仿宋" w:cs="仿宋"/>
          <w:color w:val="auto"/>
          <w:sz w:val="24"/>
          <w:szCs w:val="24"/>
        </w:rPr>
      </w:pPr>
      <w:bookmarkStart w:id="86" w:name="_Toc29192"/>
      <w:r>
        <w:rPr>
          <w:rFonts w:hint="eastAsia" w:ascii="仿宋" w:hAnsi="仿宋" w:eastAsia="仿宋" w:cs="仿宋"/>
          <w:color w:val="auto"/>
          <w:sz w:val="24"/>
          <w:szCs w:val="24"/>
        </w:rPr>
        <w:t>四、</w:t>
      </w:r>
      <w:bookmarkEnd w:id="75"/>
      <w:bookmarkEnd w:id="76"/>
      <w:r>
        <w:rPr>
          <w:rFonts w:hint="eastAsia" w:ascii="仿宋" w:hAnsi="仿宋" w:eastAsia="仿宋" w:cs="仿宋"/>
          <w:color w:val="auto"/>
          <w:sz w:val="24"/>
          <w:szCs w:val="24"/>
        </w:rPr>
        <w:t>采购终止</w:t>
      </w:r>
      <w:bookmarkEnd w:id="86"/>
    </w:p>
    <w:p w14:paraId="25BB22AA">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出现下列情形之一的，采购人或者采购代理机构应当终止</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采购活动，发布项目终止公告并说明原因，重新开展采购活动：</w:t>
      </w:r>
    </w:p>
    <w:p w14:paraId="39BE6356">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（一）因情况变化，不再符合规定的</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采购方式适用情形的；</w:t>
      </w:r>
    </w:p>
    <w:p w14:paraId="55B97C1E">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（二）出现影响采购公正的违法、违规行为的；</w:t>
      </w:r>
    </w:p>
    <w:p w14:paraId="0F5F8B0B">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（三）在</w:t>
      </w:r>
      <w:r>
        <w:rPr>
          <w:rFonts w:hint="eastAsia" w:ascii="仿宋" w:hAnsi="仿宋" w:eastAsia="仿宋" w:cs="仿宋"/>
          <w:color w:val="auto"/>
          <w:sz w:val="24"/>
          <w:szCs w:val="24"/>
          <w:lang w:eastAsia="zh-CN"/>
        </w:rPr>
        <w:t>采购</w:t>
      </w:r>
      <w:r>
        <w:rPr>
          <w:rFonts w:hint="eastAsia" w:ascii="仿宋" w:hAnsi="仿宋" w:eastAsia="仿宋" w:cs="仿宋"/>
          <w:color w:val="auto"/>
          <w:sz w:val="24"/>
          <w:szCs w:val="24"/>
        </w:rPr>
        <w:t>过程中符合要求的供应商或者报价未超过预算的供应商不足</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家的。</w:t>
      </w:r>
    </w:p>
    <w:p w14:paraId="249314A2">
      <w:pPr>
        <w:pStyle w:val="13"/>
        <w:rPr>
          <w:rFonts w:hint="eastAsia"/>
          <w:color w:val="auto"/>
        </w:rPr>
        <w:sectPr>
          <w:pgSz w:w="11907" w:h="16840"/>
          <w:pgMar w:top="1134" w:right="1191" w:bottom="1134" w:left="1304" w:header="964" w:footer="992" w:gutter="0"/>
          <w:pgNumType w:fmt="numberInDash"/>
          <w:cols w:space="720" w:num="1"/>
          <w:docGrid w:linePitch="312" w:charSpace="0"/>
        </w:sectPr>
      </w:pPr>
    </w:p>
    <w:p w14:paraId="6C0034EB">
      <w:pPr>
        <w:pStyle w:val="5"/>
        <w:spacing w:before="100" w:beforeAutospacing="1" w:after="100" w:afterAutospacing="1" w:line="360" w:lineRule="auto"/>
        <w:jc w:val="center"/>
        <w:rPr>
          <w:rFonts w:hint="eastAsia" w:ascii="仿宋" w:hAnsi="仿宋" w:eastAsia="仿宋" w:cs="仿宋"/>
          <w:b w:val="0"/>
          <w:color w:val="auto"/>
          <w:szCs w:val="30"/>
        </w:rPr>
      </w:pPr>
      <w:bookmarkStart w:id="87" w:name="_Toc102227313"/>
      <w:bookmarkStart w:id="88" w:name="_Toc18708"/>
      <w:r>
        <w:rPr>
          <w:rFonts w:hint="eastAsia" w:ascii="仿宋" w:hAnsi="仿宋" w:eastAsia="仿宋" w:cs="仿宋"/>
          <w:b w:val="0"/>
          <w:color w:val="auto"/>
          <w:sz w:val="36"/>
          <w:szCs w:val="30"/>
        </w:rPr>
        <w:t>第五篇  供应商须知</w:t>
      </w:r>
      <w:bookmarkEnd w:id="87"/>
      <w:bookmarkEnd w:id="88"/>
    </w:p>
    <w:p w14:paraId="0D5DC116">
      <w:pPr>
        <w:pStyle w:val="6"/>
        <w:spacing w:before="0" w:after="0" w:line="360" w:lineRule="auto"/>
        <w:rPr>
          <w:rFonts w:hint="eastAsia" w:ascii="仿宋" w:hAnsi="仿宋" w:eastAsia="仿宋" w:cs="仿宋"/>
          <w:color w:val="auto"/>
          <w:sz w:val="24"/>
          <w:szCs w:val="24"/>
        </w:rPr>
      </w:pPr>
      <w:bookmarkStart w:id="89" w:name="_Toc14284"/>
      <w:bookmarkStart w:id="90" w:name="_Toc342913389"/>
      <w:r>
        <w:rPr>
          <w:rFonts w:hint="eastAsia" w:ascii="仿宋" w:hAnsi="仿宋" w:eastAsia="仿宋" w:cs="仿宋"/>
          <w:color w:val="auto"/>
          <w:sz w:val="24"/>
          <w:szCs w:val="24"/>
        </w:rPr>
        <w:t>一、</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费用</w:t>
      </w:r>
      <w:bookmarkEnd w:id="89"/>
      <w:bookmarkEnd w:id="90"/>
    </w:p>
    <w:p w14:paraId="3207788C">
      <w:pPr>
        <w:pStyle w:val="23"/>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参与</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的供应商应承担其编制响应文件与递交响应文件所涉及的一切费用，不论</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结果如何，采购人和采购代理机构在任何情况下无义务也无责任承担这些费用。</w:t>
      </w:r>
    </w:p>
    <w:p w14:paraId="1A5FB36C">
      <w:pPr>
        <w:pStyle w:val="6"/>
        <w:tabs>
          <w:tab w:val="left" w:pos="2640"/>
        </w:tabs>
        <w:spacing w:before="0" w:after="0" w:line="360" w:lineRule="auto"/>
        <w:rPr>
          <w:rFonts w:hint="eastAsia" w:ascii="仿宋" w:hAnsi="仿宋" w:eastAsia="仿宋" w:cs="仿宋"/>
          <w:color w:val="auto"/>
          <w:sz w:val="24"/>
          <w:szCs w:val="24"/>
          <w:lang w:eastAsia="zh-CN"/>
        </w:rPr>
      </w:pPr>
      <w:bookmarkStart w:id="91" w:name="_Toc342913391"/>
      <w:bookmarkStart w:id="92" w:name="_Toc13378"/>
      <w:r>
        <w:rPr>
          <w:rFonts w:hint="eastAsia" w:ascii="仿宋" w:hAnsi="仿宋" w:eastAsia="仿宋" w:cs="仿宋"/>
          <w:color w:val="auto"/>
          <w:sz w:val="24"/>
          <w:szCs w:val="24"/>
        </w:rPr>
        <w:t>二、</w:t>
      </w:r>
      <w:bookmarkEnd w:id="91"/>
      <w:r>
        <w:rPr>
          <w:rFonts w:hint="eastAsia" w:ascii="仿宋" w:hAnsi="仿宋" w:eastAsia="仿宋" w:cs="仿宋"/>
          <w:color w:val="auto"/>
          <w:sz w:val="24"/>
          <w:szCs w:val="24"/>
          <w:lang w:eastAsia="zh-CN"/>
        </w:rPr>
        <w:t>询比文件</w:t>
      </w:r>
      <w:bookmarkEnd w:id="92"/>
    </w:p>
    <w:p w14:paraId="5106ED26">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由采购邀请书、项目服务需求、供应商须知、项目商务需求、</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程序及方法、评审标准、无效响应和采购终止、供应商须知</w:t>
      </w:r>
      <w:r>
        <w:rPr>
          <w:rFonts w:hint="eastAsia" w:ascii="仿宋" w:hAnsi="仿宋" w:eastAsia="仿宋" w:cs="仿宋"/>
          <w:b/>
          <w:color w:val="auto"/>
          <w:sz w:val="24"/>
          <w:szCs w:val="24"/>
        </w:rPr>
        <w:t>、</w:t>
      </w:r>
      <w:r>
        <w:rPr>
          <w:rFonts w:hint="eastAsia" w:ascii="仿宋" w:hAnsi="仿宋" w:eastAsia="仿宋" w:cs="仿宋"/>
          <w:color w:val="auto"/>
          <w:sz w:val="24"/>
          <w:szCs w:val="24"/>
          <w:lang w:eastAsia="zh-CN"/>
        </w:rPr>
        <w:t>采购合同</w:t>
      </w:r>
      <w:r>
        <w:rPr>
          <w:rFonts w:hint="eastAsia" w:ascii="仿宋" w:hAnsi="仿宋" w:eastAsia="仿宋" w:cs="仿宋"/>
          <w:b/>
          <w:color w:val="auto"/>
          <w:sz w:val="24"/>
          <w:szCs w:val="24"/>
        </w:rPr>
        <w:t>、</w:t>
      </w:r>
      <w:r>
        <w:rPr>
          <w:rFonts w:hint="eastAsia" w:ascii="仿宋" w:hAnsi="仿宋" w:eastAsia="仿宋" w:cs="仿宋"/>
          <w:color w:val="auto"/>
          <w:sz w:val="24"/>
          <w:szCs w:val="24"/>
        </w:rPr>
        <w:t>响应文件编制要求七部分组成。</w:t>
      </w:r>
    </w:p>
    <w:p w14:paraId="72BB502A">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（二）采购人（或采购代理机构）所作的一切有效的书面通知、修改及补充，都是</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不可分割的部分。</w:t>
      </w:r>
    </w:p>
    <w:p w14:paraId="7DBDA5D6">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的解释</w:t>
      </w:r>
    </w:p>
    <w:p w14:paraId="14BEA8FC">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供应商如对</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有疑问，必须以书面形式在提交响应文件截止时间3个工作日前向采购人（或采购代理机构）要求澄清，采购人（或采购代理机构）可视具体情况做出处理或答复。如供应商未提出疑问，视为完全理解并同意本</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。一经进入</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程序，即视为供应商已详细阅读全部文件资料，完全理解</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所有条款内容并同意放弃对这方面有不明白及误解的权利。</w:t>
      </w:r>
      <w:bookmarkStart w:id="93" w:name="_Toc318159349"/>
      <w:bookmarkStart w:id="94" w:name="_Toc318159780"/>
      <w:bookmarkStart w:id="95" w:name="_Toc318166429"/>
      <w:bookmarkStart w:id="96" w:name="_Toc318159160"/>
    </w:p>
    <w:p w14:paraId="154A7732">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（四）本</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中，</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根据与供应商进行</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可能实质性变动的内容为</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第二、三、四篇全部内容。</w:t>
      </w:r>
    </w:p>
    <w:p w14:paraId="47D4E679">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（五）评审的依据为</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和响应文件（含有效的书面承诺）。</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判断响应文件对</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的响应，仅基于响应文件本身而不靠外部证据。</w:t>
      </w:r>
    </w:p>
    <w:bookmarkEnd w:id="93"/>
    <w:bookmarkEnd w:id="94"/>
    <w:bookmarkEnd w:id="95"/>
    <w:bookmarkEnd w:id="96"/>
    <w:p w14:paraId="6D321B1E">
      <w:pPr>
        <w:pStyle w:val="6"/>
        <w:spacing w:before="0" w:after="0" w:line="360" w:lineRule="auto"/>
        <w:rPr>
          <w:rFonts w:hint="eastAsia" w:ascii="仿宋" w:hAnsi="仿宋" w:eastAsia="仿宋" w:cs="仿宋"/>
          <w:color w:val="auto"/>
          <w:sz w:val="24"/>
          <w:szCs w:val="24"/>
        </w:rPr>
      </w:pPr>
      <w:bookmarkStart w:id="97" w:name="_Toc342913392"/>
      <w:bookmarkStart w:id="98" w:name="_Toc102227318"/>
      <w:bookmarkStart w:id="99" w:name="_Toc14453"/>
      <w:bookmarkStart w:id="100" w:name="_Toc179714297"/>
      <w:r>
        <w:rPr>
          <w:rFonts w:hint="eastAsia" w:ascii="仿宋" w:hAnsi="仿宋" w:eastAsia="仿宋" w:cs="仿宋"/>
          <w:color w:val="auto"/>
          <w:sz w:val="24"/>
          <w:szCs w:val="24"/>
        </w:rPr>
        <w:t>三、</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要求</w:t>
      </w:r>
      <w:bookmarkEnd w:id="97"/>
      <w:bookmarkEnd w:id="98"/>
      <w:bookmarkEnd w:id="99"/>
      <w:bookmarkEnd w:id="100"/>
    </w:p>
    <w:p w14:paraId="65128D3A">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（一）响应文件</w:t>
      </w:r>
    </w:p>
    <w:p w14:paraId="70204BA3">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1.供应商应当按照</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的要求编制响应文件，并对</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提出的要求和条件作出实质性响应，响应文件原则上采用软面订本，同时应编制完整的页码、目录。</w:t>
      </w:r>
    </w:p>
    <w:p w14:paraId="78C64300">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2.响应文件组成</w:t>
      </w:r>
    </w:p>
    <w:p w14:paraId="6D9B9F90">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响应文件由第七篇“响应文件编制要求”规定的部分和供应商所作的一切有效补充、修改和承诺等文件组成，供应商应按照第七篇“响应文件编制要求”规定的目录顺序组织编写和装订，也可在基本格式基础上对表格进行扩展，未规定格式的由供应商自定格式。</w:t>
      </w:r>
    </w:p>
    <w:p w14:paraId="77DBB9D3">
      <w:pPr>
        <w:spacing w:line="360" w:lineRule="auto"/>
        <w:ind w:firstLine="482" w:firstLineChars="200"/>
        <w:rPr>
          <w:rFonts w:hint="eastAsia" w:ascii="仿宋" w:hAnsi="仿宋" w:eastAsia="仿宋" w:cs="仿宋"/>
          <w:b/>
          <w:color w:val="auto"/>
          <w:sz w:val="24"/>
          <w:szCs w:val="24"/>
        </w:rPr>
      </w:pPr>
      <w:r>
        <w:rPr>
          <w:rFonts w:hint="eastAsia" w:ascii="仿宋" w:hAnsi="仿宋" w:eastAsia="仿宋" w:cs="仿宋"/>
          <w:b/>
          <w:color w:val="auto"/>
          <w:sz w:val="24"/>
          <w:szCs w:val="24"/>
        </w:rPr>
        <w:t>（二）联合体</w:t>
      </w:r>
    </w:p>
    <w:p w14:paraId="0DF83CB8">
      <w:pPr>
        <w:spacing w:line="360" w:lineRule="auto"/>
        <w:ind w:firstLine="482" w:firstLineChars="200"/>
        <w:rPr>
          <w:rFonts w:hint="eastAsia" w:ascii="仿宋" w:hAnsi="仿宋" w:eastAsia="仿宋" w:cs="仿宋"/>
          <w:b/>
          <w:color w:val="auto"/>
          <w:sz w:val="24"/>
          <w:szCs w:val="24"/>
        </w:rPr>
      </w:pPr>
      <w:r>
        <w:rPr>
          <w:rFonts w:hint="eastAsia" w:ascii="仿宋" w:hAnsi="仿宋" w:eastAsia="仿宋" w:cs="仿宋"/>
          <w:b/>
          <w:color w:val="auto"/>
          <w:sz w:val="24"/>
          <w:szCs w:val="24"/>
        </w:rPr>
        <w:t>本项目不接受联合体</w:t>
      </w:r>
      <w:r>
        <w:rPr>
          <w:rFonts w:hint="eastAsia" w:ascii="仿宋" w:hAnsi="仿宋" w:eastAsia="仿宋" w:cs="仿宋"/>
          <w:b/>
          <w:color w:val="auto"/>
          <w:sz w:val="24"/>
          <w:szCs w:val="24"/>
          <w:lang w:eastAsia="zh-CN"/>
        </w:rPr>
        <w:t>询比</w:t>
      </w:r>
      <w:r>
        <w:rPr>
          <w:rFonts w:hint="eastAsia" w:ascii="仿宋" w:hAnsi="仿宋" w:eastAsia="仿宋" w:cs="仿宋"/>
          <w:b/>
          <w:color w:val="auto"/>
          <w:sz w:val="24"/>
          <w:szCs w:val="24"/>
        </w:rPr>
        <w:t>。</w:t>
      </w:r>
    </w:p>
    <w:p w14:paraId="54724E63">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有效期：响应文件及有关承诺文件有效期为提交响应文件截止时间起90天。</w:t>
      </w:r>
    </w:p>
    <w:p w14:paraId="6506A648">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（四）修正错误</w:t>
      </w:r>
    </w:p>
    <w:p w14:paraId="62E178F4">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1.若供应商所递交的响应文件或最后报价中的价格出现大写金额和小写金额不一致的错误，以大写金额修正为准。</w:t>
      </w:r>
    </w:p>
    <w:p w14:paraId="734D51BD">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按上述修正错误的原则及方法修正供应商的报价，供应商同意并签字确认后，修正后的报价对供应商具有约束作用。如果供应商不接受修正后的价格，将失去成为成交供应商的资格。</w:t>
      </w:r>
    </w:p>
    <w:p w14:paraId="10E8D633">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（五）提交响应文件的份数和签署</w:t>
      </w:r>
    </w:p>
    <w:p w14:paraId="6BCA3459">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1.响应文件一式</w:t>
      </w:r>
      <w:r>
        <w:rPr>
          <w:rFonts w:hint="eastAsia" w:ascii="仿宋" w:hAnsi="仿宋" w:eastAsia="仿宋" w:cs="仿宋"/>
          <w:color w:val="auto"/>
          <w:sz w:val="24"/>
          <w:szCs w:val="24"/>
          <w:lang w:val="en-US" w:eastAsia="zh-CN"/>
        </w:rPr>
        <w:t>三</w:t>
      </w:r>
      <w:r>
        <w:rPr>
          <w:rFonts w:hint="eastAsia" w:ascii="仿宋" w:hAnsi="仿宋" w:eastAsia="仿宋" w:cs="仿宋"/>
          <w:color w:val="auto"/>
          <w:sz w:val="24"/>
          <w:szCs w:val="24"/>
        </w:rPr>
        <w:t>份，其中</w:t>
      </w:r>
      <w:r>
        <w:rPr>
          <w:rFonts w:hint="eastAsia" w:ascii="仿宋" w:hAnsi="仿宋" w:eastAsia="仿宋" w:cs="仿宋"/>
          <w:b/>
          <w:bCs/>
          <w:color w:val="auto"/>
          <w:sz w:val="24"/>
          <w:szCs w:val="24"/>
        </w:rPr>
        <w:t>正本一份，副本</w:t>
      </w:r>
      <w:r>
        <w:rPr>
          <w:rFonts w:hint="eastAsia" w:ascii="仿宋" w:hAnsi="仿宋" w:eastAsia="仿宋" w:cs="仿宋"/>
          <w:b/>
          <w:bCs/>
          <w:color w:val="auto"/>
          <w:sz w:val="24"/>
          <w:szCs w:val="24"/>
          <w:lang w:val="en-US" w:eastAsia="zh-CN"/>
        </w:rPr>
        <w:t>一</w:t>
      </w:r>
      <w:r>
        <w:rPr>
          <w:rFonts w:hint="eastAsia" w:ascii="仿宋" w:hAnsi="仿宋" w:eastAsia="仿宋" w:cs="仿宋"/>
          <w:b/>
          <w:bCs/>
          <w:color w:val="auto"/>
          <w:sz w:val="24"/>
          <w:szCs w:val="24"/>
        </w:rPr>
        <w:t>份，电子文档一份</w:t>
      </w:r>
      <w:r>
        <w:rPr>
          <w:rFonts w:hint="eastAsia" w:ascii="仿宋" w:hAnsi="仿宋" w:eastAsia="仿宋" w:cs="仿宋"/>
          <w:color w:val="auto"/>
          <w:sz w:val="24"/>
          <w:szCs w:val="24"/>
        </w:rPr>
        <w:t>（电子文档内容应与纸质文件正本一致，如不一致以纸质文件正本为准。推荐采用光盘或U盘为电子文档载体）；副本可为正本的复印件，应与正本一致，如出现不一致情况以正本为准。</w:t>
      </w:r>
    </w:p>
    <w:p w14:paraId="7AD1F615">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2.在响应文件正本中，</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第六篇响应文件编制要求中规定签字、盖章的地方必须按其规定签字、盖章。</w:t>
      </w:r>
    </w:p>
    <w:p w14:paraId="0B252409">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（六）响应文件的递交</w:t>
      </w:r>
    </w:p>
    <w:p w14:paraId="31A899B7">
      <w:pPr>
        <w:pStyle w:val="1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1.响应文件的密封与标记</w:t>
      </w:r>
    </w:p>
    <w:p w14:paraId="76804043">
      <w:pPr>
        <w:pStyle w:val="1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1.1响应文件的正本、副本以及电子文档均应密封送达</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地点，应在封套上注明</w:t>
      </w:r>
      <w:r>
        <w:rPr>
          <w:rFonts w:hint="eastAsia" w:ascii="方正仿宋_GBK" w:hAnsi="宋体" w:eastAsia="方正仿宋_GBK"/>
          <w:color w:val="auto"/>
          <w:sz w:val="24"/>
          <w:szCs w:val="24"/>
          <w:lang w:eastAsia="zh-CN"/>
        </w:rPr>
        <w:t>项目名称</w:t>
      </w:r>
      <w:r>
        <w:rPr>
          <w:rFonts w:hint="eastAsia" w:ascii="仿宋" w:hAnsi="仿宋" w:eastAsia="仿宋" w:cs="仿宋"/>
          <w:color w:val="auto"/>
          <w:sz w:val="24"/>
          <w:szCs w:val="24"/>
        </w:rPr>
        <w:t>、供应商名称。若正本、副本以及电子文档分别进行密封的，还应在封套上注明“正本”、“副本”、“电子文档”字样。</w:t>
      </w:r>
    </w:p>
    <w:p w14:paraId="309F2472">
      <w:pPr>
        <w:pStyle w:val="1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1.2封套的封口处应加盖供应商公章或由法定代表人授权代表签字。</w:t>
      </w:r>
    </w:p>
    <w:p w14:paraId="002A079F">
      <w:pPr>
        <w:pStyle w:val="1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2.如果响应文件通过邮寄递交，供应商应将响应文件用内、外两层封套密封。</w:t>
      </w:r>
    </w:p>
    <w:p w14:paraId="708170B2">
      <w:pPr>
        <w:pStyle w:val="1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2.1内层封套的封装与标记同 “1、”款规定。</w:t>
      </w:r>
    </w:p>
    <w:p w14:paraId="53350FC7">
      <w:pPr>
        <w:pStyle w:val="1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2.2外层封套装入“1、”款所述全部内封资料，并注明</w:t>
      </w:r>
      <w:r>
        <w:rPr>
          <w:rFonts w:hint="eastAsia" w:ascii="仿宋" w:hAnsi="仿宋" w:eastAsia="仿宋" w:cs="仿宋"/>
          <w:color w:val="auto"/>
          <w:sz w:val="24"/>
          <w:szCs w:val="24"/>
          <w:lang w:eastAsia="zh-CN"/>
        </w:rPr>
        <w:t>项目名称、</w:t>
      </w:r>
      <w:r>
        <w:rPr>
          <w:rFonts w:hint="eastAsia" w:ascii="仿宋" w:hAnsi="仿宋" w:eastAsia="仿宋" w:cs="仿宋"/>
          <w:color w:val="auto"/>
          <w:sz w:val="24"/>
          <w:szCs w:val="24"/>
        </w:rPr>
        <w:t>同时应写明供应商的名称、地址，以便将迟交的响应文件原封退还。</w:t>
      </w:r>
    </w:p>
    <w:p w14:paraId="6CFBE694">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3.如果未按上述规定进行密封和标记，采购代理机构对响应文件误投、丢失或提前拆封不负责任。</w:t>
      </w:r>
    </w:p>
    <w:p w14:paraId="4D901F3E">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（七）供应商参与人员</w:t>
      </w:r>
    </w:p>
    <w:p w14:paraId="2C36FB3B">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各个供应商应当派1-2名代表参与</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，至少1人应为法定代表人或具有法定代表人授权委托书的授权代表。</w:t>
      </w:r>
    </w:p>
    <w:p w14:paraId="3CABEC62">
      <w:pPr>
        <w:pStyle w:val="6"/>
        <w:spacing w:before="0" w:after="0" w:line="360" w:lineRule="auto"/>
        <w:rPr>
          <w:rFonts w:hint="eastAsia" w:ascii="仿宋" w:hAnsi="仿宋" w:eastAsia="仿宋" w:cs="仿宋"/>
          <w:color w:val="auto"/>
          <w:sz w:val="24"/>
          <w:szCs w:val="24"/>
        </w:rPr>
      </w:pPr>
      <w:bookmarkStart w:id="101" w:name="_Toc1227"/>
      <w:r>
        <w:rPr>
          <w:rFonts w:hint="eastAsia" w:ascii="仿宋" w:hAnsi="仿宋" w:eastAsia="仿宋" w:cs="仿宋"/>
          <w:color w:val="auto"/>
          <w:sz w:val="24"/>
          <w:szCs w:val="24"/>
        </w:rPr>
        <w:t>四、成交供应商的确认和变更</w:t>
      </w:r>
      <w:bookmarkEnd w:id="101"/>
    </w:p>
    <w:p w14:paraId="336772A2">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（一）成交供应商的确认</w:t>
      </w:r>
    </w:p>
    <w:p w14:paraId="3235A4C5">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采购代理机构应当在评审结束后2个工作日内将评审报告送采购人确认。采购人应当在收到评审报告后5个工作日内，从评审报告提出的成交候选供应商中，按照排序由高到低的原则确定成交供应商，也可以书面授权</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直接确定成交供应商。采购人逾期未确定成交供应商且不提出异议的，视为确定评审报告提出的排序第一的供应商为成交供应商。</w:t>
      </w:r>
    </w:p>
    <w:p w14:paraId="44796EA7">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（二）成交供应商的变更</w:t>
      </w:r>
    </w:p>
    <w:p w14:paraId="334444FE">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成交供应商拒绝与采购人签订合同的，采购人可以按照评标报告推荐的成交候选供应商顺序，确定排名下一位的候选人为成交供应商，也可以重新开展政府采购活动。</w:t>
      </w:r>
    </w:p>
    <w:p w14:paraId="3B4AC75A">
      <w:pPr>
        <w:pStyle w:val="6"/>
        <w:spacing w:before="0" w:after="0" w:line="360" w:lineRule="auto"/>
        <w:rPr>
          <w:rFonts w:hint="eastAsia" w:ascii="仿宋" w:hAnsi="仿宋" w:eastAsia="仿宋" w:cs="仿宋"/>
          <w:color w:val="auto"/>
          <w:sz w:val="24"/>
          <w:szCs w:val="24"/>
        </w:rPr>
      </w:pPr>
      <w:bookmarkStart w:id="102" w:name="_Toc1004"/>
      <w:bookmarkStart w:id="103" w:name="_Toc102227321"/>
      <w:bookmarkStart w:id="104" w:name="_Toc342913395"/>
      <w:r>
        <w:rPr>
          <w:rFonts w:hint="eastAsia" w:ascii="仿宋" w:hAnsi="仿宋" w:eastAsia="仿宋" w:cs="仿宋"/>
          <w:color w:val="auto"/>
          <w:sz w:val="24"/>
          <w:szCs w:val="24"/>
        </w:rPr>
        <w:t>五、成交通知</w:t>
      </w:r>
      <w:bookmarkEnd w:id="102"/>
      <w:bookmarkEnd w:id="103"/>
      <w:bookmarkEnd w:id="104"/>
    </w:p>
    <w:p w14:paraId="11854573">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（一）结果出来后三个工作日，采购代理机构将以书面形式发出《成交通知书》。《成交通知书》一经发出即发生法律效力。</w:t>
      </w:r>
    </w:p>
    <w:p w14:paraId="4FAC5B90">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（二）《成交通知书》将作为签订合同的依据。</w:t>
      </w:r>
    </w:p>
    <w:p w14:paraId="2216DED6">
      <w:pPr>
        <w:pStyle w:val="6"/>
        <w:spacing w:before="0" w:after="0" w:line="360" w:lineRule="auto"/>
        <w:rPr>
          <w:rFonts w:hint="eastAsia" w:ascii="仿宋" w:hAnsi="仿宋" w:eastAsia="仿宋" w:cs="仿宋"/>
          <w:color w:val="auto"/>
          <w:sz w:val="24"/>
          <w:szCs w:val="24"/>
        </w:rPr>
      </w:pPr>
      <w:bookmarkStart w:id="105" w:name="_Toc19790"/>
      <w:r>
        <w:rPr>
          <w:rFonts w:hint="eastAsia" w:ascii="仿宋" w:hAnsi="仿宋" w:eastAsia="仿宋" w:cs="仿宋"/>
          <w:color w:val="auto"/>
          <w:sz w:val="24"/>
          <w:szCs w:val="24"/>
          <w:lang w:val="en-US" w:eastAsia="zh-CN"/>
        </w:rPr>
        <w:t>六</w:t>
      </w:r>
      <w:r>
        <w:rPr>
          <w:rFonts w:hint="eastAsia" w:ascii="仿宋" w:hAnsi="仿宋" w:eastAsia="仿宋" w:cs="仿宋"/>
          <w:color w:val="auto"/>
          <w:sz w:val="24"/>
          <w:szCs w:val="24"/>
        </w:rPr>
        <w:t>、采购代理服务费</w:t>
      </w:r>
      <w:bookmarkEnd w:id="105"/>
    </w:p>
    <w:p w14:paraId="35610881">
      <w:pPr>
        <w:pStyle w:val="6"/>
        <w:spacing w:before="0" w:after="0" w:line="360" w:lineRule="auto"/>
        <w:ind w:firstLine="720" w:firstLineChars="300"/>
        <w:rPr>
          <w:rFonts w:hint="eastAsia" w:ascii="仿宋" w:hAnsi="仿宋" w:eastAsia="仿宋" w:cs="仿宋"/>
          <w:b w:val="0"/>
          <w:color w:val="auto"/>
          <w:kern w:val="2"/>
          <w:sz w:val="24"/>
          <w:szCs w:val="24"/>
          <w:lang w:val="en-US" w:eastAsia="zh-CN" w:bidi="ar-SA"/>
        </w:rPr>
      </w:pPr>
      <w:bookmarkStart w:id="106" w:name="_Toc838"/>
      <w:bookmarkStart w:id="107" w:name="_Toc2127"/>
      <w:bookmarkStart w:id="108" w:name="_Toc19437"/>
      <w:bookmarkStart w:id="109" w:name="_Toc102227322"/>
      <w:bookmarkStart w:id="110" w:name="_Toc342913396"/>
      <w:bookmarkStart w:id="111" w:name="_Toc12789059"/>
      <w:bookmarkStart w:id="112" w:name="_Toc11641055"/>
      <w:r>
        <w:rPr>
          <w:rFonts w:hint="eastAsia" w:ascii="仿宋" w:hAnsi="仿宋" w:eastAsia="仿宋" w:cs="仿宋"/>
          <w:b w:val="0"/>
          <w:color w:val="auto"/>
          <w:kern w:val="2"/>
          <w:sz w:val="24"/>
          <w:szCs w:val="24"/>
          <w:lang w:val="en-US" w:eastAsia="zh-CN" w:bidi="ar-SA"/>
        </w:rPr>
        <w:t>成交供应商在领取成交通知书前向代理机构缴纳采购代理服务费，</w:t>
      </w:r>
      <w:bookmarkEnd w:id="106"/>
      <w:bookmarkEnd w:id="107"/>
      <w:bookmarkEnd w:id="108"/>
      <w:r>
        <w:rPr>
          <w:rFonts w:hint="eastAsia" w:ascii="仿宋" w:hAnsi="仿宋" w:eastAsia="仿宋" w:cs="仿宋"/>
          <w:b w:val="0"/>
          <w:color w:val="auto"/>
          <w:kern w:val="2"/>
          <w:sz w:val="24"/>
          <w:szCs w:val="24"/>
          <w:lang w:val="en-US" w:eastAsia="zh-CN" w:bidi="ar-SA"/>
        </w:rPr>
        <w:t>计算方式：参照计价格〔2002〕1980号和发改价格〔2011〕534号，计算基数暂按288000元（最终计算基数按中标金额），288000×1.50％=4320.00元，打7折3024.00元。</w:t>
      </w:r>
    </w:p>
    <w:p w14:paraId="4AA61F08">
      <w:pPr>
        <w:pStyle w:val="6"/>
        <w:spacing w:before="0" w:after="0" w:line="360" w:lineRule="auto"/>
        <w:rPr>
          <w:rFonts w:hint="eastAsia" w:ascii="仿宋" w:hAnsi="仿宋" w:eastAsia="仿宋" w:cs="仿宋"/>
          <w:color w:val="auto"/>
          <w:sz w:val="24"/>
          <w:szCs w:val="24"/>
        </w:rPr>
      </w:pPr>
      <w:bookmarkStart w:id="113" w:name="_Toc14267"/>
      <w:r>
        <w:rPr>
          <w:rFonts w:hint="eastAsia" w:ascii="仿宋" w:hAnsi="仿宋" w:eastAsia="仿宋" w:cs="仿宋"/>
          <w:color w:val="auto"/>
          <w:sz w:val="24"/>
          <w:szCs w:val="24"/>
          <w:lang w:val="en-US" w:eastAsia="zh-CN"/>
        </w:rPr>
        <w:t>七</w:t>
      </w:r>
      <w:r>
        <w:rPr>
          <w:rFonts w:hint="eastAsia" w:ascii="仿宋" w:hAnsi="仿宋" w:eastAsia="仿宋" w:cs="仿宋"/>
          <w:color w:val="auto"/>
          <w:sz w:val="24"/>
          <w:szCs w:val="24"/>
        </w:rPr>
        <w:t>、签订</w:t>
      </w:r>
      <w:bookmarkEnd w:id="109"/>
      <w:r>
        <w:rPr>
          <w:rFonts w:hint="eastAsia" w:ascii="仿宋" w:hAnsi="仿宋" w:eastAsia="仿宋" w:cs="仿宋"/>
          <w:color w:val="auto"/>
          <w:sz w:val="24"/>
          <w:szCs w:val="24"/>
        </w:rPr>
        <w:t>合同</w:t>
      </w:r>
      <w:bookmarkEnd w:id="110"/>
      <w:bookmarkEnd w:id="113"/>
    </w:p>
    <w:p w14:paraId="08AB5E53">
      <w:pPr>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b w:val="0"/>
          <w:bCs w:val="0"/>
          <w:color w:val="auto"/>
          <w:sz w:val="24"/>
          <w:szCs w:val="24"/>
        </w:rPr>
        <w:t>（一）采购人应当自成交通知书发出之日起</w:t>
      </w:r>
      <w:r>
        <w:rPr>
          <w:rFonts w:hint="eastAsia" w:ascii="仿宋" w:hAnsi="仿宋" w:eastAsia="仿宋" w:cs="仿宋"/>
          <w:b w:val="0"/>
          <w:bCs w:val="0"/>
          <w:color w:val="auto"/>
          <w:sz w:val="24"/>
          <w:szCs w:val="24"/>
          <w:lang w:val="en-US" w:eastAsia="zh-CN"/>
        </w:rPr>
        <w:t>二</w:t>
      </w:r>
      <w:r>
        <w:rPr>
          <w:rFonts w:hint="eastAsia" w:ascii="仿宋" w:hAnsi="仿宋" w:eastAsia="仿宋" w:cs="仿宋"/>
          <w:b w:val="0"/>
          <w:bCs w:val="0"/>
          <w:color w:val="auto"/>
          <w:sz w:val="24"/>
          <w:szCs w:val="24"/>
        </w:rPr>
        <w:t>十日内，按照</w:t>
      </w:r>
      <w:r>
        <w:rPr>
          <w:rFonts w:hint="eastAsia" w:ascii="仿宋" w:hAnsi="仿宋" w:eastAsia="仿宋" w:cs="仿宋"/>
          <w:b w:val="0"/>
          <w:bCs w:val="0"/>
          <w:color w:val="auto"/>
          <w:sz w:val="24"/>
          <w:szCs w:val="24"/>
          <w:lang w:eastAsia="zh-CN"/>
        </w:rPr>
        <w:t>询比文件</w:t>
      </w:r>
      <w:r>
        <w:rPr>
          <w:rFonts w:hint="eastAsia" w:ascii="仿宋" w:hAnsi="仿宋" w:eastAsia="仿宋" w:cs="仿宋"/>
          <w:b w:val="0"/>
          <w:bCs w:val="0"/>
          <w:color w:val="auto"/>
          <w:sz w:val="24"/>
          <w:szCs w:val="24"/>
        </w:rPr>
        <w:t>和成交供应商响应文件的约定，与成交供应商签订书面合同。所签订的合同</w:t>
      </w:r>
      <w:r>
        <w:rPr>
          <w:rFonts w:hint="eastAsia" w:ascii="仿宋" w:hAnsi="仿宋" w:eastAsia="仿宋" w:cs="仿宋"/>
          <w:color w:val="auto"/>
          <w:sz w:val="24"/>
          <w:szCs w:val="24"/>
        </w:rPr>
        <w:t>不得对</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和供应商的响应文件作实质性修改。</w:t>
      </w:r>
    </w:p>
    <w:p w14:paraId="10161210">
      <w:pPr>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color w:val="auto"/>
          <w:sz w:val="24"/>
          <w:szCs w:val="24"/>
        </w:rPr>
        <w:t>（二）</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、供应商的响应文件及澄清文件等，均为签订</w:t>
      </w:r>
      <w:r>
        <w:rPr>
          <w:rFonts w:hint="eastAsia" w:ascii="仿宋" w:hAnsi="仿宋" w:eastAsia="仿宋" w:cs="仿宋"/>
          <w:color w:val="auto"/>
          <w:sz w:val="24"/>
          <w:szCs w:val="24"/>
          <w:lang w:eastAsia="zh-CN"/>
        </w:rPr>
        <w:t>采购合同</w:t>
      </w:r>
      <w:r>
        <w:rPr>
          <w:rFonts w:hint="eastAsia" w:ascii="仿宋" w:hAnsi="仿宋" w:eastAsia="仿宋" w:cs="仿宋"/>
          <w:color w:val="auto"/>
          <w:sz w:val="24"/>
          <w:szCs w:val="24"/>
        </w:rPr>
        <w:t>的依据。</w:t>
      </w:r>
    </w:p>
    <w:p w14:paraId="63136C25">
      <w:pPr>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color w:val="auto"/>
          <w:sz w:val="24"/>
          <w:szCs w:val="24"/>
        </w:rPr>
        <w:t>（三）合同生效条款由供需双方约定，法律、行政法规规定应当办理批准、登记等手续后生效的合同，依照其规定。</w:t>
      </w:r>
    </w:p>
    <w:p w14:paraId="4AEAB343">
      <w:pPr>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color w:val="auto"/>
          <w:sz w:val="24"/>
          <w:szCs w:val="24"/>
        </w:rPr>
        <w:t>（四）合同原则上应按照《重庆市</w:t>
      </w:r>
      <w:r>
        <w:rPr>
          <w:rFonts w:hint="eastAsia" w:ascii="仿宋" w:hAnsi="仿宋" w:eastAsia="仿宋" w:cs="仿宋"/>
          <w:color w:val="auto"/>
          <w:sz w:val="24"/>
          <w:szCs w:val="24"/>
          <w:lang w:eastAsia="zh-CN"/>
        </w:rPr>
        <w:t>采购合同</w:t>
      </w:r>
      <w:r>
        <w:rPr>
          <w:rFonts w:hint="eastAsia" w:ascii="仿宋" w:hAnsi="仿宋" w:eastAsia="仿宋" w:cs="仿宋"/>
          <w:color w:val="auto"/>
          <w:sz w:val="24"/>
          <w:szCs w:val="24"/>
        </w:rPr>
        <w:t>》签订，相关单位要求适用合同通用格式版本的，应按其要求另行签订其他合同。</w:t>
      </w:r>
    </w:p>
    <w:p w14:paraId="3ADC26B6">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（五）采购人要求成交供应商提供履约保证金的，应当在</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中予以约定。成交供应商履约完毕后，采购人根据采购文件规定无息退还其履约保证金。</w:t>
      </w:r>
    </w:p>
    <w:p w14:paraId="1193EBF3">
      <w:pPr>
        <w:pStyle w:val="5"/>
        <w:spacing w:before="0" w:after="0" w:line="360" w:lineRule="auto"/>
        <w:jc w:val="center"/>
        <w:rPr>
          <w:rFonts w:hint="eastAsia" w:ascii="仿宋" w:hAnsi="仿宋" w:eastAsia="仿宋" w:cs="仿宋"/>
          <w:b w:val="0"/>
          <w:color w:val="auto"/>
          <w:sz w:val="36"/>
          <w:szCs w:val="30"/>
          <w:lang w:eastAsia="zh-CN"/>
        </w:rPr>
      </w:pPr>
      <w:bookmarkStart w:id="114" w:name="_Toc12594"/>
      <w:r>
        <w:rPr>
          <w:rFonts w:hint="eastAsia" w:ascii="仿宋" w:hAnsi="仿宋" w:eastAsia="仿宋" w:cs="仿宋"/>
          <w:b w:val="0"/>
          <w:color w:val="auto"/>
          <w:sz w:val="36"/>
          <w:szCs w:val="30"/>
        </w:rPr>
        <w:t xml:space="preserve">第六篇  </w:t>
      </w:r>
      <w:bookmarkEnd w:id="111"/>
      <w:bookmarkEnd w:id="112"/>
      <w:r>
        <w:rPr>
          <w:rFonts w:hint="eastAsia" w:ascii="仿宋" w:hAnsi="仿宋" w:eastAsia="仿宋" w:cs="仿宋"/>
          <w:b w:val="0"/>
          <w:color w:val="auto"/>
          <w:sz w:val="36"/>
          <w:szCs w:val="30"/>
          <w:lang w:eastAsia="zh-CN"/>
        </w:rPr>
        <w:t>采购合同</w:t>
      </w:r>
      <w:bookmarkEnd w:id="114"/>
    </w:p>
    <w:p w14:paraId="67D60C09">
      <w:pPr>
        <w:pStyle w:val="5"/>
        <w:spacing w:before="0" w:after="0" w:line="360" w:lineRule="auto"/>
        <w:jc w:val="center"/>
        <w:rPr>
          <w:rFonts w:hint="eastAsia" w:ascii="仿宋" w:hAnsi="仿宋" w:eastAsia="仿宋" w:cs="仿宋"/>
          <w:b w:val="0"/>
          <w:color w:val="auto"/>
          <w:sz w:val="36"/>
          <w:szCs w:val="30"/>
        </w:rPr>
      </w:pPr>
      <w:bookmarkStart w:id="115" w:name="_Hlt41879464"/>
      <w:bookmarkEnd w:id="115"/>
      <w:bookmarkStart w:id="116" w:name="_Toc29305"/>
      <w:r>
        <w:rPr>
          <w:rFonts w:hint="eastAsia" w:ascii="仿宋" w:hAnsi="仿宋" w:eastAsia="仿宋" w:cs="仿宋"/>
          <w:b w:val="0"/>
          <w:color w:val="auto"/>
          <w:sz w:val="28"/>
          <w:szCs w:val="24"/>
          <w:lang w:eastAsia="zh-CN"/>
        </w:rPr>
        <w:t>根据项目情况自拟。</w:t>
      </w:r>
      <w:r>
        <w:rPr>
          <w:rFonts w:hint="eastAsia" w:ascii="仿宋" w:hAnsi="仿宋" w:eastAsia="仿宋" w:cs="仿宋"/>
          <w:b w:val="0"/>
          <w:color w:val="auto"/>
          <w:sz w:val="36"/>
          <w:szCs w:val="30"/>
        </w:rPr>
        <w:br w:type="page"/>
      </w:r>
      <w:r>
        <w:rPr>
          <w:rFonts w:hint="eastAsia" w:ascii="仿宋" w:hAnsi="仿宋" w:eastAsia="仿宋" w:cs="仿宋"/>
          <w:b w:val="0"/>
          <w:color w:val="auto"/>
          <w:sz w:val="36"/>
          <w:szCs w:val="30"/>
        </w:rPr>
        <w:t>第七篇  响应文件编制要求</w:t>
      </w:r>
      <w:bookmarkEnd w:id="116"/>
    </w:p>
    <w:p w14:paraId="75F7CCE9">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一、经济部分</w:t>
      </w:r>
    </w:p>
    <w:p w14:paraId="0BDEEF52">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（一）报价函</w:t>
      </w:r>
    </w:p>
    <w:p w14:paraId="029FE79C">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w:t>
      </w:r>
      <w:r>
        <w:rPr>
          <w:rFonts w:hint="eastAsia" w:ascii="方正仿宋_GBK" w:hAnsi="宋体" w:eastAsia="方正仿宋_GBK"/>
          <w:color w:val="auto"/>
          <w:sz w:val="24"/>
          <w:szCs w:val="24"/>
        </w:rPr>
        <w:t>明细报价表</w:t>
      </w:r>
    </w:p>
    <w:p w14:paraId="52E6E9CD">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二、服务部分</w:t>
      </w:r>
    </w:p>
    <w:p w14:paraId="3F466878">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（一）服务方案</w:t>
      </w:r>
    </w:p>
    <w:p w14:paraId="5F13F063">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（二）服务响应偏离表</w:t>
      </w:r>
    </w:p>
    <w:p w14:paraId="334C4C61">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三、商务部分</w:t>
      </w:r>
    </w:p>
    <w:p w14:paraId="03E9151F">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（一）商务要求响应情况：服务期及地点、报价要求、质量保证及售后服务等。</w:t>
      </w:r>
    </w:p>
    <w:p w14:paraId="06212763">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（二）商务响应偏离表</w:t>
      </w:r>
    </w:p>
    <w:p w14:paraId="2DC177DC">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（三）商务部分评分资料</w:t>
      </w:r>
    </w:p>
    <w:p w14:paraId="388FAD2D">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四、资格条件及其他</w:t>
      </w:r>
    </w:p>
    <w:p w14:paraId="00985D2F">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（一）营业执照（副本）或事业单位法人证书（副本）复印件</w:t>
      </w:r>
    </w:p>
    <w:p w14:paraId="1AF3522D">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二</w:t>
      </w:r>
      <w:r>
        <w:rPr>
          <w:rFonts w:hint="eastAsia" w:ascii="仿宋" w:hAnsi="仿宋" w:eastAsia="仿宋" w:cs="仿宋"/>
          <w:color w:val="auto"/>
          <w:sz w:val="24"/>
          <w:szCs w:val="24"/>
        </w:rPr>
        <w:t>）法定代表人身份证明书（格式）</w:t>
      </w:r>
    </w:p>
    <w:p w14:paraId="66C9F3B3">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三</w:t>
      </w:r>
      <w:r>
        <w:rPr>
          <w:rFonts w:hint="eastAsia" w:ascii="仿宋" w:hAnsi="仿宋" w:eastAsia="仿宋" w:cs="仿宋"/>
          <w:color w:val="auto"/>
          <w:sz w:val="24"/>
          <w:szCs w:val="24"/>
        </w:rPr>
        <w:t>）法定代表人授权委托书（格式）</w:t>
      </w:r>
    </w:p>
    <w:p w14:paraId="54E45CF7">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四</w:t>
      </w: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基本资格条件承诺函</w:t>
      </w:r>
      <w:r>
        <w:rPr>
          <w:rFonts w:hint="eastAsia" w:ascii="仿宋" w:hAnsi="仿宋" w:eastAsia="仿宋" w:cs="仿宋"/>
          <w:color w:val="auto"/>
          <w:sz w:val="24"/>
          <w:szCs w:val="24"/>
        </w:rPr>
        <w:t>（格式）</w:t>
      </w:r>
    </w:p>
    <w:p w14:paraId="02DAC643">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五</w:t>
      </w:r>
      <w:r>
        <w:rPr>
          <w:rFonts w:hint="eastAsia" w:ascii="仿宋" w:hAnsi="仿宋" w:eastAsia="仿宋" w:cs="仿宋"/>
          <w:color w:val="auto"/>
          <w:sz w:val="24"/>
          <w:szCs w:val="24"/>
        </w:rPr>
        <w:t>）特定资格条件证书或证明文件</w:t>
      </w:r>
    </w:p>
    <w:p w14:paraId="2DB7E88B">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五、其他资料</w:t>
      </w:r>
    </w:p>
    <w:p w14:paraId="6D007042">
      <w:pPr>
        <w:snapToGrid w:val="0"/>
        <w:spacing w:line="360" w:lineRule="auto"/>
        <w:rPr>
          <w:rFonts w:hint="eastAsia" w:ascii="仿宋" w:hAnsi="仿宋" w:eastAsia="仿宋" w:cs="仿宋"/>
          <w:color w:val="auto"/>
          <w:sz w:val="24"/>
          <w:szCs w:val="24"/>
          <w:bdr w:val="single" w:color="auto" w:sz="4" w:space="0"/>
        </w:rPr>
        <w:sectPr>
          <w:footerReference r:id="rId10" w:type="default"/>
          <w:pgSz w:w="11907" w:h="16840"/>
          <w:pgMar w:top="1134" w:right="1191" w:bottom="1134" w:left="1304" w:header="851" w:footer="992" w:gutter="0"/>
          <w:pgNumType w:fmt="numberInDash"/>
          <w:cols w:space="720" w:num="1"/>
          <w:docGrid w:linePitch="380" w:charSpace="-5735"/>
        </w:sectPr>
      </w:pPr>
      <w:r>
        <w:rPr>
          <w:rFonts w:hint="eastAsia" w:ascii="仿宋" w:hAnsi="仿宋" w:eastAsia="仿宋" w:cs="仿宋"/>
          <w:color w:val="auto"/>
          <w:sz w:val="24"/>
          <w:szCs w:val="24"/>
        </w:rPr>
        <w:t xml:space="preserve">  </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 xml:space="preserve"> （</w:t>
      </w:r>
      <w:r>
        <w:rPr>
          <w:rFonts w:hint="eastAsia" w:ascii="仿宋" w:hAnsi="仿宋" w:eastAsia="仿宋" w:cs="仿宋"/>
          <w:color w:val="auto"/>
          <w:sz w:val="24"/>
          <w:szCs w:val="24"/>
          <w:lang w:val="en-US" w:eastAsia="zh-CN"/>
        </w:rPr>
        <w:t>一</w:t>
      </w:r>
      <w:r>
        <w:rPr>
          <w:rFonts w:hint="eastAsia" w:ascii="仿宋" w:hAnsi="仿宋" w:eastAsia="仿宋" w:cs="仿宋"/>
          <w:color w:val="auto"/>
          <w:sz w:val="24"/>
          <w:szCs w:val="24"/>
        </w:rPr>
        <w:t>）其他与项目有关的资料</w:t>
      </w:r>
    </w:p>
    <w:p w14:paraId="0B86ABA2">
      <w:pPr>
        <w:pStyle w:val="6"/>
        <w:spacing w:before="0" w:after="0" w:line="360" w:lineRule="auto"/>
        <w:rPr>
          <w:rFonts w:hint="eastAsia" w:ascii="仿宋" w:hAnsi="仿宋" w:eastAsia="仿宋" w:cs="仿宋"/>
          <w:color w:val="auto"/>
          <w:sz w:val="24"/>
          <w:szCs w:val="24"/>
        </w:rPr>
      </w:pPr>
      <w:bookmarkStart w:id="117" w:name="_Toc3857"/>
      <w:bookmarkStart w:id="118" w:name="_Toc342913419"/>
      <w:bookmarkStart w:id="119" w:name="_Toc313008356"/>
      <w:bookmarkStart w:id="120" w:name="_Toc313888360"/>
      <w:bookmarkStart w:id="121" w:name="_Toc283382454"/>
      <w:bookmarkStart w:id="122" w:name="_Toc12789073"/>
      <w:r>
        <w:rPr>
          <w:rFonts w:hint="eastAsia" w:ascii="仿宋" w:hAnsi="仿宋" w:eastAsia="仿宋" w:cs="仿宋"/>
          <w:color w:val="auto"/>
          <w:sz w:val="24"/>
          <w:szCs w:val="24"/>
        </w:rPr>
        <w:t>一、经济部分</w:t>
      </w:r>
      <w:bookmarkEnd w:id="117"/>
      <w:bookmarkEnd w:id="118"/>
      <w:bookmarkEnd w:id="119"/>
      <w:bookmarkEnd w:id="120"/>
    </w:p>
    <w:bookmarkEnd w:id="121"/>
    <w:bookmarkEnd w:id="122"/>
    <w:p w14:paraId="03334C43">
      <w:pPr>
        <w:tabs>
          <w:tab w:val="left" w:pos="6300"/>
        </w:tabs>
        <w:snapToGrid w:val="0"/>
        <w:spacing w:line="360" w:lineRule="auto"/>
        <w:ind w:firstLine="420" w:firstLineChars="200"/>
        <w:rPr>
          <w:rFonts w:hint="eastAsia" w:ascii="仿宋" w:hAnsi="仿宋" w:eastAsia="仿宋" w:cs="仿宋"/>
          <w:color w:val="auto"/>
          <w:szCs w:val="28"/>
        </w:rPr>
      </w:pPr>
      <w:r>
        <w:rPr>
          <w:rFonts w:hint="eastAsia" w:ascii="仿宋" w:hAnsi="仿宋" w:eastAsia="仿宋" w:cs="仿宋"/>
          <w:color w:val="auto"/>
          <w:szCs w:val="28"/>
        </w:rPr>
        <w:t>（一）报价函</w:t>
      </w:r>
    </w:p>
    <w:p w14:paraId="237D513C">
      <w:pPr>
        <w:tabs>
          <w:tab w:val="left" w:pos="6300"/>
        </w:tabs>
        <w:snapToGrid w:val="0"/>
        <w:spacing w:line="360" w:lineRule="auto"/>
        <w:jc w:val="center"/>
        <w:outlineLvl w:val="0"/>
        <w:rPr>
          <w:rFonts w:hint="eastAsia" w:ascii="仿宋" w:hAnsi="仿宋" w:eastAsia="仿宋" w:cs="仿宋"/>
          <w:b/>
          <w:color w:val="auto"/>
          <w:szCs w:val="28"/>
        </w:rPr>
      </w:pPr>
      <w:r>
        <w:rPr>
          <w:rFonts w:hint="eastAsia" w:ascii="仿宋" w:hAnsi="仿宋" w:eastAsia="仿宋" w:cs="仿宋"/>
          <w:b/>
          <w:color w:val="auto"/>
          <w:szCs w:val="28"/>
        </w:rPr>
        <w:t>报价函</w:t>
      </w:r>
    </w:p>
    <w:p w14:paraId="424530B0">
      <w:pPr>
        <w:tabs>
          <w:tab w:val="left" w:pos="6300"/>
        </w:tabs>
        <w:snapToGrid w:val="0"/>
        <w:spacing w:line="360" w:lineRule="auto"/>
        <w:rPr>
          <w:rFonts w:hint="eastAsia" w:ascii="仿宋" w:hAnsi="仿宋" w:eastAsia="仿宋" w:cs="仿宋"/>
          <w:color w:val="auto"/>
          <w:sz w:val="24"/>
          <w:szCs w:val="24"/>
        </w:rPr>
      </w:pPr>
      <w:r>
        <w:rPr>
          <w:rFonts w:hint="eastAsia" w:ascii="仿宋" w:hAnsi="仿宋" w:eastAsia="仿宋" w:cs="仿宋"/>
          <w:color w:val="auto"/>
          <w:sz w:val="24"/>
          <w:szCs w:val="24"/>
          <w:u w:val="single"/>
        </w:rPr>
        <w:t>（采购人名称）</w:t>
      </w:r>
      <w:r>
        <w:rPr>
          <w:rFonts w:hint="eastAsia" w:ascii="仿宋" w:hAnsi="仿宋" w:eastAsia="仿宋" w:cs="仿宋"/>
          <w:color w:val="auto"/>
          <w:sz w:val="24"/>
          <w:szCs w:val="24"/>
        </w:rPr>
        <w:t>：</w:t>
      </w:r>
    </w:p>
    <w:p w14:paraId="4FE579B7">
      <w:pPr>
        <w:tabs>
          <w:tab w:val="left" w:pos="6300"/>
        </w:tabs>
        <w:snapToGrid w:val="0"/>
        <w:spacing w:line="312" w:lineRule="auto"/>
        <w:ind w:firstLine="480" w:firstLineChars="200"/>
        <w:rPr>
          <w:rFonts w:hint="eastAsia" w:ascii="方正仿宋_GBK" w:hAnsi="宋体" w:eastAsia="方正仿宋_GBK"/>
          <w:color w:val="auto"/>
          <w:sz w:val="24"/>
          <w:szCs w:val="24"/>
        </w:rPr>
      </w:pPr>
      <w:r>
        <w:rPr>
          <w:rFonts w:hint="eastAsia" w:ascii="方正仿宋_GBK" w:hAnsi="宋体" w:eastAsia="方正仿宋_GBK"/>
          <w:color w:val="auto"/>
          <w:sz w:val="24"/>
          <w:szCs w:val="24"/>
        </w:rPr>
        <w:t>我方收到</w:t>
      </w:r>
      <w:r>
        <w:rPr>
          <w:rFonts w:hint="eastAsia" w:ascii="方正仿宋_GBK" w:hAnsi="宋体" w:eastAsia="方正仿宋_GBK"/>
          <w:color w:val="auto"/>
          <w:sz w:val="24"/>
          <w:szCs w:val="24"/>
          <w:u w:val="single"/>
          <w:lang w:val="en-US" w:eastAsia="zh-CN"/>
        </w:rPr>
        <w:t xml:space="preserve">                   </w:t>
      </w:r>
      <w:r>
        <w:rPr>
          <w:rFonts w:hint="eastAsia" w:ascii="方正仿宋_GBK" w:hAnsi="宋体" w:eastAsia="方正仿宋_GBK"/>
          <w:color w:val="auto"/>
          <w:sz w:val="24"/>
          <w:szCs w:val="24"/>
        </w:rPr>
        <w:t>（项目名称）的</w:t>
      </w:r>
      <w:r>
        <w:rPr>
          <w:rFonts w:hint="eastAsia" w:ascii="方正仿宋_GBK" w:hAnsi="宋体" w:eastAsia="方正仿宋_GBK"/>
          <w:color w:val="auto"/>
          <w:sz w:val="24"/>
          <w:szCs w:val="24"/>
          <w:lang w:eastAsia="zh-CN"/>
        </w:rPr>
        <w:t>询比文件</w:t>
      </w:r>
      <w:r>
        <w:rPr>
          <w:rFonts w:hint="eastAsia" w:ascii="方正仿宋_GBK" w:hAnsi="宋体" w:eastAsia="方正仿宋_GBK"/>
          <w:color w:val="auto"/>
          <w:sz w:val="24"/>
          <w:szCs w:val="24"/>
        </w:rPr>
        <w:t>，经详细研究，决定参加该项目的</w:t>
      </w:r>
      <w:r>
        <w:rPr>
          <w:rFonts w:hint="eastAsia" w:ascii="方正仿宋_GBK" w:hAnsi="宋体" w:eastAsia="方正仿宋_GBK"/>
          <w:color w:val="auto"/>
          <w:sz w:val="24"/>
          <w:szCs w:val="24"/>
          <w:lang w:eastAsia="zh-CN"/>
        </w:rPr>
        <w:t>询比</w:t>
      </w:r>
      <w:r>
        <w:rPr>
          <w:rFonts w:hint="eastAsia" w:ascii="方正仿宋_GBK" w:hAnsi="宋体" w:eastAsia="方正仿宋_GBK"/>
          <w:color w:val="auto"/>
          <w:sz w:val="24"/>
          <w:szCs w:val="24"/>
        </w:rPr>
        <w:t>。</w:t>
      </w:r>
    </w:p>
    <w:p w14:paraId="2620F6C1">
      <w:pPr>
        <w:tabs>
          <w:tab w:val="left" w:pos="6300"/>
        </w:tabs>
        <w:snapToGrid w:val="0"/>
        <w:spacing w:line="360" w:lineRule="auto"/>
        <w:ind w:left="10" w:leftChars="5" w:firstLine="458" w:firstLineChars="191"/>
        <w:jc w:val="left"/>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rPr>
        <w:t>1.愿意按照</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中的一切要求，提供本项目的服务，</w:t>
      </w:r>
      <w:r>
        <w:rPr>
          <w:rFonts w:hint="eastAsia" w:ascii="仿宋" w:hAnsi="仿宋" w:eastAsia="仿宋" w:cs="仿宋"/>
          <w:snapToGrid w:val="0"/>
          <w:color w:val="auto"/>
          <w:kern w:val="0"/>
          <w:sz w:val="24"/>
          <w:szCs w:val="24"/>
          <w:highlight w:val="none"/>
        </w:rPr>
        <w:t>愿意以人民币（大写）</w:t>
      </w:r>
      <w:r>
        <w:rPr>
          <w:rFonts w:hint="eastAsia" w:ascii="仿宋" w:hAnsi="仿宋" w:eastAsia="仿宋" w:cs="仿宋"/>
          <w:snapToGrid w:val="0"/>
          <w:color w:val="auto"/>
          <w:kern w:val="0"/>
          <w:sz w:val="24"/>
          <w:szCs w:val="24"/>
          <w:highlight w:val="none"/>
          <w:u w:val="single"/>
          <w:lang w:val="en-US" w:eastAsia="zh-CN"/>
        </w:rPr>
        <w:t xml:space="preserve">         </w:t>
      </w:r>
      <w:r>
        <w:rPr>
          <w:rFonts w:hint="eastAsia" w:ascii="仿宋" w:hAnsi="仿宋" w:eastAsia="仿宋" w:cs="仿宋"/>
          <w:snapToGrid w:val="0"/>
          <w:color w:val="auto"/>
          <w:kern w:val="0"/>
          <w:sz w:val="24"/>
          <w:szCs w:val="24"/>
          <w:highlight w:val="none"/>
        </w:rPr>
        <w:t>（¥</w:t>
      </w:r>
      <w:r>
        <w:rPr>
          <w:rFonts w:hint="eastAsia" w:ascii="仿宋" w:hAnsi="仿宋" w:eastAsia="仿宋" w:cs="仿宋"/>
          <w:snapToGrid w:val="0"/>
          <w:color w:val="auto"/>
          <w:kern w:val="0"/>
          <w:sz w:val="24"/>
          <w:szCs w:val="24"/>
          <w:highlight w:val="none"/>
          <w:u w:val="single"/>
        </w:rPr>
        <w:t xml:space="preserve">  </w:t>
      </w:r>
      <w:r>
        <w:rPr>
          <w:rFonts w:hint="eastAsia" w:ascii="仿宋" w:hAnsi="仿宋" w:eastAsia="仿宋" w:cs="仿宋"/>
          <w:snapToGrid w:val="0"/>
          <w:color w:val="auto"/>
          <w:kern w:val="0"/>
          <w:sz w:val="24"/>
          <w:szCs w:val="24"/>
          <w:highlight w:val="none"/>
          <w:u w:val="single"/>
          <w:lang w:val="en-US" w:eastAsia="zh-CN"/>
        </w:rPr>
        <w:t xml:space="preserve">  </w:t>
      </w:r>
      <w:r>
        <w:rPr>
          <w:rFonts w:hint="eastAsia" w:ascii="仿宋" w:hAnsi="仿宋" w:eastAsia="仿宋" w:cs="仿宋"/>
          <w:snapToGrid w:val="0"/>
          <w:color w:val="auto"/>
          <w:kern w:val="0"/>
          <w:sz w:val="24"/>
          <w:szCs w:val="24"/>
          <w:highlight w:val="none"/>
          <w:u w:val="single"/>
        </w:rPr>
        <w:t xml:space="preserve">  </w:t>
      </w:r>
      <w:r>
        <w:rPr>
          <w:rFonts w:hint="eastAsia" w:ascii="仿宋" w:hAnsi="仿宋" w:eastAsia="仿宋" w:cs="仿宋"/>
          <w:snapToGrid w:val="0"/>
          <w:color w:val="auto"/>
          <w:kern w:val="0"/>
          <w:sz w:val="24"/>
          <w:szCs w:val="24"/>
          <w:highlight w:val="none"/>
        </w:rPr>
        <w:t>）的投标总报价进行报价</w:t>
      </w:r>
      <w:r>
        <w:rPr>
          <w:rFonts w:hint="eastAsia" w:ascii="仿宋" w:hAnsi="仿宋" w:eastAsia="仿宋" w:cs="仿宋"/>
          <w:color w:val="auto"/>
          <w:kern w:val="2"/>
          <w:sz w:val="24"/>
          <w:szCs w:val="24"/>
          <w:highlight w:val="none"/>
          <w:u w:val="none"/>
          <w:lang w:val="en-US" w:eastAsia="zh-CN" w:bidi="ar-SA"/>
        </w:rPr>
        <w:t xml:space="preserve">。  </w:t>
      </w:r>
      <w:r>
        <w:rPr>
          <w:rFonts w:hint="eastAsia" w:ascii="仿宋" w:hAnsi="仿宋" w:eastAsia="仿宋" w:cs="仿宋"/>
          <w:color w:val="auto"/>
          <w:kern w:val="2"/>
          <w:sz w:val="24"/>
          <w:szCs w:val="24"/>
          <w:highlight w:val="none"/>
          <w:lang w:val="en-US" w:eastAsia="zh-CN" w:bidi="ar-SA"/>
        </w:rPr>
        <w:t xml:space="preserve">  </w:t>
      </w:r>
    </w:p>
    <w:p w14:paraId="75A8AB25">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2.我方现提交的响应文件为：响应文件正本</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份，副本</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份，电子文档</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份。</w:t>
      </w:r>
    </w:p>
    <w:p w14:paraId="75467F0B">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3.我方承诺：本次</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的有效期为90天。</w:t>
      </w:r>
    </w:p>
    <w:p w14:paraId="53D8B72D">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4.我方完全理解和接受贵方</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的一切规定和要求及评审办法。</w:t>
      </w:r>
    </w:p>
    <w:p w14:paraId="09B0F984">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5.在整个</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过程中，我方若有违规行为，接受按照《中华人民共和国政府采购法》和《</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》之规定给予惩罚。</w:t>
      </w:r>
    </w:p>
    <w:p w14:paraId="5611F304">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6.我方若成为成交供应商，将按照最终</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结果签订合同，并且严格履行合同义务。本承诺函将成为合同不可分割的一部分，与合同具有同等的法律效力。</w:t>
      </w:r>
    </w:p>
    <w:p w14:paraId="3EB52A70">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7.如果我方成为成交供应商，保证在接到成交通知书后，向采购代理机构缴纳</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规定的采购代理服务费。</w:t>
      </w:r>
    </w:p>
    <w:p w14:paraId="10E81124">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供应商（公章）：</w:t>
      </w:r>
    </w:p>
    <w:p w14:paraId="3E4560E5">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 xml:space="preserve">地址：  </w:t>
      </w:r>
    </w:p>
    <w:p w14:paraId="74DBCEEB">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电话：                                             传真：</w:t>
      </w:r>
    </w:p>
    <w:p w14:paraId="38AC05A4">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网址：                                             邮编：</w:t>
      </w:r>
    </w:p>
    <w:p w14:paraId="7418162C">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联系人：</w:t>
      </w:r>
    </w:p>
    <w:p w14:paraId="0A5EE4C7">
      <w:pPr>
        <w:spacing w:line="36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 xml:space="preserve">                                                  年   月   日</w:t>
      </w:r>
    </w:p>
    <w:p w14:paraId="5C4135DB">
      <w:pPr>
        <w:spacing w:line="360" w:lineRule="auto"/>
        <w:jc w:val="center"/>
        <w:rPr>
          <w:rFonts w:hint="eastAsia" w:ascii="仿宋" w:hAnsi="仿宋" w:eastAsia="仿宋" w:cs="仿宋"/>
          <w:color w:val="auto"/>
          <w:szCs w:val="28"/>
        </w:rPr>
      </w:pPr>
    </w:p>
    <w:p w14:paraId="439D88D8">
      <w:pPr>
        <w:spacing w:line="360" w:lineRule="auto"/>
        <w:jc w:val="center"/>
        <w:rPr>
          <w:rFonts w:hint="eastAsia" w:ascii="仿宋" w:hAnsi="仿宋" w:eastAsia="仿宋" w:cs="仿宋"/>
          <w:color w:val="auto"/>
          <w:szCs w:val="28"/>
        </w:rPr>
      </w:pPr>
    </w:p>
    <w:p w14:paraId="1A0650B1">
      <w:pPr>
        <w:snapToGrid w:val="0"/>
        <w:spacing w:line="360" w:lineRule="auto"/>
        <w:ind w:firstLine="480" w:firstLineChars="200"/>
        <w:rPr>
          <w:rFonts w:hint="eastAsia" w:ascii="仿宋" w:hAnsi="仿宋" w:eastAsia="仿宋" w:cs="仿宋"/>
          <w:color w:val="auto"/>
          <w:sz w:val="24"/>
          <w:szCs w:val="24"/>
        </w:rPr>
      </w:pPr>
    </w:p>
    <w:p w14:paraId="37717DF6">
      <w:pPr>
        <w:snapToGrid w:val="0"/>
        <w:spacing w:line="360" w:lineRule="auto"/>
        <w:ind w:firstLine="480" w:firstLineChars="200"/>
        <w:rPr>
          <w:rFonts w:hint="eastAsia" w:ascii="仿宋" w:hAnsi="仿宋" w:eastAsia="仿宋" w:cs="仿宋"/>
          <w:color w:val="auto"/>
          <w:sz w:val="24"/>
          <w:szCs w:val="24"/>
        </w:rPr>
      </w:pPr>
    </w:p>
    <w:p w14:paraId="75D6E4FC">
      <w:pPr>
        <w:pStyle w:val="13"/>
        <w:rPr>
          <w:rFonts w:hint="eastAsia"/>
          <w:color w:val="auto"/>
        </w:rPr>
      </w:pPr>
    </w:p>
    <w:p w14:paraId="5B973838">
      <w:pPr>
        <w:snapToGrid w:val="0"/>
        <w:spacing w:line="360" w:lineRule="auto"/>
        <w:ind w:firstLine="480" w:firstLineChars="200"/>
        <w:rPr>
          <w:rFonts w:hint="eastAsia" w:ascii="仿宋" w:hAnsi="仿宋" w:eastAsia="仿宋" w:cs="仿宋"/>
          <w:color w:val="auto"/>
          <w:sz w:val="24"/>
          <w:szCs w:val="24"/>
        </w:rPr>
      </w:pPr>
    </w:p>
    <w:p w14:paraId="1B37AB43">
      <w:pPr>
        <w:snapToGrid w:val="0"/>
        <w:spacing w:line="360" w:lineRule="auto"/>
        <w:ind w:firstLine="480" w:firstLineChars="200"/>
        <w:rPr>
          <w:rFonts w:hint="eastAsia" w:ascii="仿宋" w:hAnsi="仿宋" w:eastAsia="仿宋" w:cs="仿宋"/>
          <w:color w:val="auto"/>
          <w:sz w:val="24"/>
          <w:szCs w:val="24"/>
        </w:rPr>
      </w:pPr>
    </w:p>
    <w:p w14:paraId="0B98872D">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w:t>
      </w:r>
      <w:r>
        <w:rPr>
          <w:rFonts w:hint="eastAsia" w:ascii="方正仿宋_GBK" w:hAnsi="宋体" w:eastAsia="方正仿宋_GBK"/>
          <w:color w:val="auto"/>
          <w:sz w:val="24"/>
          <w:szCs w:val="24"/>
        </w:rPr>
        <w:t>明细报价表</w:t>
      </w:r>
    </w:p>
    <w:p w14:paraId="06EA3107">
      <w:pPr>
        <w:pStyle w:val="11"/>
        <w:tabs>
          <w:tab w:val="left" w:pos="6300"/>
        </w:tabs>
        <w:snapToGrid w:val="0"/>
        <w:spacing w:line="360" w:lineRule="auto"/>
        <w:ind w:firstLine="480" w:firstLineChars="200"/>
        <w:outlineLvl w:val="0"/>
        <w:rPr>
          <w:rFonts w:hint="eastAsia" w:ascii="仿宋" w:hAnsi="仿宋" w:eastAsia="方正仿宋_GBK" w:cs="仿宋"/>
          <w:color w:val="auto"/>
          <w:sz w:val="24"/>
          <w:szCs w:val="24"/>
          <w:lang w:eastAsia="zh-CN"/>
        </w:rPr>
      </w:pPr>
      <w:r>
        <w:rPr>
          <w:rFonts w:hint="eastAsia" w:ascii="方正仿宋_GBK" w:hAnsi="宋体" w:eastAsia="方正仿宋_GBK"/>
          <w:color w:val="auto"/>
          <w:sz w:val="24"/>
          <w:szCs w:val="24"/>
        </w:rPr>
        <w:t>项目名称</w:t>
      </w:r>
      <w:r>
        <w:rPr>
          <w:rFonts w:hint="eastAsia" w:ascii="方正仿宋_GBK" w:hAnsi="宋体" w:eastAsia="方正仿宋_GBK"/>
          <w:color w:val="auto"/>
          <w:sz w:val="24"/>
          <w:szCs w:val="24"/>
          <w:lang w:eastAsia="zh-CN"/>
        </w:rPr>
        <w:t>：</w:t>
      </w:r>
    </w:p>
    <w:tbl>
      <w:tblPr>
        <w:tblStyle w:val="19"/>
        <w:tblW w:w="94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2"/>
        <w:gridCol w:w="1867"/>
        <w:gridCol w:w="1617"/>
        <w:gridCol w:w="1462"/>
        <w:gridCol w:w="1562"/>
        <w:gridCol w:w="1901"/>
        <w:gridCol w:w="7"/>
      </w:tblGrid>
      <w:tr w14:paraId="0FA7D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0" w:hRule="exact"/>
          <w:jc w:val="center"/>
        </w:trPr>
        <w:tc>
          <w:tcPr>
            <w:tcW w:w="1062" w:type="dxa"/>
            <w:noWrap w:val="0"/>
            <w:vAlign w:val="center"/>
          </w:tcPr>
          <w:p w14:paraId="6AF4035A">
            <w:pPr>
              <w:jc w:val="center"/>
              <w:rPr>
                <w:rFonts w:hint="eastAsia" w:ascii="仿宋" w:hAnsi="仿宋" w:eastAsia="仿宋" w:cs="仿宋"/>
                <w:b w:val="0"/>
                <w:bCs/>
                <w:color w:val="auto"/>
                <w:sz w:val="24"/>
                <w:szCs w:val="24"/>
                <w:highlight w:val="none"/>
              </w:rPr>
            </w:pPr>
            <w:bookmarkStart w:id="123" w:name="_Toc342913420"/>
            <w:bookmarkStart w:id="124" w:name="_Toc313008357"/>
            <w:bookmarkStart w:id="125" w:name="_Toc313888361"/>
            <w:r>
              <w:rPr>
                <w:rFonts w:hint="eastAsia" w:ascii="仿宋" w:hAnsi="仿宋" w:eastAsia="仿宋" w:cs="仿宋"/>
                <w:b w:val="0"/>
                <w:bCs/>
                <w:color w:val="auto"/>
                <w:sz w:val="24"/>
                <w:szCs w:val="24"/>
                <w:highlight w:val="none"/>
              </w:rPr>
              <w:t>序号</w:t>
            </w:r>
          </w:p>
        </w:tc>
        <w:tc>
          <w:tcPr>
            <w:tcW w:w="1867" w:type="dxa"/>
            <w:noWrap w:val="0"/>
            <w:vAlign w:val="center"/>
          </w:tcPr>
          <w:p w14:paraId="63B762F6">
            <w:pPr>
              <w:jc w:val="center"/>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rPr>
              <w:t>名称</w:t>
            </w:r>
          </w:p>
        </w:tc>
        <w:tc>
          <w:tcPr>
            <w:tcW w:w="1617" w:type="dxa"/>
            <w:noWrap w:val="0"/>
            <w:vAlign w:val="center"/>
          </w:tcPr>
          <w:p w14:paraId="263CE54A">
            <w:pPr>
              <w:jc w:val="center"/>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rPr>
              <w:t>数量</w:t>
            </w:r>
          </w:p>
        </w:tc>
        <w:tc>
          <w:tcPr>
            <w:tcW w:w="1462" w:type="dxa"/>
            <w:noWrap w:val="0"/>
            <w:vAlign w:val="center"/>
          </w:tcPr>
          <w:p w14:paraId="123746FD">
            <w:pPr>
              <w:jc w:val="center"/>
              <w:rPr>
                <w:rFonts w:hint="eastAsia" w:ascii="仿宋" w:hAnsi="仿宋" w:eastAsia="仿宋" w:cs="仿宋"/>
                <w:b w:val="0"/>
                <w:bCs/>
                <w:color w:val="auto"/>
                <w:sz w:val="24"/>
                <w:szCs w:val="24"/>
                <w:highlight w:val="none"/>
                <w:lang w:val="en-US" w:eastAsia="zh-CN"/>
              </w:rPr>
            </w:pPr>
            <w:r>
              <w:rPr>
                <w:rFonts w:hint="eastAsia" w:ascii="仿宋" w:hAnsi="仿宋" w:eastAsia="仿宋" w:cs="仿宋"/>
                <w:b w:val="0"/>
                <w:bCs/>
                <w:color w:val="auto"/>
                <w:sz w:val="24"/>
                <w:szCs w:val="24"/>
                <w:highlight w:val="none"/>
                <w:lang w:val="en-US" w:eastAsia="zh-CN"/>
              </w:rPr>
              <w:t>服务期</w:t>
            </w:r>
          </w:p>
        </w:tc>
        <w:tc>
          <w:tcPr>
            <w:tcW w:w="1562" w:type="dxa"/>
            <w:noWrap w:val="0"/>
            <w:vAlign w:val="center"/>
          </w:tcPr>
          <w:p w14:paraId="772863A1">
            <w:pPr>
              <w:jc w:val="center"/>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rPr>
              <w:t>单价</w:t>
            </w:r>
          </w:p>
        </w:tc>
        <w:tc>
          <w:tcPr>
            <w:tcW w:w="1908" w:type="dxa"/>
            <w:gridSpan w:val="2"/>
            <w:noWrap w:val="0"/>
            <w:vAlign w:val="center"/>
          </w:tcPr>
          <w:p w14:paraId="2977BD2F">
            <w:pPr>
              <w:jc w:val="center"/>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rPr>
              <w:t>合计</w:t>
            </w:r>
          </w:p>
        </w:tc>
      </w:tr>
      <w:tr w14:paraId="2F7DB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exact"/>
          <w:jc w:val="center"/>
        </w:trPr>
        <w:tc>
          <w:tcPr>
            <w:tcW w:w="1062" w:type="dxa"/>
            <w:noWrap w:val="0"/>
            <w:vAlign w:val="center"/>
          </w:tcPr>
          <w:p w14:paraId="2AF41469">
            <w:pPr>
              <w:pStyle w:val="8"/>
              <w:spacing w:line="240" w:lineRule="atLeast"/>
              <w:ind w:left="0"/>
              <w:jc w:val="center"/>
              <w:outlineLvl w:val="0"/>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rPr>
              <w:t>1</w:t>
            </w:r>
          </w:p>
        </w:tc>
        <w:tc>
          <w:tcPr>
            <w:tcW w:w="1867" w:type="dxa"/>
            <w:noWrap w:val="0"/>
            <w:vAlign w:val="center"/>
          </w:tcPr>
          <w:p w14:paraId="533CBC00">
            <w:pPr>
              <w:jc w:val="center"/>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lang w:val="en-US" w:eastAsia="zh-CN"/>
              </w:rPr>
              <w:t>主厨</w:t>
            </w:r>
          </w:p>
        </w:tc>
        <w:tc>
          <w:tcPr>
            <w:tcW w:w="1617" w:type="dxa"/>
            <w:noWrap w:val="0"/>
            <w:vAlign w:val="center"/>
          </w:tcPr>
          <w:p w14:paraId="70EBE8BA">
            <w:pPr>
              <w:jc w:val="center"/>
              <w:rPr>
                <w:rFonts w:hint="default" w:ascii="仿宋" w:hAnsi="仿宋" w:eastAsia="仿宋" w:cs="仿宋"/>
                <w:b w:val="0"/>
                <w:bCs/>
                <w:color w:val="auto"/>
                <w:sz w:val="24"/>
                <w:szCs w:val="24"/>
                <w:highlight w:val="none"/>
                <w:lang w:val="en-US" w:eastAsia="zh-CN"/>
              </w:rPr>
            </w:pPr>
            <w:r>
              <w:rPr>
                <w:rFonts w:hint="eastAsia" w:ascii="仿宋" w:hAnsi="仿宋" w:eastAsia="仿宋" w:cs="仿宋"/>
                <w:b w:val="0"/>
                <w:bCs/>
                <w:color w:val="auto"/>
                <w:sz w:val="24"/>
                <w:szCs w:val="24"/>
                <w:highlight w:val="none"/>
                <w:lang w:val="en-US" w:eastAsia="zh-CN"/>
              </w:rPr>
              <w:t>1人</w:t>
            </w:r>
          </w:p>
        </w:tc>
        <w:tc>
          <w:tcPr>
            <w:tcW w:w="1462" w:type="dxa"/>
            <w:noWrap w:val="0"/>
            <w:vAlign w:val="center"/>
          </w:tcPr>
          <w:p w14:paraId="1EB1F237">
            <w:pPr>
              <w:jc w:val="center"/>
              <w:rPr>
                <w:rFonts w:hint="eastAsia" w:ascii="仿宋" w:hAnsi="仿宋" w:eastAsia="仿宋" w:cs="仿宋"/>
                <w:b w:val="0"/>
                <w:bCs/>
                <w:color w:val="auto"/>
                <w:sz w:val="24"/>
                <w:szCs w:val="24"/>
                <w:highlight w:val="none"/>
                <w:lang w:val="en-US" w:eastAsia="zh-CN"/>
              </w:rPr>
            </w:pPr>
          </w:p>
        </w:tc>
        <w:tc>
          <w:tcPr>
            <w:tcW w:w="1562" w:type="dxa"/>
            <w:noWrap w:val="0"/>
            <w:vAlign w:val="center"/>
          </w:tcPr>
          <w:p w14:paraId="57A16A60">
            <w:pPr>
              <w:jc w:val="center"/>
              <w:rPr>
                <w:rFonts w:hint="eastAsia" w:ascii="仿宋" w:hAnsi="仿宋" w:eastAsia="仿宋" w:cs="仿宋"/>
                <w:b w:val="0"/>
                <w:bCs/>
                <w:color w:val="auto"/>
                <w:sz w:val="24"/>
                <w:szCs w:val="24"/>
                <w:highlight w:val="none"/>
              </w:rPr>
            </w:pPr>
          </w:p>
        </w:tc>
        <w:tc>
          <w:tcPr>
            <w:tcW w:w="1908" w:type="dxa"/>
            <w:gridSpan w:val="2"/>
            <w:noWrap w:val="0"/>
            <w:vAlign w:val="center"/>
          </w:tcPr>
          <w:p w14:paraId="675CFB90">
            <w:pPr>
              <w:jc w:val="center"/>
              <w:rPr>
                <w:rFonts w:hint="eastAsia" w:ascii="仿宋" w:hAnsi="仿宋" w:eastAsia="仿宋" w:cs="仿宋"/>
                <w:b w:val="0"/>
                <w:bCs/>
                <w:color w:val="auto"/>
                <w:sz w:val="24"/>
                <w:szCs w:val="24"/>
                <w:highlight w:val="none"/>
              </w:rPr>
            </w:pPr>
          </w:p>
        </w:tc>
      </w:tr>
      <w:tr w14:paraId="46F70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exact"/>
          <w:jc w:val="center"/>
        </w:trPr>
        <w:tc>
          <w:tcPr>
            <w:tcW w:w="1062" w:type="dxa"/>
            <w:noWrap w:val="0"/>
            <w:vAlign w:val="center"/>
          </w:tcPr>
          <w:p w14:paraId="749C3301">
            <w:pPr>
              <w:pStyle w:val="8"/>
              <w:spacing w:line="240" w:lineRule="atLeast"/>
              <w:ind w:left="0"/>
              <w:jc w:val="center"/>
              <w:outlineLvl w:val="0"/>
              <w:rPr>
                <w:rFonts w:hint="eastAsia" w:ascii="仿宋" w:hAnsi="仿宋" w:eastAsia="仿宋" w:cs="仿宋"/>
                <w:b w:val="0"/>
                <w:bCs/>
                <w:color w:val="auto"/>
                <w:sz w:val="24"/>
                <w:szCs w:val="24"/>
                <w:highlight w:val="none"/>
                <w:lang w:val="en-US" w:eastAsia="zh-CN"/>
              </w:rPr>
            </w:pPr>
            <w:r>
              <w:rPr>
                <w:rFonts w:hint="eastAsia" w:ascii="仿宋" w:hAnsi="仿宋" w:eastAsia="仿宋" w:cs="仿宋"/>
                <w:b w:val="0"/>
                <w:bCs/>
                <w:color w:val="auto"/>
                <w:sz w:val="24"/>
                <w:szCs w:val="24"/>
                <w:highlight w:val="none"/>
                <w:lang w:val="en-US" w:eastAsia="zh-CN"/>
              </w:rPr>
              <w:t>2</w:t>
            </w:r>
          </w:p>
        </w:tc>
        <w:tc>
          <w:tcPr>
            <w:tcW w:w="1867" w:type="dxa"/>
            <w:noWrap w:val="0"/>
            <w:vAlign w:val="center"/>
          </w:tcPr>
          <w:p w14:paraId="26469AB9">
            <w:pPr>
              <w:jc w:val="center"/>
              <w:rPr>
                <w:rFonts w:hint="eastAsia" w:ascii="仿宋" w:hAnsi="仿宋" w:eastAsia="仿宋" w:cs="仿宋"/>
                <w:b w:val="0"/>
                <w:bCs/>
                <w:color w:val="auto"/>
                <w:sz w:val="24"/>
                <w:szCs w:val="24"/>
                <w:highlight w:val="none"/>
                <w:lang w:val="en-US" w:eastAsia="zh-CN"/>
              </w:rPr>
            </w:pPr>
            <w:r>
              <w:rPr>
                <w:rFonts w:hint="eastAsia" w:ascii="仿宋" w:hAnsi="仿宋" w:eastAsia="仿宋" w:cs="仿宋"/>
                <w:b w:val="0"/>
                <w:bCs/>
                <w:color w:val="auto"/>
                <w:sz w:val="24"/>
                <w:szCs w:val="24"/>
                <w:highlight w:val="none"/>
                <w:lang w:val="en-US" w:eastAsia="zh-CN"/>
              </w:rPr>
              <w:t>副厨</w:t>
            </w:r>
          </w:p>
        </w:tc>
        <w:tc>
          <w:tcPr>
            <w:tcW w:w="1617" w:type="dxa"/>
            <w:noWrap w:val="0"/>
            <w:vAlign w:val="center"/>
          </w:tcPr>
          <w:p w14:paraId="3EDE5239">
            <w:pPr>
              <w:jc w:val="center"/>
              <w:rPr>
                <w:rFonts w:hint="default" w:ascii="仿宋" w:hAnsi="仿宋" w:eastAsia="仿宋" w:cs="仿宋"/>
                <w:b w:val="0"/>
                <w:bCs/>
                <w:color w:val="auto"/>
                <w:sz w:val="24"/>
                <w:szCs w:val="24"/>
                <w:highlight w:val="none"/>
                <w:lang w:val="en-US" w:eastAsia="zh-CN"/>
              </w:rPr>
            </w:pPr>
            <w:r>
              <w:rPr>
                <w:rFonts w:hint="eastAsia" w:ascii="仿宋" w:hAnsi="仿宋" w:eastAsia="仿宋" w:cs="仿宋"/>
                <w:b w:val="0"/>
                <w:bCs/>
                <w:color w:val="auto"/>
                <w:sz w:val="24"/>
                <w:szCs w:val="24"/>
                <w:highlight w:val="none"/>
                <w:lang w:val="en-US" w:eastAsia="zh-CN"/>
              </w:rPr>
              <w:t>1人</w:t>
            </w:r>
          </w:p>
        </w:tc>
        <w:tc>
          <w:tcPr>
            <w:tcW w:w="1462" w:type="dxa"/>
            <w:noWrap w:val="0"/>
            <w:vAlign w:val="center"/>
          </w:tcPr>
          <w:p w14:paraId="458782E2">
            <w:pPr>
              <w:jc w:val="center"/>
              <w:rPr>
                <w:rFonts w:hint="eastAsia" w:ascii="仿宋" w:hAnsi="仿宋" w:eastAsia="仿宋" w:cs="仿宋"/>
                <w:b w:val="0"/>
                <w:bCs/>
                <w:color w:val="auto"/>
                <w:sz w:val="24"/>
                <w:szCs w:val="24"/>
                <w:highlight w:val="none"/>
                <w:lang w:val="en-US" w:eastAsia="zh-CN"/>
              </w:rPr>
            </w:pPr>
          </w:p>
        </w:tc>
        <w:tc>
          <w:tcPr>
            <w:tcW w:w="1562" w:type="dxa"/>
            <w:noWrap w:val="0"/>
            <w:vAlign w:val="center"/>
          </w:tcPr>
          <w:p w14:paraId="2EFB54C7">
            <w:pPr>
              <w:jc w:val="center"/>
              <w:rPr>
                <w:rFonts w:hint="eastAsia" w:ascii="仿宋" w:hAnsi="仿宋" w:eastAsia="仿宋" w:cs="仿宋"/>
                <w:b w:val="0"/>
                <w:bCs/>
                <w:color w:val="auto"/>
                <w:sz w:val="24"/>
                <w:szCs w:val="24"/>
                <w:highlight w:val="none"/>
              </w:rPr>
            </w:pPr>
          </w:p>
        </w:tc>
        <w:tc>
          <w:tcPr>
            <w:tcW w:w="1908" w:type="dxa"/>
            <w:gridSpan w:val="2"/>
            <w:noWrap w:val="0"/>
            <w:vAlign w:val="center"/>
          </w:tcPr>
          <w:p w14:paraId="1903120E">
            <w:pPr>
              <w:jc w:val="center"/>
              <w:rPr>
                <w:rFonts w:hint="eastAsia" w:ascii="仿宋" w:hAnsi="仿宋" w:eastAsia="仿宋" w:cs="仿宋"/>
                <w:b w:val="0"/>
                <w:bCs/>
                <w:color w:val="auto"/>
                <w:sz w:val="24"/>
                <w:szCs w:val="24"/>
                <w:highlight w:val="none"/>
              </w:rPr>
            </w:pPr>
          </w:p>
        </w:tc>
      </w:tr>
      <w:tr w14:paraId="1FF79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exact"/>
          <w:jc w:val="center"/>
        </w:trPr>
        <w:tc>
          <w:tcPr>
            <w:tcW w:w="1062" w:type="dxa"/>
            <w:noWrap w:val="0"/>
            <w:vAlign w:val="center"/>
          </w:tcPr>
          <w:p w14:paraId="5E4785E1">
            <w:pPr>
              <w:pStyle w:val="8"/>
              <w:spacing w:line="240" w:lineRule="atLeast"/>
              <w:ind w:left="0"/>
              <w:jc w:val="center"/>
              <w:outlineLvl w:val="0"/>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rPr>
              <w:t>2</w:t>
            </w:r>
          </w:p>
        </w:tc>
        <w:tc>
          <w:tcPr>
            <w:tcW w:w="1867" w:type="dxa"/>
            <w:noWrap w:val="0"/>
            <w:vAlign w:val="center"/>
          </w:tcPr>
          <w:p w14:paraId="1B3EA70A">
            <w:pPr>
              <w:jc w:val="center"/>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lang w:val="en-US" w:eastAsia="zh-CN"/>
              </w:rPr>
              <w:t>墩子</w:t>
            </w:r>
          </w:p>
        </w:tc>
        <w:tc>
          <w:tcPr>
            <w:tcW w:w="1617" w:type="dxa"/>
            <w:noWrap w:val="0"/>
            <w:vAlign w:val="center"/>
          </w:tcPr>
          <w:p w14:paraId="0DFC67AA">
            <w:pPr>
              <w:jc w:val="center"/>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lang w:val="en-US" w:eastAsia="zh-CN"/>
              </w:rPr>
              <w:t>1人</w:t>
            </w:r>
          </w:p>
        </w:tc>
        <w:tc>
          <w:tcPr>
            <w:tcW w:w="1462" w:type="dxa"/>
            <w:noWrap w:val="0"/>
            <w:vAlign w:val="center"/>
          </w:tcPr>
          <w:p w14:paraId="40DB68E6">
            <w:pPr>
              <w:jc w:val="center"/>
              <w:rPr>
                <w:rFonts w:hint="eastAsia" w:ascii="仿宋" w:hAnsi="仿宋" w:eastAsia="仿宋" w:cs="仿宋"/>
                <w:b w:val="0"/>
                <w:bCs/>
                <w:color w:val="auto"/>
                <w:sz w:val="24"/>
                <w:szCs w:val="24"/>
                <w:highlight w:val="none"/>
                <w:lang w:val="en-US" w:eastAsia="zh-CN"/>
              </w:rPr>
            </w:pPr>
          </w:p>
        </w:tc>
        <w:tc>
          <w:tcPr>
            <w:tcW w:w="1562" w:type="dxa"/>
            <w:noWrap w:val="0"/>
            <w:vAlign w:val="center"/>
          </w:tcPr>
          <w:p w14:paraId="30085C1D">
            <w:pPr>
              <w:jc w:val="center"/>
              <w:rPr>
                <w:rFonts w:hint="eastAsia" w:ascii="仿宋" w:hAnsi="仿宋" w:eastAsia="仿宋" w:cs="仿宋"/>
                <w:b w:val="0"/>
                <w:bCs/>
                <w:color w:val="auto"/>
                <w:sz w:val="24"/>
                <w:szCs w:val="24"/>
                <w:highlight w:val="none"/>
              </w:rPr>
            </w:pPr>
          </w:p>
        </w:tc>
        <w:tc>
          <w:tcPr>
            <w:tcW w:w="1908" w:type="dxa"/>
            <w:gridSpan w:val="2"/>
            <w:noWrap w:val="0"/>
            <w:vAlign w:val="center"/>
          </w:tcPr>
          <w:p w14:paraId="53763237">
            <w:pPr>
              <w:jc w:val="center"/>
              <w:rPr>
                <w:rFonts w:hint="eastAsia" w:ascii="仿宋" w:hAnsi="仿宋" w:eastAsia="仿宋" w:cs="仿宋"/>
                <w:b w:val="0"/>
                <w:bCs/>
                <w:color w:val="auto"/>
                <w:sz w:val="24"/>
                <w:szCs w:val="24"/>
                <w:highlight w:val="none"/>
              </w:rPr>
            </w:pPr>
          </w:p>
        </w:tc>
      </w:tr>
      <w:tr w14:paraId="75642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exact"/>
          <w:jc w:val="center"/>
        </w:trPr>
        <w:tc>
          <w:tcPr>
            <w:tcW w:w="1062" w:type="dxa"/>
            <w:noWrap w:val="0"/>
            <w:vAlign w:val="center"/>
          </w:tcPr>
          <w:p w14:paraId="75F9FBB9">
            <w:pPr>
              <w:pStyle w:val="8"/>
              <w:spacing w:line="240" w:lineRule="atLeast"/>
              <w:ind w:left="0"/>
              <w:jc w:val="center"/>
              <w:outlineLvl w:val="0"/>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rPr>
              <w:t>3</w:t>
            </w:r>
          </w:p>
        </w:tc>
        <w:tc>
          <w:tcPr>
            <w:tcW w:w="1867" w:type="dxa"/>
            <w:noWrap w:val="0"/>
            <w:vAlign w:val="center"/>
          </w:tcPr>
          <w:p w14:paraId="0A80049A">
            <w:pPr>
              <w:jc w:val="center"/>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lang w:val="en-US" w:eastAsia="zh-CN"/>
              </w:rPr>
              <w:t>杂工</w:t>
            </w:r>
          </w:p>
        </w:tc>
        <w:tc>
          <w:tcPr>
            <w:tcW w:w="1617" w:type="dxa"/>
            <w:noWrap w:val="0"/>
            <w:vAlign w:val="center"/>
          </w:tcPr>
          <w:p w14:paraId="63595AA9">
            <w:pPr>
              <w:jc w:val="center"/>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lang w:val="en-US" w:eastAsia="zh-CN"/>
              </w:rPr>
              <w:t>2人</w:t>
            </w:r>
          </w:p>
        </w:tc>
        <w:tc>
          <w:tcPr>
            <w:tcW w:w="1462" w:type="dxa"/>
            <w:noWrap w:val="0"/>
            <w:vAlign w:val="center"/>
          </w:tcPr>
          <w:p w14:paraId="72E7F1FF">
            <w:pPr>
              <w:jc w:val="center"/>
              <w:rPr>
                <w:rFonts w:hint="eastAsia" w:ascii="仿宋" w:hAnsi="仿宋" w:eastAsia="仿宋" w:cs="仿宋"/>
                <w:b w:val="0"/>
                <w:bCs/>
                <w:color w:val="auto"/>
                <w:sz w:val="24"/>
                <w:szCs w:val="24"/>
                <w:highlight w:val="none"/>
                <w:lang w:val="en-US" w:eastAsia="zh-CN"/>
              </w:rPr>
            </w:pPr>
          </w:p>
        </w:tc>
        <w:tc>
          <w:tcPr>
            <w:tcW w:w="1562" w:type="dxa"/>
            <w:noWrap w:val="0"/>
            <w:vAlign w:val="center"/>
          </w:tcPr>
          <w:p w14:paraId="77F30D62">
            <w:pPr>
              <w:jc w:val="center"/>
              <w:rPr>
                <w:rFonts w:hint="eastAsia" w:ascii="仿宋" w:hAnsi="仿宋" w:eastAsia="仿宋" w:cs="仿宋"/>
                <w:b w:val="0"/>
                <w:bCs/>
                <w:color w:val="auto"/>
                <w:sz w:val="24"/>
                <w:szCs w:val="24"/>
                <w:highlight w:val="none"/>
              </w:rPr>
            </w:pPr>
          </w:p>
        </w:tc>
        <w:tc>
          <w:tcPr>
            <w:tcW w:w="1908" w:type="dxa"/>
            <w:gridSpan w:val="2"/>
            <w:noWrap w:val="0"/>
            <w:vAlign w:val="center"/>
          </w:tcPr>
          <w:p w14:paraId="06047694">
            <w:pPr>
              <w:jc w:val="center"/>
              <w:rPr>
                <w:rFonts w:hint="eastAsia" w:ascii="仿宋" w:hAnsi="仿宋" w:eastAsia="仿宋" w:cs="仿宋"/>
                <w:b w:val="0"/>
                <w:bCs/>
                <w:color w:val="auto"/>
                <w:sz w:val="24"/>
                <w:szCs w:val="24"/>
                <w:highlight w:val="none"/>
              </w:rPr>
            </w:pPr>
          </w:p>
        </w:tc>
      </w:tr>
      <w:tr w14:paraId="71BFD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7" w:type="dxa"/>
          <w:trHeight w:val="1021" w:hRule="exact"/>
          <w:jc w:val="center"/>
        </w:trPr>
        <w:tc>
          <w:tcPr>
            <w:tcW w:w="2929" w:type="dxa"/>
            <w:gridSpan w:val="2"/>
            <w:noWrap w:val="0"/>
            <w:vAlign w:val="center"/>
          </w:tcPr>
          <w:p w14:paraId="41018D80">
            <w:pPr>
              <w:jc w:val="center"/>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rPr>
              <w:t>总计</w:t>
            </w:r>
          </w:p>
        </w:tc>
        <w:tc>
          <w:tcPr>
            <w:tcW w:w="6542" w:type="dxa"/>
            <w:gridSpan w:val="4"/>
            <w:noWrap w:val="0"/>
            <w:vAlign w:val="center"/>
          </w:tcPr>
          <w:p w14:paraId="07E6AD58">
            <w:pPr>
              <w:rPr>
                <w:rFonts w:hint="eastAsia" w:ascii="仿宋" w:hAnsi="仿宋" w:eastAsia="仿宋" w:cs="仿宋"/>
                <w:b w:val="0"/>
                <w:bCs/>
                <w:color w:val="auto"/>
                <w:sz w:val="24"/>
                <w:szCs w:val="24"/>
                <w:highlight w:val="none"/>
              </w:rPr>
            </w:pPr>
          </w:p>
        </w:tc>
      </w:tr>
    </w:tbl>
    <w:p w14:paraId="62370324">
      <w:pPr>
        <w:snapToGrid w:val="0"/>
        <w:spacing w:line="500" w:lineRule="exact"/>
        <w:ind w:firstLine="480" w:firstLineChars="200"/>
        <w:rPr>
          <w:rFonts w:hint="eastAsia" w:ascii="方正仿宋_GBK" w:hAnsi="宋体" w:eastAsia="方正仿宋_GBK"/>
          <w:color w:val="auto"/>
          <w:sz w:val="24"/>
          <w:szCs w:val="28"/>
        </w:rPr>
      </w:pPr>
    </w:p>
    <w:p w14:paraId="3D272ADF">
      <w:pPr>
        <w:snapToGrid w:val="0"/>
        <w:spacing w:line="500" w:lineRule="exact"/>
        <w:ind w:firstLine="480" w:firstLineChars="200"/>
        <w:rPr>
          <w:rFonts w:hint="eastAsia" w:ascii="方正仿宋_GBK" w:hAnsi="宋体" w:eastAsia="方正仿宋_GBK"/>
          <w:color w:val="auto"/>
          <w:sz w:val="24"/>
          <w:szCs w:val="28"/>
        </w:rPr>
      </w:pPr>
      <w:r>
        <w:rPr>
          <w:rFonts w:hint="eastAsia" w:ascii="方正仿宋_GBK" w:hAnsi="宋体" w:eastAsia="方正仿宋_GBK"/>
          <w:color w:val="auto"/>
          <w:sz w:val="24"/>
          <w:szCs w:val="28"/>
        </w:rPr>
        <w:t>注：1.供应商应完整填写本表。</w:t>
      </w:r>
    </w:p>
    <w:p w14:paraId="3B1F9B87">
      <w:pPr>
        <w:snapToGrid w:val="0"/>
        <w:spacing w:line="500" w:lineRule="exact"/>
        <w:rPr>
          <w:rFonts w:hint="eastAsia" w:ascii="方正仿宋_GBK" w:hAnsi="宋体" w:eastAsia="方正仿宋_GBK"/>
          <w:color w:val="auto"/>
          <w:sz w:val="24"/>
          <w:szCs w:val="28"/>
        </w:rPr>
      </w:pPr>
      <w:r>
        <w:rPr>
          <w:rFonts w:hint="eastAsia" w:ascii="方正仿宋_GBK" w:hAnsi="宋体" w:eastAsia="方正仿宋_GBK"/>
          <w:color w:val="auto"/>
          <w:sz w:val="24"/>
          <w:szCs w:val="28"/>
        </w:rPr>
        <w:t xml:space="preserve">        2.该表可扩展</w:t>
      </w:r>
      <w:bookmarkStart w:id="126" w:name="OLE_LINK1"/>
      <w:bookmarkStart w:id="127" w:name="OLE_LINK2"/>
      <w:r>
        <w:rPr>
          <w:rFonts w:hint="eastAsia" w:ascii="方正仿宋_GBK" w:hAnsi="宋体" w:eastAsia="方正仿宋_GBK"/>
          <w:color w:val="auto"/>
          <w:sz w:val="24"/>
          <w:szCs w:val="28"/>
        </w:rPr>
        <w:t>。</w:t>
      </w:r>
      <w:bookmarkEnd w:id="126"/>
      <w:bookmarkEnd w:id="127"/>
    </w:p>
    <w:p w14:paraId="4183D223">
      <w:pPr>
        <w:pStyle w:val="16"/>
        <w:spacing w:line="360" w:lineRule="auto"/>
        <w:rPr>
          <w:rFonts w:hint="eastAsia" w:ascii="方正仿宋_GBK" w:hAnsi="宋体" w:eastAsia="方正仿宋_GBK"/>
          <w:color w:val="auto"/>
          <w:sz w:val="24"/>
          <w:szCs w:val="24"/>
        </w:rPr>
      </w:pPr>
    </w:p>
    <w:p w14:paraId="2D08AF24">
      <w:pPr>
        <w:pStyle w:val="16"/>
        <w:spacing w:line="360" w:lineRule="auto"/>
        <w:rPr>
          <w:rFonts w:hint="eastAsia" w:ascii="方正仿宋_GBK" w:hAnsi="宋体" w:eastAsia="方正仿宋_GBK"/>
          <w:color w:val="auto"/>
          <w:sz w:val="24"/>
          <w:szCs w:val="24"/>
        </w:rPr>
      </w:pPr>
      <w:r>
        <w:rPr>
          <w:rFonts w:hint="eastAsia" w:ascii="方正仿宋_GBK" w:hAnsi="宋体" w:eastAsia="方正仿宋_GBK"/>
          <w:color w:val="auto"/>
          <w:sz w:val="24"/>
          <w:szCs w:val="24"/>
        </w:rPr>
        <w:t xml:space="preserve">            </w:t>
      </w:r>
    </w:p>
    <w:p w14:paraId="2FC0F588">
      <w:pPr>
        <w:rPr>
          <w:rFonts w:hint="eastAsia"/>
          <w:color w:val="auto"/>
        </w:rPr>
      </w:pPr>
    </w:p>
    <w:p w14:paraId="10921CC1">
      <w:pPr>
        <w:rPr>
          <w:rFonts w:hint="eastAsia"/>
          <w:color w:val="auto"/>
        </w:rPr>
      </w:pPr>
    </w:p>
    <w:p w14:paraId="291736F4">
      <w:pPr>
        <w:spacing w:line="360" w:lineRule="auto"/>
        <w:rPr>
          <w:rFonts w:hint="eastAsia"/>
          <w:color w:val="auto"/>
        </w:rPr>
      </w:pPr>
      <w:r>
        <w:rPr>
          <w:rFonts w:hint="eastAsia" w:ascii="方正仿宋_GBK" w:hAnsi="宋体" w:eastAsia="方正仿宋_GBK"/>
          <w:color w:val="auto"/>
          <w:sz w:val="24"/>
          <w:szCs w:val="24"/>
        </w:rPr>
        <w:t xml:space="preserve">                                             供应商名称（公章）或自然人签署：</w:t>
      </w:r>
    </w:p>
    <w:p w14:paraId="53DC160D">
      <w:pPr>
        <w:spacing w:line="360" w:lineRule="auto"/>
        <w:ind w:right="480" w:firstLine="6480" w:firstLineChars="2700"/>
        <w:rPr>
          <w:rFonts w:hint="eastAsia" w:ascii="方正仿宋_GBK" w:hAnsi="宋体" w:eastAsia="方正仿宋_GBK"/>
          <w:color w:val="auto"/>
          <w:sz w:val="24"/>
          <w:szCs w:val="24"/>
        </w:rPr>
      </w:pPr>
      <w:r>
        <w:rPr>
          <w:rFonts w:hint="eastAsia" w:ascii="方正仿宋_GBK" w:hAnsi="宋体" w:eastAsia="方正仿宋_GBK"/>
          <w:color w:val="auto"/>
          <w:sz w:val="24"/>
          <w:szCs w:val="24"/>
        </w:rPr>
        <w:t>年     月    日</w:t>
      </w:r>
    </w:p>
    <w:p w14:paraId="3217FCC6">
      <w:pPr>
        <w:snapToGrid w:val="0"/>
        <w:spacing w:line="360" w:lineRule="auto"/>
        <w:ind w:firstLine="480" w:firstLineChars="200"/>
        <w:rPr>
          <w:rFonts w:hint="eastAsia" w:ascii="方正仿宋_GBK" w:hAnsi="宋体" w:eastAsia="方正仿宋_GBK"/>
          <w:color w:val="auto"/>
          <w:sz w:val="24"/>
          <w:szCs w:val="24"/>
          <w:bdr w:val="single" w:color="auto" w:sz="4" w:space="0"/>
        </w:rPr>
        <w:sectPr>
          <w:headerReference r:id="rId11" w:type="default"/>
          <w:pgSz w:w="11907" w:h="16840"/>
          <w:pgMar w:top="1134" w:right="1191" w:bottom="1134" w:left="1304" w:header="851" w:footer="992" w:gutter="0"/>
          <w:pgNumType w:fmt="numberInDash"/>
          <w:cols w:space="720" w:num="1"/>
          <w:docGrid w:linePitch="380" w:charSpace="-5735"/>
        </w:sectPr>
      </w:pPr>
    </w:p>
    <w:p w14:paraId="150228E5">
      <w:pPr>
        <w:pStyle w:val="6"/>
        <w:spacing w:before="0" w:after="0" w:line="360" w:lineRule="auto"/>
        <w:rPr>
          <w:rFonts w:hint="eastAsia" w:ascii="仿宋" w:hAnsi="仿宋" w:eastAsia="仿宋" w:cs="仿宋"/>
          <w:color w:val="auto"/>
          <w:sz w:val="24"/>
          <w:szCs w:val="24"/>
        </w:rPr>
      </w:pPr>
      <w:bookmarkStart w:id="128" w:name="_Toc7089"/>
      <w:r>
        <w:rPr>
          <w:rFonts w:hint="eastAsia" w:ascii="仿宋" w:hAnsi="仿宋" w:eastAsia="仿宋" w:cs="仿宋"/>
          <w:color w:val="auto"/>
          <w:sz w:val="24"/>
          <w:szCs w:val="24"/>
        </w:rPr>
        <w:t>二、服务部</w:t>
      </w:r>
      <w:bookmarkEnd w:id="123"/>
      <w:bookmarkEnd w:id="124"/>
      <w:bookmarkEnd w:id="125"/>
      <w:r>
        <w:rPr>
          <w:rFonts w:hint="eastAsia" w:ascii="仿宋" w:hAnsi="仿宋" w:eastAsia="仿宋" w:cs="仿宋"/>
          <w:color w:val="auto"/>
          <w:sz w:val="24"/>
          <w:szCs w:val="24"/>
        </w:rPr>
        <w:t>分</w:t>
      </w:r>
      <w:bookmarkEnd w:id="128"/>
    </w:p>
    <w:p w14:paraId="7B57A9BD">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一</w:t>
      </w:r>
      <w:r>
        <w:rPr>
          <w:rFonts w:hint="eastAsia" w:ascii="仿宋" w:hAnsi="仿宋" w:eastAsia="仿宋" w:cs="仿宋"/>
          <w:color w:val="auto"/>
          <w:sz w:val="24"/>
          <w:szCs w:val="24"/>
        </w:rPr>
        <w:t xml:space="preserve">）项目服务需求偏离表                          </w:t>
      </w:r>
    </w:p>
    <w:p w14:paraId="6F783D11">
      <w:pPr>
        <w:pStyle w:val="11"/>
        <w:tabs>
          <w:tab w:val="left" w:pos="6300"/>
        </w:tabs>
        <w:snapToGrid w:val="0"/>
        <w:spacing w:line="360" w:lineRule="auto"/>
        <w:ind w:firstLine="480" w:firstLineChars="200"/>
        <w:outlineLvl w:val="0"/>
        <w:rPr>
          <w:rFonts w:hint="eastAsia" w:ascii="仿宋" w:hAnsi="仿宋" w:eastAsia="方正仿宋_GBK" w:cs="仿宋"/>
          <w:color w:val="auto"/>
          <w:sz w:val="24"/>
          <w:szCs w:val="24"/>
          <w:lang w:val="en-US" w:eastAsia="zh-CN"/>
        </w:rPr>
      </w:pPr>
      <w:r>
        <w:rPr>
          <w:rFonts w:hint="eastAsia" w:ascii="方正仿宋_GBK" w:hAnsi="宋体" w:eastAsia="方正仿宋_GBK"/>
          <w:color w:val="auto"/>
          <w:sz w:val="24"/>
          <w:szCs w:val="24"/>
        </w:rPr>
        <w:t>项目名称</w:t>
      </w:r>
      <w:r>
        <w:rPr>
          <w:rFonts w:hint="eastAsia" w:ascii="方正仿宋_GBK" w:hAnsi="宋体" w:eastAsia="方正仿宋_GBK"/>
          <w:color w:val="auto"/>
          <w:sz w:val="24"/>
          <w:szCs w:val="24"/>
          <w:lang w:val="en-US" w:eastAsia="zh-CN"/>
        </w:rPr>
        <w:t>:</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8"/>
        <w:gridCol w:w="2658"/>
        <w:gridCol w:w="2759"/>
        <w:gridCol w:w="2067"/>
      </w:tblGrid>
      <w:tr w14:paraId="2EA13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138" w:type="dxa"/>
            <w:noWrap w:val="0"/>
            <w:vAlign w:val="center"/>
          </w:tcPr>
          <w:p w14:paraId="2AEA4225">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序号</w:t>
            </w:r>
          </w:p>
        </w:tc>
        <w:tc>
          <w:tcPr>
            <w:tcW w:w="2658" w:type="dxa"/>
            <w:noWrap w:val="0"/>
            <w:vAlign w:val="center"/>
          </w:tcPr>
          <w:p w14:paraId="595D4E5A">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采购需求</w:t>
            </w:r>
          </w:p>
        </w:tc>
        <w:tc>
          <w:tcPr>
            <w:tcW w:w="2759" w:type="dxa"/>
            <w:noWrap w:val="0"/>
            <w:vAlign w:val="center"/>
          </w:tcPr>
          <w:p w14:paraId="2E74771F">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响应情况</w:t>
            </w:r>
          </w:p>
        </w:tc>
        <w:tc>
          <w:tcPr>
            <w:tcW w:w="2067" w:type="dxa"/>
            <w:noWrap w:val="0"/>
            <w:vAlign w:val="center"/>
          </w:tcPr>
          <w:p w14:paraId="1AD6C6D2">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差异说明</w:t>
            </w:r>
          </w:p>
        </w:tc>
      </w:tr>
      <w:tr w14:paraId="703D5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20D42B72">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49E0E8BA">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5CC7CA90">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6A2518C7">
            <w:pPr>
              <w:tabs>
                <w:tab w:val="left" w:pos="6300"/>
              </w:tabs>
              <w:snapToGrid w:val="0"/>
              <w:spacing w:line="360" w:lineRule="auto"/>
              <w:jc w:val="center"/>
              <w:outlineLvl w:val="0"/>
              <w:rPr>
                <w:rFonts w:hint="eastAsia" w:ascii="仿宋" w:hAnsi="仿宋" w:eastAsia="仿宋" w:cs="仿宋"/>
                <w:color w:val="auto"/>
                <w:sz w:val="24"/>
                <w:szCs w:val="24"/>
              </w:rPr>
            </w:pPr>
          </w:p>
        </w:tc>
      </w:tr>
      <w:tr w14:paraId="60B19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113DD030">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20A806B1">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6FB4EE3D">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69087938">
            <w:pPr>
              <w:tabs>
                <w:tab w:val="left" w:pos="6300"/>
              </w:tabs>
              <w:snapToGrid w:val="0"/>
              <w:spacing w:line="360" w:lineRule="auto"/>
              <w:jc w:val="center"/>
              <w:outlineLvl w:val="0"/>
              <w:rPr>
                <w:rFonts w:hint="eastAsia" w:ascii="仿宋" w:hAnsi="仿宋" w:eastAsia="仿宋" w:cs="仿宋"/>
                <w:color w:val="auto"/>
                <w:sz w:val="24"/>
                <w:szCs w:val="24"/>
              </w:rPr>
            </w:pPr>
          </w:p>
        </w:tc>
      </w:tr>
      <w:tr w14:paraId="7B90F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1B08E588">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7265F44F">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48E33406">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4E005287">
            <w:pPr>
              <w:tabs>
                <w:tab w:val="left" w:pos="6300"/>
              </w:tabs>
              <w:snapToGrid w:val="0"/>
              <w:spacing w:line="360" w:lineRule="auto"/>
              <w:jc w:val="center"/>
              <w:outlineLvl w:val="0"/>
              <w:rPr>
                <w:rFonts w:hint="eastAsia" w:ascii="仿宋" w:hAnsi="仿宋" w:eastAsia="仿宋" w:cs="仿宋"/>
                <w:color w:val="auto"/>
                <w:sz w:val="24"/>
                <w:szCs w:val="24"/>
              </w:rPr>
            </w:pPr>
          </w:p>
        </w:tc>
      </w:tr>
      <w:tr w14:paraId="46FB9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02370DD4">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2C1C4DBA">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603E44F4">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34D3FD8D">
            <w:pPr>
              <w:tabs>
                <w:tab w:val="left" w:pos="6300"/>
              </w:tabs>
              <w:snapToGrid w:val="0"/>
              <w:spacing w:line="360" w:lineRule="auto"/>
              <w:jc w:val="center"/>
              <w:outlineLvl w:val="0"/>
              <w:rPr>
                <w:rFonts w:hint="eastAsia" w:ascii="仿宋" w:hAnsi="仿宋" w:eastAsia="仿宋" w:cs="仿宋"/>
                <w:color w:val="auto"/>
                <w:sz w:val="24"/>
                <w:szCs w:val="24"/>
              </w:rPr>
            </w:pPr>
          </w:p>
        </w:tc>
      </w:tr>
      <w:tr w14:paraId="7F9AC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166A6E21">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4265F990">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00EF210D">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0D0A0C6A">
            <w:pPr>
              <w:tabs>
                <w:tab w:val="left" w:pos="6300"/>
              </w:tabs>
              <w:snapToGrid w:val="0"/>
              <w:spacing w:line="360" w:lineRule="auto"/>
              <w:jc w:val="center"/>
              <w:outlineLvl w:val="0"/>
              <w:rPr>
                <w:rFonts w:hint="eastAsia" w:ascii="仿宋" w:hAnsi="仿宋" w:eastAsia="仿宋" w:cs="仿宋"/>
                <w:color w:val="auto"/>
                <w:sz w:val="24"/>
                <w:szCs w:val="24"/>
              </w:rPr>
            </w:pPr>
          </w:p>
        </w:tc>
      </w:tr>
      <w:tr w14:paraId="7790B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724CABCD">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77B9F02F">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113D86E3">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056853D3">
            <w:pPr>
              <w:tabs>
                <w:tab w:val="left" w:pos="6300"/>
              </w:tabs>
              <w:snapToGrid w:val="0"/>
              <w:spacing w:line="360" w:lineRule="auto"/>
              <w:jc w:val="center"/>
              <w:outlineLvl w:val="0"/>
              <w:rPr>
                <w:rFonts w:hint="eastAsia" w:ascii="仿宋" w:hAnsi="仿宋" w:eastAsia="仿宋" w:cs="仿宋"/>
                <w:color w:val="auto"/>
                <w:sz w:val="24"/>
                <w:szCs w:val="24"/>
              </w:rPr>
            </w:pPr>
          </w:p>
        </w:tc>
      </w:tr>
      <w:tr w14:paraId="427B0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462A0F0F">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18225341">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54BEE1D6">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410F8500">
            <w:pPr>
              <w:tabs>
                <w:tab w:val="left" w:pos="6300"/>
              </w:tabs>
              <w:snapToGrid w:val="0"/>
              <w:spacing w:line="360" w:lineRule="auto"/>
              <w:jc w:val="center"/>
              <w:outlineLvl w:val="0"/>
              <w:rPr>
                <w:rFonts w:hint="eastAsia" w:ascii="仿宋" w:hAnsi="仿宋" w:eastAsia="仿宋" w:cs="仿宋"/>
                <w:color w:val="auto"/>
                <w:sz w:val="24"/>
                <w:szCs w:val="24"/>
              </w:rPr>
            </w:pPr>
          </w:p>
        </w:tc>
      </w:tr>
      <w:tr w14:paraId="3360E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5DA1B158">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131C52F3">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1408E5C0">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268575EE">
            <w:pPr>
              <w:tabs>
                <w:tab w:val="left" w:pos="6300"/>
              </w:tabs>
              <w:snapToGrid w:val="0"/>
              <w:spacing w:line="360" w:lineRule="auto"/>
              <w:jc w:val="center"/>
              <w:outlineLvl w:val="0"/>
              <w:rPr>
                <w:rFonts w:hint="eastAsia" w:ascii="仿宋" w:hAnsi="仿宋" w:eastAsia="仿宋" w:cs="仿宋"/>
                <w:color w:val="auto"/>
                <w:sz w:val="24"/>
                <w:szCs w:val="24"/>
              </w:rPr>
            </w:pPr>
          </w:p>
        </w:tc>
      </w:tr>
      <w:tr w14:paraId="54014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0ED2797B">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2ECED6FC">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1C206C89">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41D3ECAE">
            <w:pPr>
              <w:tabs>
                <w:tab w:val="left" w:pos="6300"/>
              </w:tabs>
              <w:snapToGrid w:val="0"/>
              <w:spacing w:line="360" w:lineRule="auto"/>
              <w:jc w:val="center"/>
              <w:outlineLvl w:val="0"/>
              <w:rPr>
                <w:rFonts w:hint="eastAsia" w:ascii="仿宋" w:hAnsi="仿宋" w:eastAsia="仿宋" w:cs="仿宋"/>
                <w:color w:val="auto"/>
                <w:sz w:val="24"/>
                <w:szCs w:val="24"/>
              </w:rPr>
            </w:pPr>
          </w:p>
        </w:tc>
      </w:tr>
      <w:tr w14:paraId="4FE6B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2A26E6AF">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49502159">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41D041D3">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3D6CC80E">
            <w:pPr>
              <w:tabs>
                <w:tab w:val="left" w:pos="6300"/>
              </w:tabs>
              <w:snapToGrid w:val="0"/>
              <w:spacing w:line="360" w:lineRule="auto"/>
              <w:jc w:val="center"/>
              <w:outlineLvl w:val="0"/>
              <w:rPr>
                <w:rFonts w:hint="eastAsia" w:ascii="仿宋" w:hAnsi="仿宋" w:eastAsia="仿宋" w:cs="仿宋"/>
                <w:color w:val="auto"/>
                <w:sz w:val="24"/>
                <w:szCs w:val="24"/>
              </w:rPr>
            </w:pPr>
          </w:p>
        </w:tc>
      </w:tr>
    </w:tbl>
    <w:p w14:paraId="42865326">
      <w:pPr>
        <w:spacing w:line="360" w:lineRule="auto"/>
        <w:ind w:firstLine="600" w:firstLineChars="250"/>
        <w:rPr>
          <w:rFonts w:hint="eastAsia" w:ascii="仿宋" w:hAnsi="仿宋" w:eastAsia="仿宋" w:cs="仿宋"/>
          <w:color w:val="auto"/>
          <w:sz w:val="24"/>
          <w:szCs w:val="24"/>
        </w:rPr>
      </w:pPr>
      <w:r>
        <w:rPr>
          <w:rFonts w:hint="eastAsia" w:ascii="仿宋" w:hAnsi="仿宋" w:eastAsia="仿宋" w:cs="仿宋"/>
          <w:color w:val="auto"/>
          <w:sz w:val="24"/>
          <w:szCs w:val="24"/>
        </w:rPr>
        <w:t>供应商：                                      法定代表人授权代表：</w:t>
      </w:r>
    </w:p>
    <w:p w14:paraId="6670B3E7">
      <w:pPr>
        <w:spacing w:line="360" w:lineRule="auto"/>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14:paraId="351DACB2">
      <w:pPr>
        <w:spacing w:line="360" w:lineRule="auto"/>
        <w:ind w:firstLine="720" w:firstLineChars="300"/>
        <w:rPr>
          <w:rFonts w:hint="eastAsia" w:ascii="仿宋" w:hAnsi="仿宋" w:eastAsia="仿宋" w:cs="仿宋"/>
          <w:color w:val="auto"/>
          <w:sz w:val="24"/>
          <w:szCs w:val="24"/>
        </w:rPr>
      </w:pPr>
      <w:r>
        <w:rPr>
          <w:rFonts w:hint="eastAsia" w:ascii="仿宋" w:hAnsi="仿宋" w:eastAsia="仿宋" w:cs="仿宋"/>
          <w:color w:val="auto"/>
          <w:sz w:val="24"/>
          <w:szCs w:val="24"/>
        </w:rPr>
        <w:t>（供应商公章）                               （签字或盖章）</w:t>
      </w:r>
    </w:p>
    <w:p w14:paraId="17F74BB8">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 xml:space="preserve">                                              年     月     日</w:t>
      </w:r>
    </w:p>
    <w:p w14:paraId="13F38636">
      <w:pPr>
        <w:tabs>
          <w:tab w:val="left" w:pos="6300"/>
        </w:tabs>
        <w:snapToGrid w:val="0"/>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注：</w:t>
      </w:r>
      <w:r>
        <w:rPr>
          <w:rFonts w:hint="eastAsia" w:ascii="仿宋" w:hAnsi="仿宋" w:eastAsia="仿宋" w:cs="仿宋"/>
          <w:color w:val="auto"/>
          <w:sz w:val="24"/>
          <w:szCs w:val="24"/>
          <w:lang w:eastAsia="zh-CN"/>
        </w:rPr>
        <w:t>根据所投分包号要求按以下要求进行比较和响应。</w:t>
      </w:r>
    </w:p>
    <w:p w14:paraId="1EE0A84E">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1.本表即为对本项目“第二篇  项目服务需求”中所列服务要求进行比较和响应；</w:t>
      </w:r>
    </w:p>
    <w:p w14:paraId="42CF7E4B">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2.该表必须按照</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要求逐条如实填写，根据响应情况在“差异说明”项填写正偏离或负偏离及原因，完全符合的填写“无差异”；</w:t>
      </w:r>
    </w:p>
    <w:p w14:paraId="2FB6F3F2">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3.该表可扩展，并逐页签字或盖章；</w:t>
      </w:r>
    </w:p>
    <w:p w14:paraId="0BE76B5E">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4.可附相关支撑材料。（格式自定）</w:t>
      </w:r>
    </w:p>
    <w:p w14:paraId="19A1DB2C">
      <w:pPr>
        <w:spacing w:line="360" w:lineRule="auto"/>
        <w:rPr>
          <w:rFonts w:hint="eastAsia" w:ascii="仿宋" w:hAnsi="仿宋" w:eastAsia="仿宋" w:cs="仿宋"/>
          <w:color w:val="auto"/>
        </w:rPr>
      </w:pPr>
      <w:r>
        <w:rPr>
          <w:rFonts w:hint="eastAsia" w:ascii="仿宋" w:hAnsi="仿宋" w:eastAsia="仿宋" w:cs="仿宋"/>
          <w:b w:val="0"/>
          <w:color w:val="auto"/>
        </w:rPr>
        <w:br w:type="page"/>
      </w:r>
      <w:r>
        <w:rPr>
          <w:rFonts w:hint="eastAsia" w:ascii="仿宋" w:hAnsi="仿宋" w:eastAsia="仿宋" w:cs="仿宋"/>
          <w:b w:val="0"/>
          <w:color w:val="auto"/>
          <w:lang w:eastAsia="zh-CN"/>
        </w:rPr>
        <w:t>（二）</w:t>
      </w:r>
      <w:r>
        <w:rPr>
          <w:rFonts w:hint="eastAsia" w:ascii="仿宋" w:hAnsi="仿宋" w:eastAsia="仿宋" w:cs="仿宋"/>
          <w:color w:val="auto"/>
          <w:lang w:eastAsia="zh-CN"/>
        </w:rPr>
        <w:t>服务方案</w:t>
      </w:r>
      <w:r>
        <w:rPr>
          <w:rFonts w:hint="eastAsia" w:ascii="仿宋" w:hAnsi="仿宋" w:eastAsia="仿宋" w:cs="仿宋"/>
          <w:color w:val="auto"/>
          <w:sz w:val="24"/>
          <w:szCs w:val="24"/>
          <w:highlight w:val="none"/>
          <w:lang w:eastAsia="zh-CN"/>
        </w:rPr>
        <w:t>（格式自定）</w:t>
      </w:r>
    </w:p>
    <w:p w14:paraId="062EF98A">
      <w:pPr>
        <w:pStyle w:val="6"/>
        <w:spacing w:before="0" w:after="0" w:line="360" w:lineRule="auto"/>
        <w:rPr>
          <w:rFonts w:hint="eastAsia" w:ascii="仿宋" w:hAnsi="仿宋" w:eastAsia="仿宋" w:cs="仿宋"/>
          <w:color w:val="auto"/>
          <w:sz w:val="24"/>
          <w:szCs w:val="24"/>
        </w:rPr>
      </w:pPr>
      <w:r>
        <w:rPr>
          <w:rFonts w:hint="eastAsia" w:ascii="仿宋" w:hAnsi="仿宋" w:eastAsia="仿宋" w:cs="仿宋"/>
          <w:color w:val="auto"/>
          <w:szCs w:val="24"/>
        </w:rPr>
        <w:br w:type="page"/>
      </w:r>
      <w:bookmarkStart w:id="129" w:name="_Toc342913421"/>
      <w:bookmarkStart w:id="130" w:name="_Toc313008358"/>
      <w:bookmarkStart w:id="131" w:name="_Toc904"/>
      <w:bookmarkStart w:id="132" w:name="_Toc313888362"/>
      <w:r>
        <w:rPr>
          <w:rFonts w:hint="eastAsia" w:ascii="仿宋" w:hAnsi="仿宋" w:eastAsia="仿宋" w:cs="仿宋"/>
          <w:color w:val="auto"/>
          <w:sz w:val="24"/>
          <w:szCs w:val="24"/>
        </w:rPr>
        <w:t>三、商务部分</w:t>
      </w:r>
      <w:bookmarkEnd w:id="129"/>
      <w:bookmarkEnd w:id="130"/>
      <w:bookmarkEnd w:id="131"/>
      <w:bookmarkEnd w:id="132"/>
    </w:p>
    <w:p w14:paraId="3B7E6A43">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一</w:t>
      </w:r>
      <w:r>
        <w:rPr>
          <w:rFonts w:hint="eastAsia" w:ascii="仿宋" w:hAnsi="仿宋" w:eastAsia="仿宋" w:cs="仿宋"/>
          <w:color w:val="auto"/>
          <w:sz w:val="24"/>
          <w:szCs w:val="24"/>
        </w:rPr>
        <w:t>）项目商务需求偏离表</w:t>
      </w:r>
    </w:p>
    <w:p w14:paraId="6D2ADE8B">
      <w:pPr>
        <w:snapToGrid w:val="0"/>
        <w:spacing w:line="360" w:lineRule="auto"/>
        <w:jc w:val="center"/>
        <w:rPr>
          <w:rFonts w:hint="eastAsia" w:ascii="仿宋" w:hAnsi="仿宋" w:eastAsia="仿宋" w:cs="仿宋"/>
          <w:b/>
          <w:color w:val="auto"/>
          <w:sz w:val="24"/>
          <w:szCs w:val="24"/>
        </w:rPr>
      </w:pPr>
      <w:r>
        <w:rPr>
          <w:rFonts w:hint="eastAsia" w:ascii="仿宋" w:hAnsi="仿宋" w:eastAsia="仿宋" w:cs="仿宋"/>
          <w:b/>
          <w:color w:val="auto"/>
          <w:sz w:val="24"/>
          <w:szCs w:val="24"/>
        </w:rPr>
        <w:t>商务响应偏离表</w:t>
      </w:r>
    </w:p>
    <w:p w14:paraId="1D5ECCC9">
      <w:pPr>
        <w:snapToGrid w:val="0"/>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r>
        <w:rPr>
          <w:rFonts w:hint="eastAsia" w:ascii="方正仿宋_GBK" w:hAnsi="宋体" w:eastAsia="方正仿宋_GBK"/>
          <w:color w:val="auto"/>
          <w:sz w:val="24"/>
          <w:szCs w:val="24"/>
        </w:rPr>
        <w:t>项目名称：</w:t>
      </w:r>
    </w:p>
    <w:tbl>
      <w:tblPr>
        <w:tblStyle w:val="19"/>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10"/>
        <w:gridCol w:w="3179"/>
        <w:gridCol w:w="2434"/>
        <w:gridCol w:w="2355"/>
      </w:tblGrid>
      <w:tr w14:paraId="150B4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trPr>
        <w:tc>
          <w:tcPr>
            <w:tcW w:w="1510" w:type="dxa"/>
            <w:noWrap w:val="0"/>
            <w:vAlign w:val="center"/>
          </w:tcPr>
          <w:p w14:paraId="4D6304A5">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序号</w:t>
            </w:r>
          </w:p>
        </w:tc>
        <w:tc>
          <w:tcPr>
            <w:tcW w:w="3179" w:type="dxa"/>
            <w:noWrap w:val="0"/>
            <w:vAlign w:val="center"/>
          </w:tcPr>
          <w:p w14:paraId="270F586A">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项目商务需求</w:t>
            </w:r>
          </w:p>
        </w:tc>
        <w:tc>
          <w:tcPr>
            <w:tcW w:w="2434" w:type="dxa"/>
            <w:noWrap w:val="0"/>
            <w:vAlign w:val="center"/>
          </w:tcPr>
          <w:p w14:paraId="081163DD">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响应情况</w:t>
            </w:r>
          </w:p>
        </w:tc>
        <w:tc>
          <w:tcPr>
            <w:tcW w:w="2355" w:type="dxa"/>
            <w:noWrap w:val="0"/>
            <w:vAlign w:val="center"/>
          </w:tcPr>
          <w:p w14:paraId="4685718C">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差异说明</w:t>
            </w:r>
          </w:p>
        </w:tc>
      </w:tr>
      <w:tr w14:paraId="7F1E0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41859224">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69FEAB99">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5ABBCB40">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7B71785E">
            <w:pPr>
              <w:tabs>
                <w:tab w:val="left" w:pos="6300"/>
              </w:tabs>
              <w:snapToGrid w:val="0"/>
              <w:spacing w:line="360" w:lineRule="auto"/>
              <w:jc w:val="center"/>
              <w:outlineLvl w:val="0"/>
              <w:rPr>
                <w:rFonts w:hint="eastAsia" w:ascii="仿宋" w:hAnsi="仿宋" w:eastAsia="仿宋" w:cs="仿宋"/>
                <w:color w:val="auto"/>
                <w:sz w:val="24"/>
                <w:szCs w:val="24"/>
              </w:rPr>
            </w:pPr>
          </w:p>
        </w:tc>
      </w:tr>
      <w:tr w14:paraId="3AC62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59A1FF2F">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3C00822A">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7AA5470A">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35C55CB7">
            <w:pPr>
              <w:tabs>
                <w:tab w:val="left" w:pos="6300"/>
              </w:tabs>
              <w:snapToGrid w:val="0"/>
              <w:spacing w:line="360" w:lineRule="auto"/>
              <w:jc w:val="center"/>
              <w:outlineLvl w:val="0"/>
              <w:rPr>
                <w:rFonts w:hint="eastAsia" w:ascii="仿宋" w:hAnsi="仿宋" w:eastAsia="仿宋" w:cs="仿宋"/>
                <w:color w:val="auto"/>
                <w:sz w:val="24"/>
                <w:szCs w:val="24"/>
              </w:rPr>
            </w:pPr>
          </w:p>
        </w:tc>
      </w:tr>
      <w:tr w14:paraId="55AA6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050AB475">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080D22CA">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028E86C1">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0BBBEDC7">
            <w:pPr>
              <w:tabs>
                <w:tab w:val="left" w:pos="6300"/>
              </w:tabs>
              <w:snapToGrid w:val="0"/>
              <w:spacing w:line="360" w:lineRule="auto"/>
              <w:jc w:val="center"/>
              <w:outlineLvl w:val="0"/>
              <w:rPr>
                <w:rFonts w:hint="eastAsia" w:ascii="仿宋" w:hAnsi="仿宋" w:eastAsia="仿宋" w:cs="仿宋"/>
                <w:color w:val="auto"/>
                <w:sz w:val="24"/>
                <w:szCs w:val="24"/>
              </w:rPr>
            </w:pPr>
          </w:p>
        </w:tc>
      </w:tr>
      <w:tr w14:paraId="0EB44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14FB6BFC">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1208149F">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59E38F29">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520AE89A">
            <w:pPr>
              <w:tabs>
                <w:tab w:val="left" w:pos="6300"/>
              </w:tabs>
              <w:snapToGrid w:val="0"/>
              <w:spacing w:line="360" w:lineRule="auto"/>
              <w:jc w:val="center"/>
              <w:outlineLvl w:val="0"/>
              <w:rPr>
                <w:rFonts w:hint="eastAsia" w:ascii="仿宋" w:hAnsi="仿宋" w:eastAsia="仿宋" w:cs="仿宋"/>
                <w:color w:val="auto"/>
                <w:sz w:val="24"/>
                <w:szCs w:val="24"/>
              </w:rPr>
            </w:pPr>
          </w:p>
        </w:tc>
      </w:tr>
      <w:tr w14:paraId="12B25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5FFC2124">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0B81E040">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23AE4DED">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66DC11D4">
            <w:pPr>
              <w:tabs>
                <w:tab w:val="left" w:pos="6300"/>
              </w:tabs>
              <w:snapToGrid w:val="0"/>
              <w:spacing w:line="360" w:lineRule="auto"/>
              <w:jc w:val="center"/>
              <w:outlineLvl w:val="0"/>
              <w:rPr>
                <w:rFonts w:hint="eastAsia" w:ascii="仿宋" w:hAnsi="仿宋" w:eastAsia="仿宋" w:cs="仿宋"/>
                <w:color w:val="auto"/>
                <w:sz w:val="24"/>
                <w:szCs w:val="24"/>
              </w:rPr>
            </w:pPr>
          </w:p>
        </w:tc>
      </w:tr>
      <w:tr w14:paraId="1036E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19FE50E1">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15668774">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2E5E316B">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5F9B141B">
            <w:pPr>
              <w:tabs>
                <w:tab w:val="left" w:pos="6300"/>
              </w:tabs>
              <w:snapToGrid w:val="0"/>
              <w:spacing w:line="360" w:lineRule="auto"/>
              <w:jc w:val="center"/>
              <w:outlineLvl w:val="0"/>
              <w:rPr>
                <w:rFonts w:hint="eastAsia" w:ascii="仿宋" w:hAnsi="仿宋" w:eastAsia="仿宋" w:cs="仿宋"/>
                <w:color w:val="auto"/>
                <w:sz w:val="24"/>
                <w:szCs w:val="24"/>
              </w:rPr>
            </w:pPr>
          </w:p>
        </w:tc>
      </w:tr>
    </w:tbl>
    <w:p w14:paraId="4D2CCBC8">
      <w:pPr>
        <w:snapToGrid w:val="0"/>
        <w:spacing w:line="360" w:lineRule="auto"/>
        <w:ind w:firstLine="465"/>
        <w:rPr>
          <w:rFonts w:hint="eastAsia" w:ascii="仿宋" w:hAnsi="仿宋" w:eastAsia="仿宋" w:cs="仿宋"/>
          <w:color w:val="auto"/>
          <w:sz w:val="24"/>
          <w:szCs w:val="24"/>
        </w:rPr>
      </w:pPr>
    </w:p>
    <w:p w14:paraId="48E9F885">
      <w:pPr>
        <w:spacing w:line="360" w:lineRule="auto"/>
        <w:ind w:firstLine="600" w:firstLineChars="250"/>
        <w:rPr>
          <w:rFonts w:hint="eastAsia" w:ascii="仿宋" w:hAnsi="仿宋" w:eastAsia="仿宋" w:cs="仿宋"/>
          <w:color w:val="auto"/>
          <w:sz w:val="24"/>
          <w:szCs w:val="24"/>
        </w:rPr>
      </w:pPr>
      <w:r>
        <w:rPr>
          <w:rFonts w:hint="eastAsia" w:ascii="仿宋" w:hAnsi="仿宋" w:eastAsia="仿宋" w:cs="仿宋"/>
          <w:color w:val="auto"/>
          <w:sz w:val="24"/>
          <w:szCs w:val="24"/>
        </w:rPr>
        <w:t>供应商：                                      法定代表人授权代表：</w:t>
      </w:r>
    </w:p>
    <w:p w14:paraId="4DC59DF2">
      <w:pPr>
        <w:spacing w:line="360" w:lineRule="auto"/>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14:paraId="481402C4">
      <w:pPr>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color w:val="auto"/>
          <w:sz w:val="24"/>
          <w:szCs w:val="24"/>
        </w:rPr>
        <w:t>（供应商公章）                                 （签字或盖章）</w:t>
      </w:r>
    </w:p>
    <w:p w14:paraId="2AAA38B0">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 xml:space="preserve">                                            年     月     日</w:t>
      </w:r>
    </w:p>
    <w:p w14:paraId="1EB94A42">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注：</w:t>
      </w:r>
    </w:p>
    <w:p w14:paraId="1A2B1EF3">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1.本表即为对本项目“第三篇 项目商务需求”中所列服务要求进行比较和响应；</w:t>
      </w:r>
    </w:p>
    <w:p w14:paraId="56FEDFA6">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2.该表必须按照</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要求逐条如实填写，根据响应情况在“差异说明”项填写正偏离或负偏离及原因，完全符合的填写“无</w:t>
      </w:r>
      <w:r>
        <w:rPr>
          <w:rFonts w:hint="eastAsia" w:ascii="仿宋" w:hAnsi="仿宋" w:eastAsia="仿宋" w:cs="仿宋"/>
          <w:color w:val="auto"/>
          <w:sz w:val="24"/>
          <w:szCs w:val="24"/>
          <w:lang w:eastAsia="zh-CN"/>
        </w:rPr>
        <w:t>偏离</w:t>
      </w:r>
      <w:r>
        <w:rPr>
          <w:rFonts w:hint="eastAsia" w:ascii="仿宋" w:hAnsi="仿宋" w:eastAsia="仿宋" w:cs="仿宋"/>
          <w:color w:val="auto"/>
          <w:sz w:val="24"/>
          <w:szCs w:val="24"/>
        </w:rPr>
        <w:t>”；</w:t>
      </w:r>
    </w:p>
    <w:p w14:paraId="5BD36673">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3.该表可扩展，并逐页签字或盖章。</w:t>
      </w:r>
    </w:p>
    <w:p w14:paraId="5CEEA9EE">
      <w:pPr>
        <w:snapToGrid w:val="0"/>
        <w:spacing w:line="360" w:lineRule="auto"/>
        <w:ind w:firstLine="480" w:firstLineChars="200"/>
        <w:rPr>
          <w:rFonts w:hint="eastAsia" w:ascii="仿宋" w:hAnsi="仿宋" w:eastAsia="仿宋" w:cs="仿宋"/>
          <w:color w:val="auto"/>
          <w:sz w:val="24"/>
          <w:szCs w:val="24"/>
        </w:rPr>
      </w:pPr>
    </w:p>
    <w:p w14:paraId="1BE82D76">
      <w:pPr>
        <w:snapToGrid w:val="0"/>
        <w:spacing w:line="360" w:lineRule="auto"/>
        <w:ind w:firstLine="480" w:firstLineChars="200"/>
        <w:rPr>
          <w:rFonts w:hint="eastAsia" w:ascii="仿宋" w:hAnsi="仿宋" w:eastAsia="仿宋" w:cs="仿宋"/>
          <w:color w:val="auto"/>
          <w:sz w:val="24"/>
          <w:szCs w:val="24"/>
        </w:rPr>
      </w:pPr>
    </w:p>
    <w:p w14:paraId="1D67C800">
      <w:pPr>
        <w:snapToGrid w:val="0"/>
        <w:spacing w:line="360" w:lineRule="auto"/>
        <w:ind w:firstLine="480" w:firstLineChars="200"/>
        <w:rPr>
          <w:rFonts w:hint="eastAsia" w:ascii="仿宋" w:hAnsi="仿宋" w:eastAsia="仿宋" w:cs="仿宋"/>
          <w:color w:val="auto"/>
          <w:sz w:val="24"/>
          <w:szCs w:val="24"/>
        </w:rPr>
      </w:pPr>
    </w:p>
    <w:p w14:paraId="496188DE">
      <w:pPr>
        <w:snapToGrid w:val="0"/>
        <w:spacing w:line="360" w:lineRule="auto"/>
        <w:ind w:firstLine="480" w:firstLineChars="200"/>
        <w:rPr>
          <w:rFonts w:hint="eastAsia" w:ascii="仿宋" w:hAnsi="仿宋" w:eastAsia="仿宋" w:cs="仿宋"/>
          <w:color w:val="auto"/>
          <w:sz w:val="24"/>
          <w:szCs w:val="24"/>
        </w:rPr>
      </w:pPr>
    </w:p>
    <w:p w14:paraId="5126F9CA">
      <w:pPr>
        <w:snapToGrid w:val="0"/>
        <w:spacing w:line="360" w:lineRule="auto"/>
        <w:ind w:firstLine="480" w:firstLineChars="200"/>
        <w:rPr>
          <w:rFonts w:hint="eastAsia" w:ascii="仿宋" w:hAnsi="仿宋" w:eastAsia="仿宋" w:cs="仿宋"/>
          <w:color w:val="auto"/>
          <w:sz w:val="24"/>
          <w:szCs w:val="24"/>
        </w:rPr>
      </w:pPr>
    </w:p>
    <w:p w14:paraId="3E46E377">
      <w:pPr>
        <w:snapToGrid w:val="0"/>
        <w:spacing w:line="360" w:lineRule="auto"/>
        <w:ind w:firstLine="480" w:firstLineChars="200"/>
        <w:rPr>
          <w:rFonts w:hint="eastAsia" w:ascii="仿宋" w:hAnsi="仿宋" w:eastAsia="仿宋" w:cs="仿宋"/>
          <w:color w:val="auto"/>
          <w:sz w:val="24"/>
          <w:szCs w:val="24"/>
        </w:rPr>
      </w:pPr>
    </w:p>
    <w:p w14:paraId="15B50BA2">
      <w:pPr>
        <w:snapToGrid w:val="0"/>
        <w:spacing w:line="360" w:lineRule="auto"/>
        <w:ind w:firstLine="480" w:firstLineChars="200"/>
        <w:rPr>
          <w:rFonts w:hint="eastAsia" w:ascii="仿宋" w:hAnsi="仿宋" w:eastAsia="仿宋" w:cs="仿宋"/>
          <w:b/>
          <w:color w:val="auto"/>
        </w:rPr>
        <w:sectPr>
          <w:headerReference r:id="rId12" w:type="default"/>
          <w:pgSz w:w="11907" w:h="16840"/>
          <w:pgMar w:top="1134" w:right="1191" w:bottom="1134" w:left="1304" w:header="851" w:footer="992" w:gutter="0"/>
          <w:pgNumType w:fmt="numberInDash"/>
          <w:cols w:space="720" w:num="1"/>
          <w:docGrid w:linePitch="380" w:charSpace="-5735"/>
        </w:sect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二</w:t>
      </w:r>
      <w:r>
        <w:rPr>
          <w:rFonts w:hint="eastAsia" w:ascii="仿宋" w:hAnsi="仿宋" w:eastAsia="仿宋" w:cs="仿宋"/>
          <w:color w:val="auto"/>
          <w:sz w:val="24"/>
          <w:szCs w:val="24"/>
        </w:rPr>
        <w:t>）</w:t>
      </w:r>
      <w:r>
        <w:rPr>
          <w:rFonts w:hint="eastAsia" w:ascii="仿宋" w:hAnsi="仿宋" w:eastAsia="仿宋" w:cs="仿宋"/>
          <w:color w:val="auto"/>
          <w:sz w:val="24"/>
          <w:szCs w:val="24"/>
          <w:highlight w:val="none"/>
        </w:rPr>
        <w:t>其它资料（格式自定）</w:t>
      </w:r>
    </w:p>
    <w:p w14:paraId="7929B8F2">
      <w:pPr>
        <w:pStyle w:val="6"/>
        <w:spacing w:before="0" w:after="0" w:line="360" w:lineRule="auto"/>
        <w:rPr>
          <w:rFonts w:hint="eastAsia" w:ascii="仿宋" w:hAnsi="仿宋" w:eastAsia="仿宋" w:cs="仿宋"/>
          <w:color w:val="auto"/>
          <w:sz w:val="24"/>
          <w:szCs w:val="24"/>
        </w:rPr>
      </w:pPr>
      <w:bookmarkStart w:id="133" w:name="_Toc17424"/>
      <w:bookmarkStart w:id="134" w:name="_Toc313008359"/>
      <w:bookmarkStart w:id="135" w:name="_Toc313888363"/>
      <w:bookmarkStart w:id="136" w:name="_Toc342913422"/>
      <w:r>
        <w:rPr>
          <w:rFonts w:hint="eastAsia" w:ascii="仿宋" w:hAnsi="仿宋" w:eastAsia="仿宋" w:cs="仿宋"/>
          <w:color w:val="auto"/>
          <w:sz w:val="24"/>
          <w:szCs w:val="24"/>
        </w:rPr>
        <w:t>四、资格条件及其他</w:t>
      </w:r>
      <w:bookmarkEnd w:id="133"/>
      <w:bookmarkEnd w:id="134"/>
      <w:bookmarkEnd w:id="135"/>
      <w:bookmarkEnd w:id="136"/>
    </w:p>
    <w:p w14:paraId="6D5A5E6A">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（一）</w:t>
      </w:r>
      <w:r>
        <w:rPr>
          <w:rFonts w:hint="eastAsia" w:ascii="仿宋" w:hAnsi="仿宋" w:eastAsia="仿宋" w:cs="仿宋"/>
          <w:color w:val="auto"/>
          <w:sz w:val="24"/>
          <w:highlight w:val="none"/>
        </w:rPr>
        <w:t>法人营业执照（副本）或事业单位法人证书（副本）或个体工商户营业执照或有效的自然人身份证明或社会团体法人登记证书复印件</w:t>
      </w:r>
    </w:p>
    <w:p w14:paraId="5161F367">
      <w:pPr>
        <w:tabs>
          <w:tab w:val="left" w:pos="6300"/>
        </w:tabs>
        <w:snapToGrid w:val="0"/>
        <w:spacing w:line="360" w:lineRule="auto"/>
        <w:ind w:firstLine="570"/>
        <w:rPr>
          <w:rFonts w:hint="eastAsia" w:ascii="仿宋" w:hAnsi="仿宋" w:eastAsia="仿宋" w:cs="仿宋"/>
          <w:color w:val="auto"/>
        </w:rPr>
      </w:pPr>
    </w:p>
    <w:p w14:paraId="5505BD3E">
      <w:pPr>
        <w:tabs>
          <w:tab w:val="left" w:pos="6300"/>
        </w:tabs>
        <w:snapToGrid w:val="0"/>
        <w:spacing w:line="360" w:lineRule="auto"/>
        <w:ind w:firstLine="570"/>
        <w:rPr>
          <w:rFonts w:hint="eastAsia" w:ascii="仿宋" w:hAnsi="仿宋" w:eastAsia="仿宋" w:cs="仿宋"/>
          <w:color w:val="auto"/>
        </w:rPr>
      </w:pPr>
    </w:p>
    <w:p w14:paraId="15CF63CF">
      <w:pPr>
        <w:tabs>
          <w:tab w:val="left" w:pos="6300"/>
        </w:tabs>
        <w:snapToGrid w:val="0"/>
        <w:spacing w:line="360" w:lineRule="auto"/>
        <w:ind w:firstLine="570"/>
        <w:rPr>
          <w:rFonts w:hint="eastAsia" w:ascii="仿宋" w:hAnsi="仿宋" w:eastAsia="仿宋" w:cs="仿宋"/>
          <w:color w:val="auto"/>
        </w:rPr>
      </w:pPr>
    </w:p>
    <w:p w14:paraId="22D136A4">
      <w:pPr>
        <w:widowControl/>
        <w:spacing w:line="360" w:lineRule="auto"/>
        <w:ind w:firstLine="420" w:firstLineChars="200"/>
        <w:jc w:val="left"/>
        <w:rPr>
          <w:rFonts w:hint="eastAsia" w:ascii="仿宋" w:hAnsi="仿宋" w:eastAsia="仿宋" w:cs="仿宋"/>
          <w:color w:val="auto"/>
          <w:sz w:val="24"/>
          <w:szCs w:val="24"/>
        </w:rPr>
      </w:pPr>
      <w:r>
        <w:rPr>
          <w:rFonts w:hint="eastAsia" w:ascii="仿宋" w:hAnsi="仿宋" w:eastAsia="仿宋" w:cs="仿宋"/>
          <w:color w:val="auto"/>
        </w:rPr>
        <w:br w:type="page"/>
      </w: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二</w:t>
      </w:r>
      <w:r>
        <w:rPr>
          <w:rFonts w:hint="eastAsia" w:ascii="仿宋" w:hAnsi="仿宋" w:eastAsia="仿宋" w:cs="仿宋"/>
          <w:color w:val="auto"/>
          <w:sz w:val="24"/>
          <w:szCs w:val="24"/>
        </w:rPr>
        <w:t>）法定代表人身份证明书（格式）</w:t>
      </w:r>
    </w:p>
    <w:p w14:paraId="6DBB88CA">
      <w:pPr>
        <w:tabs>
          <w:tab w:val="left" w:pos="6300"/>
        </w:tabs>
        <w:snapToGrid w:val="0"/>
        <w:spacing w:line="360" w:lineRule="auto"/>
        <w:ind w:firstLine="570"/>
        <w:rPr>
          <w:rFonts w:hint="eastAsia" w:ascii="仿宋" w:hAnsi="仿宋" w:eastAsia="仿宋" w:cs="仿宋"/>
          <w:color w:val="auto"/>
          <w:sz w:val="24"/>
          <w:szCs w:val="24"/>
        </w:rPr>
      </w:pPr>
    </w:p>
    <w:p w14:paraId="1E7F57A3">
      <w:pPr>
        <w:tabs>
          <w:tab w:val="left" w:pos="6300"/>
        </w:tabs>
        <w:snapToGrid w:val="0"/>
        <w:spacing w:line="360" w:lineRule="auto"/>
        <w:ind w:firstLine="570"/>
        <w:rPr>
          <w:rFonts w:hint="eastAsia" w:ascii="仿宋" w:hAnsi="仿宋" w:eastAsia="仿宋" w:cs="仿宋"/>
          <w:color w:val="auto"/>
          <w:sz w:val="24"/>
          <w:szCs w:val="24"/>
        </w:rPr>
      </w:pPr>
      <w:r>
        <w:rPr>
          <w:rFonts w:hint="eastAsia" w:ascii="方正仿宋_GBK" w:hAnsi="宋体" w:eastAsia="方正仿宋_GBK"/>
          <w:color w:val="auto"/>
          <w:sz w:val="24"/>
          <w:szCs w:val="24"/>
          <w:lang w:eastAsia="zh-CN"/>
        </w:rPr>
        <w:t>项目名称</w:t>
      </w:r>
      <w:r>
        <w:rPr>
          <w:rFonts w:hint="eastAsia" w:ascii="方正仿宋_GBK" w:hAnsi="宋体" w:eastAsia="方正仿宋_GBK"/>
          <w:color w:val="auto"/>
          <w:sz w:val="24"/>
          <w:szCs w:val="24"/>
        </w:rPr>
        <w:t>：</w:t>
      </w:r>
      <w:r>
        <w:rPr>
          <w:rFonts w:hint="eastAsia" w:ascii="仿宋" w:hAnsi="仿宋" w:eastAsia="仿宋" w:cs="仿宋"/>
          <w:color w:val="auto"/>
          <w:sz w:val="24"/>
          <w:szCs w:val="24"/>
          <w:u w:val="single"/>
        </w:rPr>
        <w:t xml:space="preserve">                                                </w:t>
      </w:r>
    </w:p>
    <w:p w14:paraId="6783D310">
      <w:pPr>
        <w:tabs>
          <w:tab w:val="left" w:pos="6300"/>
        </w:tabs>
        <w:snapToGrid w:val="0"/>
        <w:spacing w:line="360" w:lineRule="auto"/>
        <w:ind w:firstLine="570"/>
        <w:rPr>
          <w:rFonts w:hint="eastAsia" w:ascii="仿宋" w:hAnsi="仿宋" w:eastAsia="仿宋" w:cs="仿宋"/>
          <w:color w:val="auto"/>
          <w:sz w:val="24"/>
          <w:szCs w:val="24"/>
        </w:rPr>
      </w:pPr>
    </w:p>
    <w:p w14:paraId="0F3AE4A1">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致：</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（采购人名称）：</w:t>
      </w:r>
    </w:p>
    <w:p w14:paraId="223FF604">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（法定代表人姓名）在</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（供应商名称）任</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（职务名称）职务，是（供应商名称）</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的法定代表人。</w:t>
      </w:r>
    </w:p>
    <w:p w14:paraId="1B540FE1">
      <w:pPr>
        <w:tabs>
          <w:tab w:val="left" w:pos="6300"/>
        </w:tabs>
        <w:snapToGrid w:val="0"/>
        <w:spacing w:line="360" w:lineRule="auto"/>
        <w:ind w:firstLine="570"/>
        <w:rPr>
          <w:rFonts w:hint="eastAsia" w:ascii="仿宋" w:hAnsi="仿宋" w:eastAsia="仿宋" w:cs="仿宋"/>
          <w:color w:val="auto"/>
          <w:sz w:val="24"/>
          <w:szCs w:val="24"/>
        </w:rPr>
      </w:pPr>
    </w:p>
    <w:p w14:paraId="610CE19A">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特此证明。</w:t>
      </w:r>
    </w:p>
    <w:p w14:paraId="32C66BF3">
      <w:pPr>
        <w:tabs>
          <w:tab w:val="left" w:pos="6300"/>
        </w:tabs>
        <w:snapToGrid w:val="0"/>
        <w:spacing w:line="360" w:lineRule="auto"/>
        <w:ind w:firstLine="570"/>
        <w:rPr>
          <w:rFonts w:hint="eastAsia" w:ascii="仿宋" w:hAnsi="仿宋" w:eastAsia="仿宋" w:cs="仿宋"/>
          <w:color w:val="auto"/>
          <w:sz w:val="24"/>
          <w:szCs w:val="24"/>
        </w:rPr>
      </w:pPr>
    </w:p>
    <w:p w14:paraId="4BFDF44B">
      <w:pPr>
        <w:tabs>
          <w:tab w:val="left" w:pos="6300"/>
        </w:tabs>
        <w:snapToGrid w:val="0"/>
        <w:spacing w:line="360" w:lineRule="auto"/>
        <w:ind w:firstLine="570"/>
        <w:rPr>
          <w:rFonts w:hint="eastAsia" w:ascii="仿宋" w:hAnsi="仿宋" w:eastAsia="仿宋" w:cs="仿宋"/>
          <w:color w:val="auto"/>
          <w:sz w:val="24"/>
          <w:szCs w:val="24"/>
        </w:rPr>
      </w:pPr>
    </w:p>
    <w:p w14:paraId="32BF2BD2">
      <w:pPr>
        <w:tabs>
          <w:tab w:val="left" w:pos="6300"/>
        </w:tabs>
        <w:snapToGrid w:val="0"/>
        <w:spacing w:line="360" w:lineRule="auto"/>
        <w:ind w:firstLine="570"/>
        <w:rPr>
          <w:rFonts w:hint="eastAsia" w:ascii="仿宋" w:hAnsi="仿宋" w:eastAsia="仿宋" w:cs="仿宋"/>
          <w:color w:val="auto"/>
          <w:sz w:val="24"/>
          <w:szCs w:val="24"/>
        </w:rPr>
      </w:pPr>
    </w:p>
    <w:p w14:paraId="037DC402">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 xml:space="preserve">                                             （供应商公章）</w:t>
      </w:r>
    </w:p>
    <w:p w14:paraId="31EC2207">
      <w:pPr>
        <w:tabs>
          <w:tab w:val="left" w:pos="6300"/>
        </w:tabs>
        <w:snapToGrid w:val="0"/>
        <w:spacing w:line="360" w:lineRule="auto"/>
        <w:ind w:firstLine="570"/>
        <w:rPr>
          <w:rFonts w:hint="eastAsia" w:ascii="仿宋" w:hAnsi="仿宋" w:eastAsia="仿宋" w:cs="仿宋"/>
          <w:color w:val="auto"/>
          <w:sz w:val="24"/>
          <w:szCs w:val="24"/>
        </w:rPr>
      </w:pPr>
    </w:p>
    <w:p w14:paraId="55A09587">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 xml:space="preserve">                                             年   月   日</w:t>
      </w:r>
    </w:p>
    <w:p w14:paraId="51F2B311">
      <w:pPr>
        <w:tabs>
          <w:tab w:val="left" w:pos="6300"/>
        </w:tabs>
        <w:snapToGrid w:val="0"/>
        <w:spacing w:line="360" w:lineRule="auto"/>
        <w:ind w:firstLine="570"/>
        <w:rPr>
          <w:rFonts w:hint="eastAsia" w:ascii="仿宋" w:hAnsi="仿宋" w:eastAsia="仿宋" w:cs="仿宋"/>
          <w:color w:val="auto"/>
          <w:sz w:val="24"/>
          <w:szCs w:val="24"/>
        </w:rPr>
      </w:pPr>
    </w:p>
    <w:p w14:paraId="2F05BD22">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（附：法定代表人身份证正反面复印件）</w:t>
      </w:r>
    </w:p>
    <w:p w14:paraId="1368F5E7">
      <w:pPr>
        <w:tabs>
          <w:tab w:val="left" w:pos="6300"/>
        </w:tabs>
        <w:snapToGrid w:val="0"/>
        <w:spacing w:line="360" w:lineRule="auto"/>
        <w:ind w:firstLine="570"/>
        <w:rPr>
          <w:rFonts w:hint="eastAsia" w:ascii="仿宋" w:hAnsi="仿宋" w:eastAsia="仿宋" w:cs="仿宋"/>
          <w:color w:val="auto"/>
          <w:sz w:val="24"/>
        </w:rPr>
      </w:pPr>
    </w:p>
    <w:p w14:paraId="1744CD16">
      <w:pPr>
        <w:tabs>
          <w:tab w:val="left" w:pos="6300"/>
        </w:tabs>
        <w:snapToGrid w:val="0"/>
        <w:spacing w:line="360" w:lineRule="auto"/>
        <w:ind w:firstLine="570"/>
        <w:rPr>
          <w:rFonts w:hint="eastAsia" w:ascii="仿宋" w:hAnsi="仿宋" w:eastAsia="仿宋" w:cs="仿宋"/>
          <w:color w:val="auto"/>
          <w:sz w:val="24"/>
        </w:rPr>
      </w:pPr>
    </w:p>
    <w:p w14:paraId="2FF3C170">
      <w:pPr>
        <w:tabs>
          <w:tab w:val="left" w:pos="6300"/>
        </w:tabs>
        <w:snapToGrid w:val="0"/>
        <w:spacing w:line="360" w:lineRule="auto"/>
        <w:ind w:firstLine="570"/>
        <w:rPr>
          <w:rFonts w:hint="eastAsia" w:ascii="仿宋" w:hAnsi="仿宋" w:eastAsia="仿宋" w:cs="仿宋"/>
          <w:color w:val="auto"/>
          <w:sz w:val="24"/>
        </w:rPr>
      </w:pPr>
    </w:p>
    <w:p w14:paraId="7FB009D6">
      <w:pPr>
        <w:tabs>
          <w:tab w:val="left" w:pos="6300"/>
        </w:tabs>
        <w:snapToGrid w:val="0"/>
        <w:spacing w:line="360" w:lineRule="auto"/>
        <w:ind w:firstLine="570"/>
        <w:rPr>
          <w:rFonts w:hint="eastAsia" w:ascii="仿宋" w:hAnsi="仿宋" w:eastAsia="仿宋" w:cs="仿宋"/>
          <w:color w:val="auto"/>
          <w:sz w:val="24"/>
        </w:rPr>
      </w:pPr>
    </w:p>
    <w:p w14:paraId="1383DCA9">
      <w:pPr>
        <w:tabs>
          <w:tab w:val="left" w:pos="6300"/>
        </w:tabs>
        <w:snapToGrid w:val="0"/>
        <w:spacing w:line="360" w:lineRule="auto"/>
        <w:ind w:firstLine="570"/>
        <w:rPr>
          <w:rFonts w:hint="eastAsia" w:ascii="仿宋" w:hAnsi="仿宋" w:eastAsia="仿宋" w:cs="仿宋"/>
          <w:color w:val="auto"/>
          <w:sz w:val="24"/>
        </w:rPr>
      </w:pPr>
    </w:p>
    <w:p w14:paraId="5F7AC55A">
      <w:pPr>
        <w:tabs>
          <w:tab w:val="left" w:pos="6300"/>
        </w:tabs>
        <w:snapToGrid w:val="0"/>
        <w:spacing w:line="360" w:lineRule="auto"/>
        <w:ind w:firstLine="570"/>
        <w:rPr>
          <w:rFonts w:hint="eastAsia" w:ascii="仿宋" w:hAnsi="仿宋" w:eastAsia="仿宋" w:cs="仿宋"/>
          <w:color w:val="auto"/>
          <w:sz w:val="24"/>
        </w:rPr>
      </w:pPr>
    </w:p>
    <w:p w14:paraId="4E807FE8">
      <w:pPr>
        <w:tabs>
          <w:tab w:val="left" w:pos="6300"/>
        </w:tabs>
        <w:snapToGrid w:val="0"/>
        <w:spacing w:line="360" w:lineRule="auto"/>
        <w:ind w:firstLine="570"/>
        <w:rPr>
          <w:rFonts w:hint="eastAsia" w:ascii="仿宋" w:hAnsi="仿宋" w:eastAsia="仿宋" w:cs="仿宋"/>
          <w:color w:val="auto"/>
        </w:rPr>
      </w:pPr>
      <w:r>
        <w:rPr>
          <w:rFonts w:hint="eastAsia" w:ascii="仿宋" w:hAnsi="仿宋" w:eastAsia="仿宋" w:cs="仿宋"/>
          <w:color w:val="auto"/>
        </w:rPr>
        <w:br w:type="column"/>
      </w: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三</w:t>
      </w:r>
      <w:r>
        <w:rPr>
          <w:rFonts w:hint="eastAsia" w:ascii="仿宋" w:hAnsi="仿宋" w:eastAsia="仿宋" w:cs="仿宋"/>
          <w:color w:val="auto"/>
          <w:sz w:val="24"/>
          <w:szCs w:val="24"/>
        </w:rPr>
        <w:t>）法定代表人授权委托书（格式）</w:t>
      </w:r>
    </w:p>
    <w:p w14:paraId="4575CE43">
      <w:pPr>
        <w:tabs>
          <w:tab w:val="left" w:pos="6300"/>
        </w:tabs>
        <w:snapToGrid w:val="0"/>
        <w:spacing w:line="360" w:lineRule="auto"/>
        <w:ind w:firstLine="570"/>
        <w:rPr>
          <w:rFonts w:hint="eastAsia" w:ascii="仿宋" w:hAnsi="仿宋" w:eastAsia="仿宋" w:cs="仿宋"/>
          <w:color w:val="auto"/>
          <w:sz w:val="24"/>
        </w:rPr>
      </w:pPr>
      <w:r>
        <w:rPr>
          <w:rFonts w:hint="eastAsia" w:ascii="仿宋" w:hAnsi="仿宋" w:eastAsia="仿宋" w:cs="仿宋"/>
          <w:color w:val="auto"/>
          <w:sz w:val="24"/>
        </w:rPr>
        <w:t xml:space="preserve">    </w:t>
      </w:r>
    </w:p>
    <w:p w14:paraId="400A1FB7">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方正仿宋_GBK" w:hAnsi="宋体" w:eastAsia="方正仿宋_GBK"/>
          <w:color w:val="auto"/>
          <w:sz w:val="24"/>
          <w:szCs w:val="24"/>
          <w:lang w:eastAsia="zh-CN"/>
        </w:rPr>
        <w:t>项目名称</w:t>
      </w:r>
      <w:r>
        <w:rPr>
          <w:rFonts w:hint="eastAsia" w:ascii="方正仿宋_GBK" w:hAnsi="宋体" w:eastAsia="方正仿宋_GBK"/>
          <w:color w:val="auto"/>
          <w:sz w:val="24"/>
          <w:szCs w:val="24"/>
        </w:rPr>
        <w:t>：</w:t>
      </w:r>
      <w:r>
        <w:rPr>
          <w:rFonts w:hint="eastAsia" w:ascii="仿宋" w:hAnsi="仿宋" w:eastAsia="仿宋" w:cs="仿宋"/>
          <w:color w:val="auto"/>
          <w:sz w:val="24"/>
          <w:u w:val="single"/>
        </w:rPr>
        <w:t xml:space="preserve">                                                </w:t>
      </w:r>
    </w:p>
    <w:p w14:paraId="170E38A4">
      <w:pPr>
        <w:tabs>
          <w:tab w:val="left" w:pos="6300"/>
        </w:tabs>
        <w:snapToGrid w:val="0"/>
        <w:spacing w:line="360" w:lineRule="auto"/>
        <w:ind w:firstLine="570"/>
        <w:rPr>
          <w:rFonts w:hint="eastAsia" w:ascii="仿宋" w:hAnsi="仿宋" w:eastAsia="仿宋" w:cs="仿宋"/>
          <w:color w:val="auto"/>
          <w:sz w:val="24"/>
        </w:rPr>
      </w:pPr>
    </w:p>
    <w:p w14:paraId="7C9C9335">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致：</w:t>
      </w:r>
      <w:r>
        <w:rPr>
          <w:rFonts w:hint="eastAsia" w:ascii="仿宋" w:hAnsi="仿宋" w:eastAsia="仿宋" w:cs="仿宋"/>
          <w:color w:val="auto"/>
          <w:sz w:val="24"/>
          <w:u w:val="single"/>
        </w:rPr>
        <w:t xml:space="preserve">                     </w:t>
      </w:r>
      <w:r>
        <w:rPr>
          <w:rFonts w:hint="eastAsia" w:ascii="仿宋" w:hAnsi="仿宋" w:eastAsia="仿宋" w:cs="仿宋"/>
          <w:color w:val="auto"/>
          <w:sz w:val="24"/>
        </w:rPr>
        <w:t>（采购人名称）：</w:t>
      </w:r>
    </w:p>
    <w:p w14:paraId="1327BEFE">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u w:val="single"/>
        </w:rPr>
        <w:t xml:space="preserve">            </w:t>
      </w:r>
      <w:r>
        <w:rPr>
          <w:rFonts w:hint="eastAsia" w:ascii="仿宋" w:hAnsi="仿宋" w:eastAsia="仿宋" w:cs="仿宋"/>
          <w:color w:val="auto"/>
          <w:sz w:val="24"/>
        </w:rPr>
        <w:t>（供应商法定代表人名称）是</w:t>
      </w:r>
      <w:r>
        <w:rPr>
          <w:rFonts w:hint="eastAsia" w:ascii="仿宋" w:hAnsi="仿宋" w:eastAsia="仿宋" w:cs="仿宋"/>
          <w:color w:val="auto"/>
          <w:sz w:val="24"/>
          <w:u w:val="single"/>
        </w:rPr>
        <w:t xml:space="preserve">                    </w:t>
      </w:r>
      <w:r>
        <w:rPr>
          <w:rFonts w:hint="eastAsia" w:ascii="仿宋" w:hAnsi="仿宋" w:eastAsia="仿宋" w:cs="仿宋"/>
          <w:color w:val="auto"/>
          <w:sz w:val="24"/>
        </w:rPr>
        <w:t>（供应商名称）的法定代表人，特授权</w:t>
      </w:r>
      <w:r>
        <w:rPr>
          <w:rFonts w:hint="eastAsia" w:ascii="仿宋" w:hAnsi="仿宋" w:eastAsia="仿宋" w:cs="仿宋"/>
          <w:color w:val="auto"/>
          <w:sz w:val="24"/>
          <w:u w:val="single"/>
        </w:rPr>
        <w:t xml:space="preserve">          </w:t>
      </w:r>
      <w:r>
        <w:rPr>
          <w:rFonts w:hint="eastAsia" w:ascii="仿宋" w:hAnsi="仿宋" w:eastAsia="仿宋" w:cs="仿宋"/>
          <w:color w:val="auto"/>
          <w:sz w:val="24"/>
        </w:rPr>
        <w:t>（被授权人姓名及身份证代码）代表我单位全权办理上述项目的</w:t>
      </w:r>
      <w:r>
        <w:rPr>
          <w:rFonts w:hint="eastAsia" w:ascii="仿宋" w:hAnsi="仿宋" w:eastAsia="仿宋" w:cs="仿宋"/>
          <w:color w:val="auto"/>
          <w:sz w:val="24"/>
          <w:lang w:eastAsia="zh-CN"/>
        </w:rPr>
        <w:t>询比</w:t>
      </w:r>
      <w:r>
        <w:rPr>
          <w:rFonts w:hint="eastAsia" w:ascii="仿宋" w:hAnsi="仿宋" w:eastAsia="仿宋" w:cs="仿宋"/>
          <w:color w:val="auto"/>
          <w:sz w:val="24"/>
        </w:rPr>
        <w:t>、签约等具体工作，并签署全部有关文件、协议及合同。</w:t>
      </w:r>
    </w:p>
    <w:p w14:paraId="1672FC55">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我单位对被授权人的签字负全部责任。</w:t>
      </w:r>
    </w:p>
    <w:p w14:paraId="5FCEB1D7">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在撤消授权的书面通知以前，本授权书一直有效。被授权人在授权书有效期内签署的所有文件不因授权的撤消而失效。</w:t>
      </w:r>
    </w:p>
    <w:p w14:paraId="33147F00">
      <w:pPr>
        <w:tabs>
          <w:tab w:val="left" w:pos="6300"/>
        </w:tabs>
        <w:snapToGrid w:val="0"/>
        <w:spacing w:line="360" w:lineRule="auto"/>
        <w:ind w:firstLine="570"/>
        <w:rPr>
          <w:rFonts w:hint="eastAsia" w:ascii="仿宋" w:hAnsi="仿宋" w:eastAsia="仿宋" w:cs="仿宋"/>
          <w:color w:val="auto"/>
          <w:sz w:val="24"/>
        </w:rPr>
      </w:pPr>
    </w:p>
    <w:p w14:paraId="7DC5070D">
      <w:pPr>
        <w:tabs>
          <w:tab w:val="left" w:pos="6300"/>
        </w:tabs>
        <w:snapToGrid w:val="0"/>
        <w:spacing w:line="360" w:lineRule="auto"/>
        <w:ind w:firstLine="570"/>
        <w:rPr>
          <w:rFonts w:hint="eastAsia" w:ascii="仿宋" w:hAnsi="仿宋" w:eastAsia="仿宋" w:cs="仿宋"/>
          <w:color w:val="auto"/>
          <w:sz w:val="24"/>
        </w:rPr>
      </w:pPr>
    </w:p>
    <w:p w14:paraId="34935597">
      <w:pPr>
        <w:tabs>
          <w:tab w:val="left" w:pos="6300"/>
        </w:tabs>
        <w:snapToGrid w:val="0"/>
        <w:spacing w:line="360" w:lineRule="auto"/>
        <w:ind w:firstLine="570"/>
        <w:rPr>
          <w:rFonts w:hint="eastAsia" w:ascii="仿宋" w:hAnsi="仿宋" w:eastAsia="仿宋" w:cs="仿宋"/>
          <w:color w:val="auto"/>
          <w:sz w:val="24"/>
        </w:rPr>
      </w:pPr>
      <w:r>
        <w:rPr>
          <w:rFonts w:hint="eastAsia" w:ascii="仿宋" w:hAnsi="仿宋" w:eastAsia="仿宋" w:cs="仿宋"/>
          <w:color w:val="auto"/>
          <w:sz w:val="24"/>
        </w:rPr>
        <w:t>被授权人：                                 供应商法定代表人：</w:t>
      </w:r>
    </w:p>
    <w:p w14:paraId="0D8A3F0F">
      <w:pPr>
        <w:tabs>
          <w:tab w:val="left" w:pos="6300"/>
        </w:tabs>
        <w:snapToGrid w:val="0"/>
        <w:spacing w:line="360" w:lineRule="auto"/>
        <w:ind w:firstLine="570"/>
        <w:rPr>
          <w:rFonts w:hint="eastAsia" w:ascii="仿宋" w:hAnsi="仿宋" w:eastAsia="仿宋" w:cs="仿宋"/>
          <w:color w:val="auto"/>
          <w:sz w:val="24"/>
          <w:szCs w:val="28"/>
        </w:rPr>
      </w:pPr>
      <w:r>
        <w:rPr>
          <w:rFonts w:hint="eastAsia" w:ascii="仿宋" w:hAnsi="仿宋" w:eastAsia="仿宋" w:cs="仿宋"/>
          <w:color w:val="auto"/>
          <w:sz w:val="24"/>
          <w:szCs w:val="28"/>
        </w:rPr>
        <w:t>（签字或盖章）                                （签字或盖章）</w:t>
      </w:r>
    </w:p>
    <w:p w14:paraId="1A8839F0">
      <w:pPr>
        <w:tabs>
          <w:tab w:val="left" w:pos="6300"/>
        </w:tabs>
        <w:snapToGrid w:val="0"/>
        <w:spacing w:line="360" w:lineRule="auto"/>
        <w:ind w:firstLine="570"/>
        <w:rPr>
          <w:rFonts w:hint="eastAsia" w:ascii="仿宋" w:hAnsi="仿宋" w:eastAsia="仿宋" w:cs="仿宋"/>
          <w:color w:val="auto"/>
          <w:sz w:val="24"/>
          <w:szCs w:val="28"/>
        </w:rPr>
      </w:pPr>
    </w:p>
    <w:p w14:paraId="19095617">
      <w:pPr>
        <w:tabs>
          <w:tab w:val="left" w:pos="6300"/>
        </w:tabs>
        <w:snapToGrid w:val="0"/>
        <w:spacing w:line="360" w:lineRule="auto"/>
        <w:ind w:firstLine="570"/>
        <w:rPr>
          <w:rFonts w:hint="eastAsia" w:ascii="仿宋" w:hAnsi="仿宋" w:eastAsia="仿宋" w:cs="仿宋"/>
          <w:color w:val="auto"/>
          <w:sz w:val="24"/>
        </w:rPr>
      </w:pPr>
    </w:p>
    <w:p w14:paraId="48927637">
      <w:pPr>
        <w:tabs>
          <w:tab w:val="left" w:pos="6300"/>
        </w:tabs>
        <w:snapToGrid w:val="0"/>
        <w:spacing w:line="360" w:lineRule="auto"/>
        <w:ind w:firstLine="570"/>
        <w:rPr>
          <w:rFonts w:hint="eastAsia" w:ascii="仿宋" w:hAnsi="仿宋" w:eastAsia="仿宋" w:cs="仿宋"/>
          <w:color w:val="auto"/>
          <w:sz w:val="24"/>
        </w:rPr>
      </w:pPr>
      <w:r>
        <w:rPr>
          <w:rFonts w:hint="eastAsia" w:ascii="仿宋" w:hAnsi="仿宋" w:eastAsia="仿宋" w:cs="仿宋"/>
          <w:color w:val="auto"/>
          <w:sz w:val="24"/>
        </w:rPr>
        <w:t>（附：被授权人身份证正反面复印件）</w:t>
      </w:r>
    </w:p>
    <w:p w14:paraId="039CD3E7">
      <w:pPr>
        <w:tabs>
          <w:tab w:val="left" w:pos="6300"/>
        </w:tabs>
        <w:snapToGrid w:val="0"/>
        <w:spacing w:line="360" w:lineRule="auto"/>
        <w:ind w:firstLine="570"/>
        <w:rPr>
          <w:rFonts w:hint="eastAsia" w:ascii="仿宋" w:hAnsi="仿宋" w:eastAsia="仿宋" w:cs="仿宋"/>
          <w:color w:val="auto"/>
          <w:sz w:val="24"/>
        </w:rPr>
      </w:pPr>
      <w:r>
        <w:rPr>
          <w:rFonts w:hint="eastAsia" w:ascii="仿宋" w:hAnsi="仿宋" w:eastAsia="仿宋" w:cs="仿宋"/>
          <w:color w:val="auto"/>
          <w:sz w:val="24"/>
        </w:rPr>
        <w:t xml:space="preserve">                                          </w:t>
      </w:r>
    </w:p>
    <w:p w14:paraId="27F28DC1">
      <w:pPr>
        <w:tabs>
          <w:tab w:val="left" w:pos="6300"/>
        </w:tabs>
        <w:snapToGrid w:val="0"/>
        <w:spacing w:line="360" w:lineRule="auto"/>
        <w:ind w:firstLine="570"/>
        <w:rPr>
          <w:rFonts w:hint="eastAsia" w:ascii="仿宋" w:hAnsi="仿宋" w:eastAsia="仿宋" w:cs="仿宋"/>
          <w:color w:val="auto"/>
          <w:sz w:val="24"/>
        </w:rPr>
      </w:pPr>
    </w:p>
    <w:p w14:paraId="54DF81C3">
      <w:pPr>
        <w:tabs>
          <w:tab w:val="left" w:pos="6300"/>
        </w:tabs>
        <w:snapToGrid w:val="0"/>
        <w:spacing w:line="360" w:lineRule="auto"/>
        <w:ind w:firstLine="570"/>
        <w:rPr>
          <w:rFonts w:hint="eastAsia" w:ascii="仿宋" w:hAnsi="仿宋" w:eastAsia="仿宋" w:cs="仿宋"/>
          <w:color w:val="auto"/>
          <w:sz w:val="24"/>
        </w:rPr>
      </w:pPr>
    </w:p>
    <w:p w14:paraId="246D5C77">
      <w:pPr>
        <w:tabs>
          <w:tab w:val="left" w:pos="6300"/>
        </w:tabs>
        <w:snapToGrid w:val="0"/>
        <w:spacing w:line="360" w:lineRule="auto"/>
        <w:ind w:right="480" w:firstLine="570"/>
        <w:jc w:val="right"/>
        <w:rPr>
          <w:rFonts w:hint="eastAsia" w:ascii="仿宋" w:hAnsi="仿宋" w:eastAsia="仿宋" w:cs="仿宋"/>
          <w:color w:val="auto"/>
          <w:sz w:val="24"/>
        </w:rPr>
      </w:pPr>
      <w:r>
        <w:rPr>
          <w:rFonts w:hint="eastAsia" w:ascii="仿宋" w:hAnsi="仿宋" w:eastAsia="仿宋" w:cs="仿宋"/>
          <w:color w:val="auto"/>
          <w:sz w:val="24"/>
        </w:rPr>
        <w:t>（供应商公章）</w:t>
      </w:r>
    </w:p>
    <w:p w14:paraId="294B8719">
      <w:pPr>
        <w:tabs>
          <w:tab w:val="left" w:pos="6300"/>
        </w:tabs>
        <w:snapToGrid w:val="0"/>
        <w:spacing w:line="360" w:lineRule="auto"/>
        <w:ind w:right="480" w:firstLine="570"/>
        <w:jc w:val="right"/>
        <w:rPr>
          <w:rFonts w:hint="eastAsia" w:ascii="仿宋" w:hAnsi="仿宋" w:eastAsia="仿宋" w:cs="仿宋"/>
          <w:color w:val="auto"/>
          <w:sz w:val="24"/>
        </w:rPr>
      </w:pPr>
      <w:r>
        <w:rPr>
          <w:rFonts w:hint="eastAsia" w:ascii="仿宋" w:hAnsi="仿宋" w:eastAsia="仿宋" w:cs="仿宋"/>
          <w:color w:val="auto"/>
          <w:sz w:val="24"/>
        </w:rPr>
        <w:t>年   月   日</w:t>
      </w:r>
    </w:p>
    <w:p w14:paraId="1A414361">
      <w:pPr>
        <w:tabs>
          <w:tab w:val="left" w:pos="6300"/>
        </w:tabs>
        <w:snapToGrid w:val="0"/>
        <w:spacing w:line="360" w:lineRule="auto"/>
        <w:ind w:firstLine="570"/>
        <w:rPr>
          <w:rFonts w:hint="eastAsia" w:ascii="仿宋" w:hAnsi="仿宋" w:eastAsia="仿宋" w:cs="仿宋"/>
          <w:color w:val="auto"/>
        </w:rPr>
      </w:pPr>
      <w:r>
        <w:rPr>
          <w:rFonts w:hint="eastAsia" w:ascii="仿宋" w:hAnsi="仿宋" w:eastAsia="仿宋" w:cs="仿宋"/>
          <w:color w:val="auto"/>
        </w:rPr>
        <w:br w:type="column"/>
      </w: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四</w:t>
      </w: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基本资格条件承诺函</w:t>
      </w:r>
      <w:r>
        <w:rPr>
          <w:rFonts w:hint="eastAsia" w:ascii="仿宋" w:hAnsi="仿宋" w:eastAsia="仿宋" w:cs="仿宋"/>
          <w:color w:val="auto"/>
          <w:sz w:val="24"/>
          <w:szCs w:val="24"/>
        </w:rPr>
        <w:t>（格式）</w:t>
      </w:r>
    </w:p>
    <w:p w14:paraId="179A4BB7">
      <w:pPr>
        <w:tabs>
          <w:tab w:val="left" w:pos="6300"/>
        </w:tabs>
        <w:snapToGrid w:val="0"/>
        <w:spacing w:line="360" w:lineRule="auto"/>
        <w:rPr>
          <w:rFonts w:hint="eastAsia" w:ascii="仿宋" w:hAnsi="仿宋" w:eastAsia="仿宋" w:cs="仿宋"/>
          <w:color w:val="auto"/>
        </w:rPr>
      </w:pPr>
    </w:p>
    <w:p w14:paraId="7759D4AD">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 xml:space="preserve">致 </w:t>
      </w:r>
      <w:r>
        <w:rPr>
          <w:rFonts w:hint="eastAsia" w:ascii="仿宋" w:hAnsi="仿宋" w:eastAsia="仿宋" w:cs="仿宋"/>
          <w:color w:val="auto"/>
          <w:sz w:val="24"/>
          <w:u w:val="single"/>
          <w:lang w:eastAsia="zh-CN"/>
        </w:rPr>
        <w:t>重庆大足石刻国际文化旅游集团有限公司</w:t>
      </w:r>
      <w:r>
        <w:rPr>
          <w:rFonts w:hint="eastAsia" w:ascii="仿宋" w:hAnsi="仿宋" w:eastAsia="仿宋" w:cs="仿宋"/>
          <w:color w:val="auto"/>
          <w:sz w:val="24"/>
        </w:rPr>
        <w:t>：</w:t>
      </w:r>
    </w:p>
    <w:p w14:paraId="0C81D64B">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u w:val="single"/>
        </w:rPr>
        <w:t xml:space="preserve">                  （供应商名称）</w:t>
      </w:r>
      <w:r>
        <w:rPr>
          <w:rFonts w:hint="eastAsia" w:ascii="仿宋" w:hAnsi="仿宋" w:eastAsia="仿宋" w:cs="仿宋"/>
          <w:color w:val="auto"/>
          <w:sz w:val="24"/>
        </w:rPr>
        <w:t>郑重承诺：</w:t>
      </w:r>
    </w:p>
    <w:p w14:paraId="386F45C3">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1.我方具有良好的商业信誉和健全的财务会计制度，具有履行合同所必需的设备和专业技术能力，具</w:t>
      </w:r>
      <w:r>
        <w:rPr>
          <w:rFonts w:hint="eastAsia" w:ascii="仿宋" w:hAnsi="仿宋" w:eastAsia="仿宋" w:cs="仿宋"/>
          <w:color w:val="auto"/>
          <w:sz w:val="24"/>
          <w:lang w:val="zh-CN"/>
        </w:rPr>
        <w:t>有依法缴纳税收和社会保障金的良好记录</w:t>
      </w:r>
      <w:r>
        <w:rPr>
          <w:rFonts w:hint="eastAsia" w:ascii="仿宋" w:hAnsi="仿宋" w:eastAsia="仿宋" w:cs="仿宋"/>
          <w:color w:val="auto"/>
          <w:sz w:val="24"/>
        </w:rPr>
        <w:t>，参加本项目采购活动前三年内无重大违法活动记录。</w:t>
      </w:r>
    </w:p>
    <w:p w14:paraId="1832BFB1">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2.我方未列入在信用中国网站（www.creditchina.gov.cn）“失信被执行人”、“重大税收违法案件当事人名单”中，也未列入中国政府采购网（www.ccgp.gov.cn）“政府采购严重违法失信行为记录名单”中。</w:t>
      </w:r>
    </w:p>
    <w:p w14:paraId="4E9D2468">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3.我方在采购项目评审（评标）环节结束后，随时接受采购人、采购代理机构的检查验证，配合提供相关证明材料，证明符合《中华人民共和国政府采购法》规定的供应商基本资格条件。</w:t>
      </w:r>
    </w:p>
    <w:p w14:paraId="3B44491F">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我方对以上承诺负全部法律责任。</w:t>
      </w:r>
    </w:p>
    <w:p w14:paraId="626CE4E6">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特此承诺。</w:t>
      </w:r>
    </w:p>
    <w:p w14:paraId="04ACCF0B">
      <w:pPr>
        <w:tabs>
          <w:tab w:val="left" w:pos="6300"/>
        </w:tabs>
        <w:snapToGrid w:val="0"/>
        <w:spacing w:line="360" w:lineRule="auto"/>
        <w:ind w:firstLine="480" w:firstLineChars="200"/>
        <w:rPr>
          <w:rFonts w:hint="eastAsia" w:ascii="仿宋" w:hAnsi="仿宋" w:eastAsia="仿宋" w:cs="仿宋"/>
          <w:color w:val="auto"/>
          <w:sz w:val="24"/>
        </w:rPr>
      </w:pPr>
    </w:p>
    <w:p w14:paraId="3365A1D9">
      <w:pPr>
        <w:tabs>
          <w:tab w:val="left" w:pos="6300"/>
        </w:tabs>
        <w:snapToGrid w:val="0"/>
        <w:spacing w:line="360" w:lineRule="auto"/>
        <w:ind w:firstLine="480" w:firstLineChars="200"/>
        <w:jc w:val="right"/>
        <w:rPr>
          <w:rFonts w:hint="eastAsia" w:ascii="仿宋" w:hAnsi="仿宋" w:eastAsia="仿宋" w:cs="仿宋"/>
          <w:color w:val="auto"/>
          <w:sz w:val="24"/>
        </w:rPr>
      </w:pPr>
      <w:r>
        <w:rPr>
          <w:rFonts w:hint="eastAsia" w:ascii="仿宋" w:hAnsi="仿宋" w:eastAsia="仿宋" w:cs="仿宋"/>
          <w:color w:val="auto"/>
          <w:sz w:val="24"/>
        </w:rPr>
        <w:t>（供应商公章）</w:t>
      </w:r>
    </w:p>
    <w:p w14:paraId="18A94087">
      <w:pPr>
        <w:tabs>
          <w:tab w:val="left" w:pos="6300"/>
        </w:tabs>
        <w:snapToGrid w:val="0"/>
        <w:spacing w:line="360" w:lineRule="auto"/>
        <w:ind w:firstLine="480" w:firstLineChars="200"/>
        <w:jc w:val="right"/>
        <w:rPr>
          <w:rFonts w:hint="eastAsia" w:ascii="仿宋" w:hAnsi="仿宋" w:eastAsia="仿宋" w:cs="仿宋"/>
          <w:color w:val="auto"/>
          <w:sz w:val="24"/>
        </w:rPr>
      </w:pPr>
      <w:r>
        <w:rPr>
          <w:rFonts w:hint="eastAsia" w:ascii="仿宋" w:hAnsi="仿宋" w:eastAsia="仿宋" w:cs="仿宋"/>
          <w:color w:val="auto"/>
          <w:sz w:val="24"/>
        </w:rPr>
        <w:t>年   月   日</w:t>
      </w:r>
    </w:p>
    <w:p w14:paraId="29D0DCC9">
      <w:pPr>
        <w:tabs>
          <w:tab w:val="left" w:pos="6300"/>
        </w:tabs>
        <w:snapToGrid w:val="0"/>
        <w:spacing w:line="360" w:lineRule="auto"/>
        <w:ind w:firstLine="570"/>
        <w:rPr>
          <w:rFonts w:hint="eastAsia" w:ascii="仿宋" w:hAnsi="仿宋" w:eastAsia="仿宋" w:cs="仿宋"/>
          <w:color w:val="auto"/>
          <w:sz w:val="24"/>
          <w:szCs w:val="24"/>
        </w:rPr>
      </w:pPr>
    </w:p>
    <w:p w14:paraId="4476D1E4">
      <w:pPr>
        <w:tabs>
          <w:tab w:val="left" w:pos="6300"/>
        </w:tabs>
        <w:snapToGrid w:val="0"/>
        <w:spacing w:line="360" w:lineRule="auto"/>
        <w:ind w:right="480"/>
        <w:jc w:val="both"/>
        <w:rPr>
          <w:rFonts w:hint="eastAsia" w:ascii="仿宋" w:hAnsi="仿宋" w:eastAsia="仿宋" w:cs="仿宋"/>
          <w:color w:val="auto"/>
          <w:sz w:val="24"/>
          <w:szCs w:val="24"/>
        </w:rPr>
      </w:pPr>
      <w:r>
        <w:rPr>
          <w:rFonts w:hint="eastAsia" w:ascii="仿宋" w:hAnsi="仿宋" w:eastAsia="仿宋" w:cs="仿宋"/>
          <w:color w:val="auto"/>
        </w:rPr>
        <w:br w:type="page"/>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五</w:t>
      </w:r>
      <w:r>
        <w:rPr>
          <w:rFonts w:hint="eastAsia" w:ascii="仿宋" w:hAnsi="仿宋" w:eastAsia="仿宋" w:cs="仿宋"/>
          <w:color w:val="auto"/>
          <w:sz w:val="24"/>
          <w:szCs w:val="24"/>
          <w:lang w:eastAsia="zh-CN"/>
        </w:rPr>
        <w:t>）特定资格条件证书或证明文件</w:t>
      </w:r>
    </w:p>
    <w:p w14:paraId="137F925B">
      <w:pPr>
        <w:pStyle w:val="6"/>
        <w:spacing w:before="0" w:after="0" w:line="360" w:lineRule="auto"/>
        <w:rPr>
          <w:rFonts w:hint="eastAsia" w:ascii="仿宋" w:hAnsi="仿宋" w:eastAsia="仿宋" w:cs="仿宋"/>
          <w:color w:val="auto"/>
          <w:sz w:val="24"/>
          <w:szCs w:val="24"/>
        </w:rPr>
      </w:pPr>
      <w:bookmarkStart w:id="137" w:name="_Toc14422"/>
      <w:r>
        <w:rPr>
          <w:rFonts w:hint="eastAsia" w:ascii="仿宋" w:hAnsi="仿宋" w:eastAsia="仿宋" w:cs="仿宋"/>
          <w:b w:val="0"/>
          <w:color w:val="auto"/>
          <w:sz w:val="28"/>
        </w:rPr>
        <w:br w:type="page"/>
      </w:r>
      <w:bookmarkStart w:id="138" w:name="_Toc30401"/>
      <w:r>
        <w:rPr>
          <w:rFonts w:hint="eastAsia" w:ascii="仿宋" w:hAnsi="仿宋" w:eastAsia="仿宋" w:cs="仿宋"/>
          <w:color w:val="auto"/>
          <w:sz w:val="24"/>
          <w:szCs w:val="24"/>
        </w:rPr>
        <w:t>五、其他资料</w:t>
      </w:r>
      <w:bookmarkEnd w:id="137"/>
      <w:bookmarkEnd w:id="138"/>
    </w:p>
    <w:p w14:paraId="08802A59">
      <w:pPr>
        <w:spacing w:line="360" w:lineRule="auto"/>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一</w:t>
      </w:r>
      <w:r>
        <w:rPr>
          <w:rFonts w:hint="eastAsia" w:ascii="仿宋" w:hAnsi="仿宋" w:eastAsia="仿宋" w:cs="仿宋"/>
          <w:color w:val="auto"/>
          <w:sz w:val="24"/>
          <w:szCs w:val="24"/>
        </w:rPr>
        <w:t>）其他与项目有关的资料</w:t>
      </w:r>
    </w:p>
    <w:p w14:paraId="4F0B6E15">
      <w:pPr>
        <w:spacing w:line="360" w:lineRule="auto"/>
        <w:ind w:firstLine="480" w:firstLineChars="200"/>
        <w:rPr>
          <w:rFonts w:hint="eastAsia" w:ascii="仿宋" w:hAnsi="仿宋" w:eastAsia="仿宋" w:cs="仿宋"/>
          <w:color w:val="auto"/>
          <w:sz w:val="24"/>
          <w:szCs w:val="24"/>
        </w:rPr>
      </w:pPr>
    </w:p>
    <w:p w14:paraId="0C8A7B57">
      <w:pPr>
        <w:spacing w:line="360" w:lineRule="auto"/>
        <w:ind w:firstLine="480" w:firstLineChars="200"/>
        <w:jc w:val="center"/>
        <w:rPr>
          <w:rFonts w:hint="eastAsia" w:ascii="仿宋" w:hAnsi="仿宋" w:eastAsia="仿宋" w:cs="仿宋"/>
          <w:color w:val="auto"/>
          <w:sz w:val="24"/>
          <w:szCs w:val="24"/>
        </w:rPr>
      </w:pPr>
    </w:p>
    <w:p w14:paraId="23D0FF92">
      <w:pPr>
        <w:spacing w:line="360" w:lineRule="auto"/>
        <w:ind w:firstLine="480" w:firstLineChars="200"/>
        <w:jc w:val="center"/>
        <w:rPr>
          <w:rFonts w:hint="eastAsia" w:ascii="仿宋" w:hAnsi="仿宋" w:eastAsia="仿宋" w:cs="仿宋"/>
          <w:color w:val="auto"/>
          <w:sz w:val="24"/>
          <w:szCs w:val="24"/>
        </w:rPr>
      </w:pPr>
    </w:p>
    <w:p w14:paraId="257D16A0">
      <w:pPr>
        <w:spacing w:line="360" w:lineRule="auto"/>
        <w:ind w:firstLine="480" w:firstLineChars="200"/>
        <w:jc w:val="center"/>
        <w:rPr>
          <w:rFonts w:hint="eastAsia" w:ascii="仿宋" w:hAnsi="仿宋" w:eastAsia="仿宋" w:cs="仿宋"/>
          <w:color w:val="auto"/>
          <w:sz w:val="24"/>
          <w:szCs w:val="24"/>
        </w:rPr>
      </w:pPr>
    </w:p>
    <w:p w14:paraId="235D6EEF">
      <w:pPr>
        <w:spacing w:line="360" w:lineRule="auto"/>
        <w:ind w:firstLine="480" w:firstLineChars="200"/>
        <w:jc w:val="center"/>
        <w:rPr>
          <w:rFonts w:hint="eastAsia" w:ascii="仿宋" w:hAnsi="仿宋" w:eastAsia="仿宋" w:cs="仿宋"/>
          <w:color w:val="auto"/>
          <w:sz w:val="24"/>
          <w:szCs w:val="24"/>
        </w:rPr>
      </w:pPr>
    </w:p>
    <w:p w14:paraId="060CE72A">
      <w:pPr>
        <w:spacing w:line="360" w:lineRule="auto"/>
        <w:ind w:firstLine="480" w:firstLineChars="200"/>
        <w:jc w:val="center"/>
        <w:rPr>
          <w:rFonts w:hint="eastAsia" w:ascii="仿宋" w:hAnsi="仿宋" w:eastAsia="仿宋" w:cs="仿宋"/>
          <w:color w:val="auto"/>
          <w:sz w:val="24"/>
          <w:szCs w:val="24"/>
        </w:rPr>
      </w:pPr>
    </w:p>
    <w:p w14:paraId="438E533D">
      <w:pPr>
        <w:spacing w:line="360" w:lineRule="auto"/>
        <w:ind w:firstLine="480" w:firstLineChars="200"/>
        <w:jc w:val="center"/>
        <w:rPr>
          <w:rFonts w:hint="eastAsia" w:ascii="仿宋" w:hAnsi="仿宋" w:eastAsia="仿宋" w:cs="仿宋"/>
          <w:color w:val="auto"/>
          <w:sz w:val="24"/>
          <w:szCs w:val="24"/>
        </w:rPr>
      </w:pPr>
    </w:p>
    <w:p w14:paraId="3D77F1B4">
      <w:pPr>
        <w:spacing w:line="360" w:lineRule="auto"/>
        <w:ind w:firstLine="480" w:firstLineChars="200"/>
        <w:jc w:val="center"/>
        <w:rPr>
          <w:rFonts w:hint="eastAsia" w:ascii="仿宋" w:hAnsi="仿宋" w:eastAsia="仿宋" w:cs="仿宋"/>
          <w:color w:val="auto"/>
          <w:sz w:val="24"/>
          <w:szCs w:val="24"/>
        </w:rPr>
      </w:pPr>
    </w:p>
    <w:p w14:paraId="04494FC2">
      <w:pPr>
        <w:spacing w:line="360" w:lineRule="auto"/>
        <w:ind w:firstLine="480" w:firstLineChars="200"/>
        <w:jc w:val="center"/>
        <w:rPr>
          <w:rFonts w:hint="eastAsia" w:ascii="仿宋" w:hAnsi="仿宋" w:eastAsia="仿宋" w:cs="仿宋"/>
          <w:color w:val="auto"/>
          <w:sz w:val="24"/>
          <w:szCs w:val="24"/>
        </w:rPr>
      </w:pPr>
    </w:p>
    <w:p w14:paraId="251232D4">
      <w:pPr>
        <w:spacing w:line="360" w:lineRule="auto"/>
        <w:ind w:firstLine="480" w:firstLineChars="200"/>
        <w:jc w:val="center"/>
        <w:rPr>
          <w:rFonts w:hint="eastAsia" w:ascii="仿宋" w:hAnsi="仿宋" w:eastAsia="仿宋" w:cs="仿宋"/>
          <w:color w:val="auto"/>
          <w:sz w:val="24"/>
          <w:szCs w:val="24"/>
        </w:rPr>
      </w:pPr>
    </w:p>
    <w:p w14:paraId="02FF5822">
      <w:pPr>
        <w:spacing w:line="360" w:lineRule="auto"/>
        <w:ind w:firstLine="480" w:firstLineChars="200"/>
        <w:jc w:val="center"/>
        <w:rPr>
          <w:rFonts w:hint="eastAsia" w:ascii="仿宋" w:hAnsi="仿宋" w:eastAsia="仿宋" w:cs="仿宋"/>
          <w:color w:val="auto"/>
          <w:sz w:val="24"/>
          <w:szCs w:val="24"/>
        </w:rPr>
      </w:pPr>
    </w:p>
    <w:p w14:paraId="0C5A3D55">
      <w:pPr>
        <w:spacing w:line="360" w:lineRule="auto"/>
        <w:ind w:firstLine="480" w:firstLineChars="200"/>
        <w:jc w:val="center"/>
        <w:rPr>
          <w:rFonts w:hint="eastAsia" w:ascii="仿宋" w:hAnsi="仿宋" w:eastAsia="仿宋" w:cs="仿宋"/>
          <w:color w:val="auto"/>
          <w:sz w:val="24"/>
          <w:szCs w:val="24"/>
        </w:rPr>
      </w:pPr>
    </w:p>
    <w:p w14:paraId="651B548E">
      <w:pPr>
        <w:spacing w:line="360" w:lineRule="auto"/>
        <w:ind w:firstLine="480" w:firstLineChars="200"/>
        <w:jc w:val="center"/>
        <w:rPr>
          <w:rFonts w:hint="eastAsia" w:ascii="仿宋" w:hAnsi="仿宋" w:eastAsia="仿宋" w:cs="仿宋"/>
          <w:color w:val="auto"/>
          <w:sz w:val="24"/>
          <w:szCs w:val="24"/>
        </w:rPr>
      </w:pPr>
    </w:p>
    <w:p w14:paraId="52A09E1F">
      <w:pPr>
        <w:spacing w:line="360" w:lineRule="auto"/>
        <w:ind w:firstLine="480" w:firstLineChars="200"/>
        <w:jc w:val="center"/>
        <w:rPr>
          <w:rFonts w:hint="eastAsia" w:ascii="仿宋" w:hAnsi="仿宋" w:eastAsia="仿宋" w:cs="仿宋"/>
          <w:color w:val="auto"/>
          <w:sz w:val="24"/>
          <w:szCs w:val="24"/>
        </w:rPr>
      </w:pPr>
    </w:p>
    <w:p w14:paraId="48A246D9">
      <w:pPr>
        <w:spacing w:line="360" w:lineRule="auto"/>
        <w:ind w:firstLine="480" w:firstLineChars="200"/>
        <w:jc w:val="center"/>
        <w:rPr>
          <w:rFonts w:hint="eastAsia" w:ascii="仿宋" w:hAnsi="仿宋" w:eastAsia="仿宋" w:cs="仿宋"/>
          <w:color w:val="auto"/>
          <w:sz w:val="24"/>
          <w:szCs w:val="24"/>
        </w:rPr>
      </w:pPr>
    </w:p>
    <w:p w14:paraId="429E51DE">
      <w:pPr>
        <w:spacing w:line="360" w:lineRule="auto"/>
        <w:ind w:firstLine="480" w:firstLineChars="200"/>
        <w:jc w:val="center"/>
        <w:rPr>
          <w:rFonts w:hint="eastAsia" w:ascii="仿宋" w:hAnsi="仿宋" w:eastAsia="仿宋" w:cs="仿宋"/>
          <w:color w:val="auto"/>
          <w:sz w:val="24"/>
          <w:szCs w:val="24"/>
        </w:rPr>
      </w:pPr>
    </w:p>
    <w:p w14:paraId="3C6EB679">
      <w:pPr>
        <w:spacing w:line="360" w:lineRule="auto"/>
        <w:ind w:firstLine="480" w:firstLineChars="200"/>
        <w:jc w:val="center"/>
        <w:rPr>
          <w:rFonts w:hint="eastAsia" w:ascii="仿宋" w:hAnsi="仿宋" w:eastAsia="仿宋" w:cs="仿宋"/>
          <w:color w:val="auto"/>
          <w:sz w:val="24"/>
          <w:szCs w:val="24"/>
        </w:rPr>
      </w:pPr>
      <w:r>
        <w:rPr>
          <w:rFonts w:hint="eastAsia" w:ascii="仿宋" w:hAnsi="仿宋" w:eastAsia="仿宋" w:cs="仿宋"/>
          <w:color w:val="auto"/>
          <w:sz w:val="24"/>
          <w:szCs w:val="24"/>
        </w:rPr>
        <w:t>（结束）</w:t>
      </w:r>
    </w:p>
    <w:p w14:paraId="1C9368ED">
      <w:pPr>
        <w:pStyle w:val="3"/>
        <w:spacing w:line="360" w:lineRule="auto"/>
        <w:rPr>
          <w:rFonts w:hint="eastAsia" w:ascii="仿宋" w:hAnsi="仿宋" w:eastAsia="仿宋" w:cs="仿宋"/>
          <w:color w:val="auto"/>
        </w:rPr>
      </w:pPr>
    </w:p>
    <w:p w14:paraId="474EED09">
      <w:pPr>
        <w:pStyle w:val="3"/>
        <w:spacing w:line="360" w:lineRule="auto"/>
        <w:rPr>
          <w:rFonts w:hint="eastAsia" w:ascii="仿宋" w:hAnsi="仿宋" w:eastAsia="仿宋" w:cs="仿宋"/>
          <w:color w:val="auto"/>
        </w:rPr>
      </w:pPr>
    </w:p>
    <w:p w14:paraId="63E7112B">
      <w:pPr>
        <w:pStyle w:val="3"/>
        <w:spacing w:line="360" w:lineRule="auto"/>
        <w:rPr>
          <w:rFonts w:hint="eastAsia" w:ascii="仿宋" w:hAnsi="仿宋" w:eastAsia="仿宋" w:cs="仿宋"/>
          <w:color w:val="auto"/>
        </w:rPr>
      </w:pPr>
    </w:p>
    <w:p w14:paraId="5D84876B">
      <w:pPr>
        <w:spacing w:line="360" w:lineRule="auto"/>
        <w:rPr>
          <w:rFonts w:hint="eastAsia" w:ascii="仿宋" w:hAnsi="仿宋" w:eastAsia="仿宋" w:cs="仿宋"/>
          <w:color w:val="auto"/>
        </w:rPr>
      </w:pPr>
    </w:p>
    <w:p w14:paraId="635404DE">
      <w:pPr>
        <w:pStyle w:val="3"/>
        <w:spacing w:line="360" w:lineRule="auto"/>
        <w:rPr>
          <w:rFonts w:hint="eastAsia" w:ascii="仿宋" w:hAnsi="仿宋" w:eastAsia="仿宋" w:cs="仿宋"/>
          <w:color w:val="auto"/>
        </w:rPr>
      </w:pPr>
    </w:p>
    <w:p w14:paraId="4BD3699D">
      <w:pPr>
        <w:pStyle w:val="17"/>
        <w:rPr>
          <w:rFonts w:hint="eastAsia"/>
          <w:color w:val="auto"/>
        </w:rPr>
      </w:pPr>
    </w:p>
    <w:p w14:paraId="7402BEBC">
      <w:pPr>
        <w:spacing w:line="360" w:lineRule="auto"/>
        <w:rPr>
          <w:rFonts w:hint="eastAsia" w:ascii="仿宋" w:hAnsi="仿宋" w:eastAsia="仿宋" w:cs="仿宋"/>
          <w:color w:val="auto"/>
        </w:rPr>
      </w:pPr>
    </w:p>
    <w:p w14:paraId="41903179">
      <w:pPr>
        <w:pStyle w:val="3"/>
        <w:spacing w:line="360" w:lineRule="auto"/>
        <w:rPr>
          <w:rFonts w:hint="eastAsia" w:ascii="仿宋" w:hAnsi="仿宋" w:eastAsia="仿宋" w:cs="仿宋"/>
          <w:color w:val="auto"/>
        </w:rPr>
      </w:pPr>
    </w:p>
    <w:p w14:paraId="52863084">
      <w:pPr>
        <w:pStyle w:val="3"/>
        <w:spacing w:line="360" w:lineRule="auto"/>
        <w:rPr>
          <w:rFonts w:hint="eastAsia" w:ascii="仿宋" w:hAnsi="仿宋" w:eastAsia="仿宋" w:cs="仿宋"/>
          <w:color w:val="auto"/>
        </w:rPr>
      </w:pPr>
    </w:p>
    <w:p w14:paraId="36A554C5">
      <w:pPr>
        <w:spacing w:line="360" w:lineRule="auto"/>
        <w:jc w:val="center"/>
        <w:rPr>
          <w:rFonts w:hint="eastAsia" w:ascii="仿宋" w:hAnsi="仿宋" w:eastAsia="仿宋" w:cs="仿宋"/>
          <w:b/>
          <w:bCs/>
          <w:color w:val="auto"/>
          <w:sz w:val="44"/>
          <w:szCs w:val="44"/>
        </w:rPr>
      </w:pPr>
      <w:bookmarkStart w:id="139" w:name="_Toc477027621"/>
      <w:bookmarkStart w:id="140" w:name="_Toc28290"/>
      <w:r>
        <w:rPr>
          <w:rFonts w:hint="eastAsia" w:ascii="仿宋" w:hAnsi="仿宋" w:eastAsia="仿宋" w:cs="仿宋"/>
          <w:b/>
          <w:bCs/>
          <w:color w:val="auto"/>
          <w:sz w:val="44"/>
          <w:szCs w:val="44"/>
        </w:rPr>
        <w:t xml:space="preserve">  附件一：发售登记表</w:t>
      </w:r>
    </w:p>
    <w:bookmarkEnd w:id="139"/>
    <w:bookmarkEnd w:id="140"/>
    <w:tbl>
      <w:tblPr>
        <w:tblStyle w:val="19"/>
        <w:tblpPr w:leftFromText="180" w:rightFromText="180" w:vertAnchor="text" w:horzAnchor="page" w:tblpX="1495" w:tblpY="490"/>
        <w:tblOverlap w:val="never"/>
        <w:tblW w:w="0" w:type="auto"/>
        <w:tblInd w:w="0" w:type="dxa"/>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2"/>
        <w:gridCol w:w="2391"/>
        <w:gridCol w:w="1051"/>
        <w:gridCol w:w="3965"/>
      </w:tblGrid>
      <w:tr w14:paraId="3B945CC9">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1832" w:type="dxa"/>
            <w:noWrap w:val="0"/>
            <w:vAlign w:val="center"/>
          </w:tcPr>
          <w:p w14:paraId="69361726">
            <w:pPr>
              <w:tabs>
                <w:tab w:val="left" w:pos="6300"/>
              </w:tabs>
              <w:snapToGrid w:val="0"/>
              <w:spacing w:line="500" w:lineRule="exact"/>
              <w:jc w:val="center"/>
              <w:rPr>
                <w:rFonts w:hint="eastAsia" w:ascii="仿宋" w:hAnsi="仿宋" w:eastAsia="仿宋" w:cs="仿宋"/>
                <w:color w:val="auto"/>
                <w:sz w:val="21"/>
                <w:szCs w:val="21"/>
              </w:rPr>
            </w:pPr>
            <w:r>
              <w:rPr>
                <w:rFonts w:hint="eastAsia" w:ascii="方正仿宋_GBK" w:hAnsi="宋体" w:eastAsia="方正仿宋_GBK"/>
                <w:color w:val="auto"/>
                <w:sz w:val="24"/>
                <w:szCs w:val="24"/>
                <w:lang w:eastAsia="zh-CN"/>
              </w:rPr>
              <w:t>项目名称</w:t>
            </w:r>
          </w:p>
        </w:tc>
        <w:tc>
          <w:tcPr>
            <w:tcW w:w="7407" w:type="dxa"/>
            <w:gridSpan w:val="3"/>
            <w:noWrap w:val="0"/>
            <w:vAlign w:val="center"/>
          </w:tcPr>
          <w:p w14:paraId="323AE7EE">
            <w:pPr>
              <w:tabs>
                <w:tab w:val="left" w:pos="6300"/>
              </w:tabs>
              <w:snapToGrid w:val="0"/>
              <w:spacing w:line="500" w:lineRule="exact"/>
              <w:jc w:val="center"/>
              <w:rPr>
                <w:rFonts w:hint="eastAsia" w:ascii="仿宋" w:hAnsi="仿宋" w:eastAsia="仿宋" w:cs="仿宋"/>
                <w:color w:val="auto"/>
                <w:sz w:val="21"/>
                <w:szCs w:val="21"/>
              </w:rPr>
            </w:pPr>
          </w:p>
        </w:tc>
      </w:tr>
      <w:tr w14:paraId="37FBA4E1">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trPr>
        <w:tc>
          <w:tcPr>
            <w:tcW w:w="1832" w:type="dxa"/>
            <w:noWrap w:val="0"/>
            <w:vAlign w:val="center"/>
          </w:tcPr>
          <w:p w14:paraId="5CC3FEAA">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lang w:eastAsia="zh-CN"/>
              </w:rPr>
              <w:t>投标人</w:t>
            </w:r>
            <w:r>
              <w:rPr>
                <w:rFonts w:hint="eastAsia" w:ascii="仿宋" w:hAnsi="仿宋" w:eastAsia="仿宋" w:cs="仿宋"/>
                <w:color w:val="auto"/>
                <w:sz w:val="21"/>
                <w:szCs w:val="21"/>
              </w:rPr>
              <w:t>名称</w:t>
            </w:r>
          </w:p>
        </w:tc>
        <w:tc>
          <w:tcPr>
            <w:tcW w:w="7407" w:type="dxa"/>
            <w:gridSpan w:val="3"/>
            <w:noWrap w:val="0"/>
            <w:vAlign w:val="center"/>
          </w:tcPr>
          <w:p w14:paraId="013F5F49">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rPr>
              <w:t>（</w:t>
            </w:r>
            <w:r>
              <w:rPr>
                <w:rFonts w:hint="eastAsia" w:ascii="仿宋" w:hAnsi="仿宋" w:eastAsia="仿宋" w:cs="仿宋"/>
                <w:color w:val="auto"/>
                <w:sz w:val="21"/>
                <w:szCs w:val="21"/>
                <w:lang w:eastAsia="zh-CN"/>
              </w:rPr>
              <w:t>投标人</w:t>
            </w:r>
            <w:r>
              <w:rPr>
                <w:rFonts w:hint="eastAsia" w:ascii="仿宋" w:hAnsi="仿宋" w:eastAsia="仿宋" w:cs="仿宋"/>
                <w:color w:val="auto"/>
                <w:sz w:val="21"/>
                <w:szCs w:val="21"/>
              </w:rPr>
              <w:t>公章）</w:t>
            </w:r>
          </w:p>
        </w:tc>
      </w:tr>
      <w:tr w14:paraId="558CC3FC">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trPr>
        <w:tc>
          <w:tcPr>
            <w:tcW w:w="1832" w:type="dxa"/>
            <w:noWrap w:val="0"/>
            <w:vAlign w:val="center"/>
          </w:tcPr>
          <w:p w14:paraId="21285F8D">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rPr>
              <w:t>联系人</w:t>
            </w:r>
          </w:p>
        </w:tc>
        <w:tc>
          <w:tcPr>
            <w:tcW w:w="2391" w:type="dxa"/>
            <w:noWrap w:val="0"/>
            <w:vAlign w:val="center"/>
          </w:tcPr>
          <w:p w14:paraId="5EABC47C">
            <w:pPr>
              <w:tabs>
                <w:tab w:val="left" w:pos="6300"/>
              </w:tabs>
              <w:snapToGrid w:val="0"/>
              <w:spacing w:line="500" w:lineRule="exact"/>
              <w:ind w:firstLine="570"/>
              <w:rPr>
                <w:rFonts w:hint="eastAsia" w:ascii="仿宋" w:hAnsi="仿宋" w:eastAsia="仿宋" w:cs="仿宋"/>
                <w:color w:val="auto"/>
                <w:sz w:val="21"/>
                <w:szCs w:val="21"/>
              </w:rPr>
            </w:pPr>
          </w:p>
        </w:tc>
        <w:tc>
          <w:tcPr>
            <w:tcW w:w="1051" w:type="dxa"/>
            <w:noWrap w:val="0"/>
            <w:vAlign w:val="center"/>
          </w:tcPr>
          <w:p w14:paraId="7BEAB082">
            <w:pPr>
              <w:tabs>
                <w:tab w:val="left" w:pos="6300"/>
              </w:tabs>
              <w:snapToGrid w:val="0"/>
              <w:spacing w:line="500" w:lineRule="exact"/>
              <w:rPr>
                <w:rFonts w:hint="eastAsia" w:ascii="仿宋" w:hAnsi="仿宋" w:eastAsia="仿宋" w:cs="仿宋"/>
                <w:color w:val="auto"/>
                <w:sz w:val="21"/>
                <w:szCs w:val="21"/>
              </w:rPr>
            </w:pPr>
            <w:r>
              <w:rPr>
                <w:rFonts w:hint="eastAsia" w:ascii="仿宋" w:hAnsi="仿宋" w:eastAsia="仿宋" w:cs="仿宋"/>
                <w:color w:val="auto"/>
                <w:sz w:val="21"/>
                <w:szCs w:val="21"/>
              </w:rPr>
              <w:t>手机</w:t>
            </w:r>
          </w:p>
        </w:tc>
        <w:tc>
          <w:tcPr>
            <w:tcW w:w="3965" w:type="dxa"/>
            <w:noWrap w:val="0"/>
            <w:vAlign w:val="center"/>
          </w:tcPr>
          <w:p w14:paraId="004C2A88">
            <w:pPr>
              <w:tabs>
                <w:tab w:val="left" w:pos="6300"/>
              </w:tabs>
              <w:snapToGrid w:val="0"/>
              <w:spacing w:line="500" w:lineRule="exact"/>
              <w:ind w:firstLine="570"/>
              <w:rPr>
                <w:rFonts w:hint="eastAsia" w:ascii="仿宋" w:hAnsi="仿宋" w:eastAsia="仿宋" w:cs="仿宋"/>
                <w:color w:val="auto"/>
                <w:sz w:val="21"/>
                <w:szCs w:val="21"/>
              </w:rPr>
            </w:pPr>
          </w:p>
        </w:tc>
      </w:tr>
      <w:tr w14:paraId="127F0702">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trPr>
        <w:tc>
          <w:tcPr>
            <w:tcW w:w="1832" w:type="dxa"/>
            <w:noWrap w:val="0"/>
            <w:vAlign w:val="center"/>
          </w:tcPr>
          <w:p w14:paraId="767C1AAB">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rPr>
              <w:t>办公电话</w:t>
            </w:r>
          </w:p>
        </w:tc>
        <w:tc>
          <w:tcPr>
            <w:tcW w:w="2391" w:type="dxa"/>
            <w:noWrap w:val="0"/>
            <w:vAlign w:val="center"/>
          </w:tcPr>
          <w:p w14:paraId="6DDE1B7E">
            <w:pPr>
              <w:tabs>
                <w:tab w:val="left" w:pos="6300"/>
              </w:tabs>
              <w:snapToGrid w:val="0"/>
              <w:spacing w:line="500" w:lineRule="exact"/>
              <w:ind w:firstLine="570"/>
              <w:rPr>
                <w:rFonts w:hint="eastAsia" w:ascii="仿宋" w:hAnsi="仿宋" w:eastAsia="仿宋" w:cs="仿宋"/>
                <w:color w:val="auto"/>
                <w:sz w:val="21"/>
                <w:szCs w:val="21"/>
              </w:rPr>
            </w:pPr>
          </w:p>
        </w:tc>
        <w:tc>
          <w:tcPr>
            <w:tcW w:w="1051" w:type="dxa"/>
            <w:noWrap w:val="0"/>
            <w:vAlign w:val="center"/>
          </w:tcPr>
          <w:p w14:paraId="18755AA7">
            <w:pPr>
              <w:tabs>
                <w:tab w:val="left" w:pos="6300"/>
              </w:tabs>
              <w:snapToGrid w:val="0"/>
              <w:spacing w:line="500" w:lineRule="exact"/>
              <w:rPr>
                <w:rFonts w:hint="eastAsia" w:ascii="仿宋" w:hAnsi="仿宋" w:eastAsia="仿宋" w:cs="仿宋"/>
                <w:color w:val="auto"/>
                <w:sz w:val="21"/>
                <w:szCs w:val="21"/>
              </w:rPr>
            </w:pPr>
            <w:r>
              <w:rPr>
                <w:rFonts w:hint="eastAsia" w:ascii="仿宋" w:hAnsi="仿宋" w:eastAsia="仿宋" w:cs="仿宋"/>
                <w:color w:val="auto"/>
                <w:sz w:val="21"/>
                <w:szCs w:val="21"/>
              </w:rPr>
              <w:t>传真</w:t>
            </w:r>
          </w:p>
        </w:tc>
        <w:tc>
          <w:tcPr>
            <w:tcW w:w="3965" w:type="dxa"/>
            <w:noWrap w:val="0"/>
            <w:vAlign w:val="center"/>
          </w:tcPr>
          <w:p w14:paraId="225802D4">
            <w:pPr>
              <w:tabs>
                <w:tab w:val="left" w:pos="6300"/>
              </w:tabs>
              <w:snapToGrid w:val="0"/>
              <w:spacing w:line="500" w:lineRule="exact"/>
              <w:ind w:firstLine="570"/>
              <w:rPr>
                <w:rFonts w:hint="eastAsia" w:ascii="仿宋" w:hAnsi="仿宋" w:eastAsia="仿宋" w:cs="仿宋"/>
                <w:color w:val="auto"/>
                <w:sz w:val="21"/>
                <w:szCs w:val="21"/>
              </w:rPr>
            </w:pPr>
          </w:p>
        </w:tc>
      </w:tr>
      <w:tr w14:paraId="6326B309">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trPr>
        <w:tc>
          <w:tcPr>
            <w:tcW w:w="1832" w:type="dxa"/>
            <w:noWrap w:val="0"/>
            <w:vAlign w:val="center"/>
          </w:tcPr>
          <w:p w14:paraId="1BDB8A43">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rPr>
              <w:t>E-mail</w:t>
            </w:r>
          </w:p>
        </w:tc>
        <w:tc>
          <w:tcPr>
            <w:tcW w:w="7407" w:type="dxa"/>
            <w:gridSpan w:val="3"/>
            <w:noWrap w:val="0"/>
            <w:vAlign w:val="center"/>
          </w:tcPr>
          <w:p w14:paraId="3507DA15">
            <w:pPr>
              <w:tabs>
                <w:tab w:val="left" w:pos="6300"/>
              </w:tabs>
              <w:snapToGrid w:val="0"/>
              <w:spacing w:line="500" w:lineRule="exact"/>
              <w:ind w:firstLine="570"/>
              <w:rPr>
                <w:rFonts w:hint="eastAsia" w:ascii="仿宋" w:hAnsi="仿宋" w:eastAsia="仿宋" w:cs="仿宋"/>
                <w:color w:val="auto"/>
                <w:sz w:val="21"/>
                <w:szCs w:val="21"/>
              </w:rPr>
            </w:pPr>
          </w:p>
        </w:tc>
      </w:tr>
      <w:tr w14:paraId="5D631711">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1832" w:type="dxa"/>
            <w:noWrap w:val="0"/>
            <w:vAlign w:val="center"/>
          </w:tcPr>
          <w:p w14:paraId="70F29B1D">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rPr>
              <w:t>单位地址</w:t>
            </w:r>
          </w:p>
        </w:tc>
        <w:tc>
          <w:tcPr>
            <w:tcW w:w="7407" w:type="dxa"/>
            <w:gridSpan w:val="3"/>
            <w:noWrap w:val="0"/>
            <w:vAlign w:val="center"/>
          </w:tcPr>
          <w:p w14:paraId="002D1BB6">
            <w:pPr>
              <w:tabs>
                <w:tab w:val="left" w:pos="6300"/>
              </w:tabs>
              <w:snapToGrid w:val="0"/>
              <w:spacing w:line="500" w:lineRule="exact"/>
              <w:ind w:firstLine="570"/>
              <w:rPr>
                <w:rFonts w:hint="eastAsia" w:ascii="仿宋" w:hAnsi="仿宋" w:eastAsia="仿宋" w:cs="仿宋"/>
                <w:color w:val="auto"/>
                <w:sz w:val="21"/>
                <w:szCs w:val="21"/>
              </w:rPr>
            </w:pPr>
          </w:p>
        </w:tc>
      </w:tr>
    </w:tbl>
    <w:p w14:paraId="63F244D2">
      <w:pPr>
        <w:spacing w:line="360" w:lineRule="auto"/>
        <w:jc w:val="center"/>
        <w:rPr>
          <w:rFonts w:hint="eastAsia" w:ascii="仿宋" w:hAnsi="仿宋" w:eastAsia="仿宋" w:cs="仿宋"/>
          <w:color w:val="auto"/>
          <w:sz w:val="28"/>
          <w:szCs w:val="20"/>
          <w:lang w:eastAsia="zh-CN"/>
        </w:rPr>
      </w:pPr>
    </w:p>
    <w:p w14:paraId="49E12880">
      <w:pPr>
        <w:spacing w:line="520" w:lineRule="exact"/>
        <w:ind w:firstLine="480"/>
        <w:rPr>
          <w:rFonts w:hint="eastAsia" w:ascii="仿宋" w:hAnsi="仿宋" w:eastAsia="仿宋" w:cs="仿宋"/>
          <w:color w:val="auto"/>
          <w:highlight w:val="none"/>
        </w:rPr>
      </w:pPr>
      <w:r>
        <w:rPr>
          <w:rFonts w:hint="eastAsia" w:ascii="仿宋" w:hAnsi="仿宋" w:eastAsia="仿宋" w:cs="仿宋"/>
          <w:color w:val="auto"/>
          <w:highlight w:val="none"/>
        </w:rPr>
        <w:t>相关说明：</w:t>
      </w:r>
    </w:p>
    <w:p w14:paraId="3ED98480">
      <w:pPr>
        <w:tabs>
          <w:tab w:val="left" w:pos="6300"/>
        </w:tabs>
        <w:snapToGrid w:val="0"/>
        <w:spacing w:line="500" w:lineRule="exact"/>
        <w:ind w:firstLine="570"/>
        <w:outlineLvl w:val="1"/>
        <w:rPr>
          <w:rFonts w:hint="eastAsia" w:ascii="仿宋" w:hAnsi="仿宋" w:eastAsia="仿宋" w:cs="仿宋"/>
          <w:color w:val="auto"/>
          <w:sz w:val="21"/>
          <w:szCs w:val="21"/>
          <w:highlight w:val="none"/>
        </w:rPr>
      </w:pPr>
      <w:bookmarkStart w:id="141" w:name="_Toc3165"/>
      <w:bookmarkStart w:id="142" w:name="_Toc6684"/>
      <w:r>
        <w:rPr>
          <w:rFonts w:hint="eastAsia" w:ascii="仿宋" w:hAnsi="仿宋" w:eastAsia="仿宋" w:cs="仿宋"/>
          <w:color w:val="auto"/>
          <w:sz w:val="21"/>
          <w:szCs w:val="21"/>
          <w:highlight w:val="none"/>
        </w:rPr>
        <w:t>1.现金购买</w:t>
      </w:r>
      <w:bookmarkEnd w:id="141"/>
      <w:bookmarkEnd w:id="142"/>
    </w:p>
    <w:p w14:paraId="1B5AD3D2">
      <w:pPr>
        <w:tabs>
          <w:tab w:val="left" w:pos="6300"/>
        </w:tabs>
        <w:snapToGrid w:val="0"/>
        <w:spacing w:line="500" w:lineRule="exact"/>
        <w:ind w:firstLine="57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在</w:t>
      </w:r>
      <w:r>
        <w:rPr>
          <w:rFonts w:hint="eastAsia" w:ascii="仿宋" w:hAnsi="仿宋" w:eastAsia="仿宋" w:cs="仿宋"/>
          <w:color w:val="auto"/>
          <w:sz w:val="21"/>
          <w:szCs w:val="21"/>
          <w:highlight w:val="none"/>
          <w:lang w:eastAsia="zh-CN"/>
        </w:rPr>
        <w:t>文件</w:t>
      </w:r>
      <w:r>
        <w:rPr>
          <w:rFonts w:hint="eastAsia" w:ascii="仿宋" w:hAnsi="仿宋" w:eastAsia="仿宋" w:cs="仿宋"/>
          <w:color w:val="auto"/>
          <w:sz w:val="21"/>
          <w:szCs w:val="21"/>
          <w:highlight w:val="none"/>
        </w:rPr>
        <w:t>发售期内</w:t>
      </w:r>
      <w:r>
        <w:rPr>
          <w:rFonts w:hint="eastAsia" w:ascii="仿宋" w:hAnsi="仿宋" w:eastAsia="仿宋" w:cs="仿宋"/>
          <w:color w:val="auto"/>
          <w:sz w:val="21"/>
          <w:szCs w:val="21"/>
          <w:highlight w:val="none"/>
          <w:lang w:eastAsia="zh-CN"/>
        </w:rPr>
        <w:t>按</w:t>
      </w:r>
      <w:r>
        <w:rPr>
          <w:rFonts w:hint="eastAsia" w:ascii="仿宋" w:hAnsi="仿宋" w:eastAsia="仿宋" w:cs="仿宋"/>
          <w:color w:val="auto"/>
          <w:sz w:val="21"/>
          <w:szCs w:val="21"/>
          <w:highlight w:val="none"/>
          <w:lang w:val="en-US" w:eastAsia="zh-CN"/>
        </w:rPr>
        <w:t>采购文件</w:t>
      </w:r>
      <w:r>
        <w:rPr>
          <w:rFonts w:hint="eastAsia" w:ascii="仿宋" w:hAnsi="仿宋" w:eastAsia="仿宋" w:cs="仿宋"/>
          <w:color w:val="auto"/>
          <w:sz w:val="21"/>
          <w:szCs w:val="21"/>
          <w:highlight w:val="none"/>
          <w:lang w:eastAsia="zh-CN"/>
        </w:rPr>
        <w:t>要求购买</w:t>
      </w:r>
      <w:r>
        <w:rPr>
          <w:rFonts w:hint="eastAsia" w:ascii="仿宋" w:hAnsi="仿宋" w:eastAsia="仿宋" w:cs="仿宋"/>
          <w:color w:val="auto"/>
          <w:sz w:val="21"/>
          <w:szCs w:val="21"/>
          <w:highlight w:val="none"/>
        </w:rPr>
        <w:t>。</w:t>
      </w:r>
    </w:p>
    <w:p w14:paraId="7D234CFE">
      <w:pPr>
        <w:spacing w:line="520" w:lineRule="exact"/>
        <w:ind w:firstLine="480"/>
        <w:outlineLvl w:val="9"/>
        <w:rPr>
          <w:rFonts w:hint="eastAsia" w:ascii="宋体" w:hAnsi="宋体" w:eastAsia="宋体" w:cs="宋体"/>
          <w:color w:val="auto"/>
          <w:highlight w:val="none"/>
        </w:rPr>
      </w:pPr>
      <w:r>
        <w:rPr>
          <w:rFonts w:hint="eastAsia" w:ascii="宋体" w:hAnsi="宋体" w:eastAsia="宋体" w:cs="宋体"/>
          <w:color w:val="auto"/>
          <w:highlight w:val="none"/>
        </w:rPr>
        <w:t>相关说明：</w:t>
      </w:r>
    </w:p>
    <w:p w14:paraId="39FA80F2">
      <w:pPr>
        <w:spacing w:line="520" w:lineRule="exact"/>
        <w:ind w:firstLine="480"/>
        <w:outlineLvl w:val="9"/>
        <w:rPr>
          <w:rFonts w:hint="eastAsia" w:ascii="宋体" w:hAnsi="宋体" w:eastAsia="宋体" w:cs="宋体"/>
          <w:color w:val="auto"/>
          <w:highlight w:val="none"/>
          <w:lang w:eastAsia="zh-CN"/>
        </w:rPr>
      </w:pPr>
      <w:r>
        <w:rPr>
          <w:rFonts w:hint="eastAsia" w:ascii="宋体" w:hAnsi="宋体" w:eastAsia="宋体" w:cs="宋体"/>
          <w:color w:val="auto"/>
          <w:highlight w:val="none"/>
        </w:rPr>
        <w:t>供应商需在规定的报名时间内（工作日：每天上午9：00-12:00时，下午14：00-17：00时）缴纳报名费。供应商在缴纳报名费后，请将《报名登记表》（加盖供应商公章）</w:t>
      </w:r>
      <w:r>
        <w:rPr>
          <w:rFonts w:hint="eastAsia" w:ascii="宋体" w:hAnsi="宋体" w:eastAsia="宋体" w:cs="宋体"/>
          <w:color w:val="auto"/>
          <w:highlight w:val="none"/>
          <w:lang w:eastAsia="zh-CN"/>
        </w:rPr>
        <w:t>传至邮箱</w:t>
      </w:r>
      <w:r>
        <w:rPr>
          <w:rFonts w:hint="eastAsia" w:ascii="宋体" w:hAnsi="宋体" w:eastAsia="宋体" w:cs="宋体"/>
          <w:color w:val="auto"/>
          <w:highlight w:val="none"/>
        </w:rPr>
        <w:t>。</w:t>
      </w:r>
    </w:p>
    <w:p w14:paraId="47E71EAE">
      <w:pPr>
        <w:spacing w:line="360" w:lineRule="auto"/>
        <w:jc w:val="center"/>
        <w:rPr>
          <w:rFonts w:hint="eastAsia" w:ascii="仿宋" w:hAnsi="仿宋" w:eastAsia="仿宋" w:cs="仿宋"/>
          <w:color w:val="auto"/>
          <w:sz w:val="24"/>
          <w:szCs w:val="18"/>
        </w:rPr>
      </w:pPr>
    </w:p>
    <w:p w14:paraId="7F1F3B0A">
      <w:pPr>
        <w:pStyle w:val="3"/>
        <w:rPr>
          <w:rFonts w:hint="default"/>
          <w:color w:val="auto"/>
        </w:rPr>
      </w:pPr>
      <w:bookmarkStart w:id="143" w:name="_GoBack"/>
      <w:bookmarkEnd w:id="143"/>
    </w:p>
    <w:p w14:paraId="742941C6">
      <w:pPr>
        <w:rPr>
          <w:rFonts w:hint="default"/>
          <w:color w:val="auto"/>
        </w:rPr>
      </w:pPr>
    </w:p>
    <w:p w14:paraId="78C58C14">
      <w:pPr>
        <w:pStyle w:val="2"/>
        <w:rPr>
          <w:rFonts w:hint="default"/>
          <w:color w:val="auto"/>
        </w:rPr>
      </w:pPr>
    </w:p>
    <w:p w14:paraId="39CC473E">
      <w:pPr>
        <w:rPr>
          <w:rFonts w:hint="default"/>
          <w:color w:val="auto"/>
        </w:rPr>
      </w:pPr>
    </w:p>
    <w:p w14:paraId="1392A57D">
      <w:pPr>
        <w:pStyle w:val="2"/>
        <w:rPr>
          <w:rFonts w:hint="default"/>
          <w:color w:val="auto"/>
        </w:rPr>
      </w:pPr>
    </w:p>
    <w:p w14:paraId="0ED54CC2">
      <w:pPr>
        <w:rPr>
          <w:rFonts w:hint="default"/>
          <w:color w:val="auto"/>
        </w:rPr>
      </w:pPr>
    </w:p>
    <w:p w14:paraId="18BB795B">
      <w:pPr>
        <w:pStyle w:val="3"/>
        <w:rPr>
          <w:rFonts w:hint="default" w:eastAsia="仿宋_GB2312"/>
          <w:lang w:val="en-US" w:eastAsia="zh-CN"/>
        </w:rPr>
      </w:pPr>
      <w:r>
        <w:rPr>
          <w:rFonts w:hint="default" w:eastAsia="仿宋_GB2312"/>
          <w:lang w:val="en-US" w:eastAsia="zh-CN"/>
        </w:rPr>
        <w:drawing>
          <wp:anchor distT="0" distB="0" distL="114300" distR="114300" simplePos="0" relativeHeight="251660288" behindDoc="0" locked="0" layoutInCell="1" allowOverlap="1">
            <wp:simplePos x="0" y="0"/>
            <wp:positionH relativeFrom="column">
              <wp:posOffset>-969645</wp:posOffset>
            </wp:positionH>
            <wp:positionV relativeFrom="paragraph">
              <wp:posOffset>3418840</wp:posOffset>
            </wp:positionV>
            <wp:extent cx="7320280" cy="4474210"/>
            <wp:effectExtent l="0" t="0" r="13970" b="2540"/>
            <wp:wrapSquare wrapText="bothSides"/>
            <wp:docPr id="5" name="图片 5" descr="lQLPKHNq-NTclt3NAeHNAxOwSzQEcK3kzAgJ0vHmlCwAAA_787_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QLPKHNq-NTclt3NAeHNAxOwSzQEcK3kzAgJ0vHmlCwAAA_787_481"/>
                    <pic:cNvPicPr>
                      <a:picLocks noChangeAspect="1"/>
                    </pic:cNvPicPr>
                  </pic:nvPicPr>
                  <pic:blipFill>
                    <a:blip r:embed="rId16"/>
                    <a:stretch>
                      <a:fillRect/>
                    </a:stretch>
                  </pic:blipFill>
                  <pic:spPr>
                    <a:xfrm>
                      <a:off x="0" y="0"/>
                      <a:ext cx="7320280" cy="4474210"/>
                    </a:xfrm>
                    <a:prstGeom prst="rect">
                      <a:avLst/>
                    </a:prstGeom>
                  </pic:spPr>
                </pic:pic>
              </a:graphicData>
            </a:graphic>
          </wp:anchor>
        </w:drawing>
      </w:r>
      <w:r>
        <w:rPr>
          <w:rFonts w:hint="default" w:eastAsia="仿宋_GB2312"/>
          <w:lang w:val="en-US" w:eastAsia="zh-CN"/>
        </w:rPr>
        <w:drawing>
          <wp:anchor distT="0" distB="0" distL="114300" distR="114300" simplePos="0" relativeHeight="251659264" behindDoc="0" locked="0" layoutInCell="1" allowOverlap="1">
            <wp:simplePos x="0" y="0"/>
            <wp:positionH relativeFrom="column">
              <wp:posOffset>-508000</wp:posOffset>
            </wp:positionH>
            <wp:positionV relativeFrom="paragraph">
              <wp:posOffset>501650</wp:posOffset>
            </wp:positionV>
            <wp:extent cx="6489700" cy="3489960"/>
            <wp:effectExtent l="0" t="0" r="6350" b="15240"/>
            <wp:wrapSquare wrapText="bothSides"/>
            <wp:docPr id="4" name="图片 4" descr="lQLPJx4_SUpvpt3NAYHNAsywIXpDyGN4nGQJ0vHmkpmzAA_716_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lQLPJx4_SUpvpt3NAYHNAsywIXpDyGN4nGQJ0vHmkpmzAA_716_385"/>
                    <pic:cNvPicPr>
                      <a:picLocks noChangeAspect="1"/>
                    </pic:cNvPicPr>
                  </pic:nvPicPr>
                  <pic:blipFill>
                    <a:blip r:embed="rId17"/>
                    <a:stretch>
                      <a:fillRect/>
                    </a:stretch>
                  </pic:blipFill>
                  <pic:spPr>
                    <a:xfrm>
                      <a:off x="0" y="0"/>
                      <a:ext cx="6489700" cy="3489960"/>
                    </a:xfrm>
                    <a:prstGeom prst="rect">
                      <a:avLst/>
                    </a:prstGeom>
                  </pic:spPr>
                </pic:pic>
              </a:graphicData>
            </a:graphic>
          </wp:anchor>
        </w:drawing>
      </w:r>
      <w:r>
        <w:rPr>
          <w:rFonts w:hint="eastAsia"/>
          <w:lang w:val="en-US" w:eastAsia="zh-CN"/>
        </w:rPr>
        <w:t>附件2：</w:t>
      </w:r>
    </w:p>
    <w:p w14:paraId="3B2CB488">
      <w:pPr>
        <w:pStyle w:val="3"/>
        <w:rPr>
          <w:rFonts w:hint="default"/>
        </w:rPr>
      </w:pPr>
    </w:p>
    <w:p w14:paraId="351EC330">
      <w:pPr>
        <w:pStyle w:val="2"/>
        <w:rPr>
          <w:rFonts w:hint="default"/>
        </w:rPr>
      </w:pPr>
    </w:p>
    <w:sectPr>
      <w:headerReference r:id="rId13" w:type="default"/>
      <w:footerReference r:id="rId1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D69D13">
    <w:pPr>
      <w:pStyle w:val="13"/>
      <w:framePr w:wrap="around" w:vAnchor="text" w:hAnchor="margin" w:xAlign="center" w:y="1"/>
      <w:rPr>
        <w:rStyle w:val="22"/>
      </w:rPr>
    </w:pPr>
    <w:r>
      <w:fldChar w:fldCharType="begin"/>
    </w:r>
    <w:r>
      <w:rPr>
        <w:rStyle w:val="22"/>
      </w:rPr>
      <w:instrText xml:space="preserve">PAGE  </w:instrText>
    </w:r>
    <w:r>
      <w:fldChar w:fldCharType="separate"/>
    </w:r>
    <w:r>
      <w:fldChar w:fldCharType="end"/>
    </w:r>
  </w:p>
  <w:p w14:paraId="4D5F86B4">
    <w:pPr>
      <w:pStyle w:val="1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BF4ABC">
    <w:pPr>
      <w:pStyle w:val="13"/>
      <w:framePr w:wrap="around" w:vAnchor="text" w:hAnchor="margin" w:xAlign="center" w:y="1"/>
      <w:rPr>
        <w:rStyle w:val="22"/>
      </w:rPr>
    </w:pPr>
  </w:p>
  <w:p w14:paraId="77A3CD02">
    <w:pPr>
      <w:pStyle w:val="13"/>
      <w:jc w:val="center"/>
      <w:rPr>
        <w:rFonts w:hint="eastAsia" w:ascii="宋体" w:hAnsi="宋体"/>
        <w:sz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FCE68B">
    <w:pPr>
      <w:pStyle w:val="1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2E5DBE">
    <w:pPr>
      <w:pStyle w:val="13"/>
      <w:jc w:val="center"/>
      <w:rPr>
        <w:rFonts w:hint="eastAsia" w:ascii="宋体" w:hAnsi="宋体"/>
        <w:sz w:val="21"/>
        <w:szCs w:val="21"/>
      </w:rPr>
    </w:pPr>
    <w:r>
      <w:rPr>
        <w:sz w:val="21"/>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BF9740C">
                          <w:pPr>
                            <w:pStyle w:val="13"/>
                            <w:jc w:val="center"/>
                          </w:pPr>
                          <w:r>
                            <w:rPr>
                              <w:rFonts w:ascii="宋体" w:hAnsi="宋体"/>
                              <w:sz w:val="21"/>
                              <w:szCs w:val="21"/>
                            </w:rPr>
                            <w:fldChar w:fldCharType="begin"/>
                          </w:r>
                          <w:r>
                            <w:rPr>
                              <w:rStyle w:val="22"/>
                              <w:rFonts w:ascii="宋体" w:hAnsi="宋体"/>
                              <w:sz w:val="21"/>
                              <w:szCs w:val="21"/>
                            </w:rPr>
                            <w:instrText xml:space="preserve"> PAGE </w:instrText>
                          </w:r>
                          <w:r>
                            <w:rPr>
                              <w:rFonts w:ascii="宋体" w:hAnsi="宋体"/>
                              <w:sz w:val="21"/>
                              <w:szCs w:val="21"/>
                            </w:rPr>
                            <w:fldChar w:fldCharType="separate"/>
                          </w:r>
                          <w:r>
                            <w:rPr>
                              <w:rStyle w:val="22"/>
                              <w:rFonts w:ascii="宋体" w:hAnsi="宋体"/>
                              <w:sz w:val="21"/>
                              <w:szCs w:val="21"/>
                            </w:rPr>
                            <w:t>- 4 -</w:t>
                          </w:r>
                          <w:r>
                            <w:rPr>
                              <w:rFonts w:ascii="宋体" w:hAnsi="宋体"/>
                              <w:sz w:val="21"/>
                              <w:szCs w:val="21"/>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DSS+knIAQAAmQMAAA4AAAAAAAAAAQAgAAAAHgEAAGRycy9lMm9Eb2Mu&#10;eG1sUEsFBgAAAAAGAAYAWQEAAFgFAAAAAA==&#10;">
              <v:path/>
              <v:fill on="f" focussize="0,0"/>
              <v:stroke on="f"/>
              <v:imagedata o:title=""/>
              <o:lock v:ext="edit" aspectratio="f"/>
              <v:textbox inset="0mm,0mm,0mm,0mm" style="mso-fit-shape-to-text:t;">
                <w:txbxContent>
                  <w:p w14:paraId="3BF9740C">
                    <w:pPr>
                      <w:pStyle w:val="13"/>
                      <w:jc w:val="center"/>
                    </w:pPr>
                    <w:r>
                      <w:rPr>
                        <w:rFonts w:ascii="宋体" w:hAnsi="宋体"/>
                        <w:sz w:val="21"/>
                        <w:szCs w:val="21"/>
                      </w:rPr>
                      <w:fldChar w:fldCharType="begin"/>
                    </w:r>
                    <w:r>
                      <w:rPr>
                        <w:rStyle w:val="22"/>
                        <w:rFonts w:ascii="宋体" w:hAnsi="宋体"/>
                        <w:sz w:val="21"/>
                        <w:szCs w:val="21"/>
                      </w:rPr>
                      <w:instrText xml:space="preserve"> PAGE </w:instrText>
                    </w:r>
                    <w:r>
                      <w:rPr>
                        <w:rFonts w:ascii="宋体" w:hAnsi="宋体"/>
                        <w:sz w:val="21"/>
                        <w:szCs w:val="21"/>
                      </w:rPr>
                      <w:fldChar w:fldCharType="separate"/>
                    </w:r>
                    <w:r>
                      <w:rPr>
                        <w:rStyle w:val="22"/>
                        <w:rFonts w:ascii="宋体" w:hAnsi="宋体"/>
                        <w:sz w:val="21"/>
                        <w:szCs w:val="21"/>
                      </w:rPr>
                      <w:t>- 4 -</w:t>
                    </w:r>
                    <w:r>
                      <w:rPr>
                        <w:rFonts w:ascii="宋体" w:hAnsi="宋体"/>
                        <w:sz w:val="21"/>
                        <w:szCs w:val="21"/>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22EA3E">
    <w:pPr>
      <w:pStyle w:val="13"/>
      <w:framePr w:wrap="around" w:vAnchor="text" w:hAnchor="margin" w:xAlign="center" w:y="1"/>
      <w:rPr>
        <w:rStyle w:val="22"/>
      </w:rPr>
    </w:pPr>
    <w:r>
      <w:fldChar w:fldCharType="begin"/>
    </w:r>
    <w:r>
      <w:rPr>
        <w:rStyle w:val="22"/>
      </w:rPr>
      <w:instrText xml:space="preserve">PAGE  </w:instrText>
    </w:r>
    <w:r>
      <w:fldChar w:fldCharType="separate"/>
    </w:r>
    <w:r>
      <w:fldChar w:fldCharType="end"/>
    </w:r>
  </w:p>
  <w:p w14:paraId="0F836DF2">
    <w:pPr>
      <w:pStyle w:val="13"/>
      <w:ind w:right="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01EBF4">
    <w:pPr>
      <w:pStyle w:val="13"/>
      <w:jc w:val="center"/>
      <w:rPr>
        <w:rFonts w:hint="eastAsia" w:ascii="宋体" w:hAnsi="宋体"/>
        <w:sz w:val="21"/>
        <w:szCs w:val="21"/>
      </w:rPr>
    </w:pPr>
    <w:r>
      <w:rPr>
        <w:sz w:val="21"/>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DCCB06A">
                          <w:pPr>
                            <w:pStyle w:val="13"/>
                            <w:jc w:val="center"/>
                          </w:pPr>
                          <w:r>
                            <w:rPr>
                              <w:rFonts w:ascii="宋体" w:hAnsi="宋体"/>
                              <w:sz w:val="21"/>
                              <w:szCs w:val="21"/>
                            </w:rPr>
                            <w:fldChar w:fldCharType="begin"/>
                          </w:r>
                          <w:r>
                            <w:rPr>
                              <w:rStyle w:val="22"/>
                              <w:rFonts w:ascii="宋体" w:hAnsi="宋体"/>
                              <w:sz w:val="21"/>
                              <w:szCs w:val="21"/>
                            </w:rPr>
                            <w:instrText xml:space="preserve"> PAGE </w:instrText>
                          </w:r>
                          <w:r>
                            <w:rPr>
                              <w:rFonts w:ascii="宋体" w:hAnsi="宋体"/>
                              <w:sz w:val="21"/>
                              <w:szCs w:val="21"/>
                            </w:rPr>
                            <w:fldChar w:fldCharType="separate"/>
                          </w:r>
                          <w:r>
                            <w:rPr>
                              <w:rStyle w:val="22"/>
                              <w:rFonts w:ascii="宋体" w:hAnsi="宋体"/>
                              <w:sz w:val="21"/>
                              <w:szCs w:val="21"/>
                            </w:rPr>
                            <w:t>- 40 -</w:t>
                          </w:r>
                          <w:r>
                            <w:rPr>
                              <w:rFonts w:ascii="宋体" w:hAnsi="宋体"/>
                              <w:sz w:val="21"/>
                              <w:szCs w:val="21"/>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G+QoMkBAACZ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Eb5CgyQEAAJkDAAAOAAAAAAAAAAEAIAAAAB4BAABkcnMvZTJvRG9j&#10;LnhtbFBLBQYAAAAABgAGAFkBAABZBQAAAAA=&#10;">
              <v:path/>
              <v:fill on="f" focussize="0,0"/>
              <v:stroke on="f"/>
              <v:imagedata o:title=""/>
              <o:lock v:ext="edit" aspectratio="f"/>
              <v:textbox inset="0mm,0mm,0mm,0mm" style="mso-fit-shape-to-text:t;">
                <w:txbxContent>
                  <w:p w14:paraId="6DCCB06A">
                    <w:pPr>
                      <w:pStyle w:val="13"/>
                      <w:jc w:val="center"/>
                    </w:pPr>
                    <w:r>
                      <w:rPr>
                        <w:rFonts w:ascii="宋体" w:hAnsi="宋体"/>
                        <w:sz w:val="21"/>
                        <w:szCs w:val="21"/>
                      </w:rPr>
                      <w:fldChar w:fldCharType="begin"/>
                    </w:r>
                    <w:r>
                      <w:rPr>
                        <w:rStyle w:val="22"/>
                        <w:rFonts w:ascii="宋体" w:hAnsi="宋体"/>
                        <w:sz w:val="21"/>
                        <w:szCs w:val="21"/>
                      </w:rPr>
                      <w:instrText xml:space="preserve"> PAGE </w:instrText>
                    </w:r>
                    <w:r>
                      <w:rPr>
                        <w:rFonts w:ascii="宋体" w:hAnsi="宋体"/>
                        <w:sz w:val="21"/>
                        <w:szCs w:val="21"/>
                      </w:rPr>
                      <w:fldChar w:fldCharType="separate"/>
                    </w:r>
                    <w:r>
                      <w:rPr>
                        <w:rStyle w:val="22"/>
                        <w:rFonts w:ascii="宋体" w:hAnsi="宋体"/>
                        <w:sz w:val="21"/>
                        <w:szCs w:val="21"/>
                      </w:rPr>
                      <w:t>- 40 -</w:t>
                    </w:r>
                    <w:r>
                      <w:rPr>
                        <w:rFonts w:ascii="宋体" w:hAnsi="宋体"/>
                        <w:sz w:val="21"/>
                        <w:szCs w:val="21"/>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920787">
    <w:pPr>
      <w:pStyle w:val="13"/>
      <w:jc w:val="center"/>
      <w:rPr>
        <w:rFonts w:hint="eastAsia" w:ascii="宋体" w:hAnsi="宋体"/>
        <w:sz w:val="21"/>
        <w:szCs w:val="21"/>
      </w:rPr>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CBB8393">
                          <w:pPr>
                            <w:pStyle w:val="13"/>
                            <w:jc w:val="center"/>
                          </w:pPr>
                          <w:r>
                            <w:rPr>
                              <w:rFonts w:ascii="宋体" w:hAnsi="宋体"/>
                              <w:sz w:val="21"/>
                              <w:szCs w:val="21"/>
                            </w:rPr>
                            <w:fldChar w:fldCharType="begin"/>
                          </w:r>
                          <w:r>
                            <w:rPr>
                              <w:rStyle w:val="22"/>
                              <w:rFonts w:ascii="宋体" w:hAnsi="宋体"/>
                              <w:sz w:val="21"/>
                              <w:szCs w:val="21"/>
                            </w:rPr>
                            <w:instrText xml:space="preserve"> PAGE </w:instrText>
                          </w:r>
                          <w:r>
                            <w:rPr>
                              <w:rFonts w:ascii="宋体" w:hAnsi="宋体"/>
                              <w:sz w:val="21"/>
                              <w:szCs w:val="21"/>
                            </w:rPr>
                            <w:fldChar w:fldCharType="separate"/>
                          </w:r>
                          <w:r>
                            <w:rPr>
                              <w:rStyle w:val="22"/>
                              <w:rFonts w:ascii="宋体" w:hAnsi="宋体"/>
                              <w:sz w:val="21"/>
                              <w:szCs w:val="21"/>
                            </w:rPr>
                            <w:t>- 40 -</w:t>
                          </w:r>
                          <w:r>
                            <w:rPr>
                              <w:rFonts w:ascii="宋体" w:hAnsi="宋体"/>
                              <w:sz w:val="21"/>
                              <w:szCs w:val="21"/>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3CBB8393">
                    <w:pPr>
                      <w:pStyle w:val="13"/>
                      <w:jc w:val="center"/>
                    </w:pPr>
                    <w:r>
                      <w:rPr>
                        <w:rFonts w:ascii="宋体" w:hAnsi="宋体"/>
                        <w:sz w:val="21"/>
                        <w:szCs w:val="21"/>
                      </w:rPr>
                      <w:fldChar w:fldCharType="begin"/>
                    </w:r>
                    <w:r>
                      <w:rPr>
                        <w:rStyle w:val="22"/>
                        <w:rFonts w:ascii="宋体" w:hAnsi="宋体"/>
                        <w:sz w:val="21"/>
                        <w:szCs w:val="21"/>
                      </w:rPr>
                      <w:instrText xml:space="preserve"> PAGE </w:instrText>
                    </w:r>
                    <w:r>
                      <w:rPr>
                        <w:rFonts w:ascii="宋体" w:hAnsi="宋体"/>
                        <w:sz w:val="21"/>
                        <w:szCs w:val="21"/>
                      </w:rPr>
                      <w:fldChar w:fldCharType="separate"/>
                    </w:r>
                    <w:r>
                      <w:rPr>
                        <w:rStyle w:val="22"/>
                        <w:rFonts w:ascii="宋体" w:hAnsi="宋体"/>
                        <w:sz w:val="21"/>
                        <w:szCs w:val="21"/>
                      </w:rPr>
                      <w:t>- 40 -</w:t>
                    </w:r>
                    <w:r>
                      <w:rPr>
                        <w:rFonts w:ascii="宋体" w:hAnsi="宋体"/>
                        <w:sz w:val="21"/>
                        <w:szCs w:val="21"/>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6A8E6E">
    <w:pPr>
      <w:pStyle w:val="15"/>
      <w:pBdr>
        <w:bottom w:val="single" w:color="auto" w:sz="4" w:space="0"/>
      </w:pBdr>
      <w:tabs>
        <w:tab w:val="left" w:pos="6802"/>
        <w:tab w:val="clear" w:pos="4153"/>
      </w:tabs>
      <w:jc w:val="both"/>
      <w:rPr>
        <w:rFonts w:hint="eastAsia"/>
      </w:rPr>
    </w:pPr>
    <w:r>
      <w:rPr>
        <w:rFonts w:hint="eastAsia" w:ascii="方正仿宋_GBK" w:eastAsia="方正仿宋_GBK"/>
        <w:sz w:val="21"/>
        <w:szCs w:val="21"/>
        <w:lang w:val="en-US" w:eastAsia="zh-CN"/>
      </w:rPr>
      <w:t>重庆修为工程咨询有限公司</w:t>
    </w:r>
    <w:r>
      <w:rPr>
        <w:rFonts w:hint="eastAsia" w:ascii="方正仿宋_GBK" w:eastAsia="方正仿宋_GBK"/>
        <w:sz w:val="21"/>
        <w:szCs w:val="21"/>
        <w:lang w:eastAsia="zh-CN"/>
      </w:rPr>
      <w:tab/>
    </w:r>
    <w:r>
      <w:rPr>
        <w:rFonts w:hint="eastAsia" w:ascii="方正仿宋_GBK" w:eastAsia="方正仿宋_GBK"/>
        <w:sz w:val="21"/>
        <w:szCs w:val="21"/>
        <w:lang w:val="en-US" w:eastAsia="zh-CN"/>
      </w:rPr>
      <w:t xml:space="preserve">                </w:t>
    </w:r>
    <w:r>
      <w:rPr>
        <w:rFonts w:hint="eastAsia" w:ascii="方正仿宋_GBK" w:eastAsia="方正仿宋_GBK"/>
        <w:sz w:val="21"/>
        <w:szCs w:val="21"/>
        <w:lang w:eastAsia="zh-CN"/>
      </w:rPr>
      <w:t>询比文件</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6201CF">
    <w:pPr>
      <w:pStyle w:val="15"/>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40A914">
    <w:pPr>
      <w:pStyle w:val="15"/>
      <w:jc w:val="both"/>
      <w:rPr>
        <w:rFonts w:hint="eastAsia" w:ascii="方正仿宋_GBK" w:eastAsia="方正仿宋_GBK"/>
        <w:sz w:val="21"/>
        <w:szCs w:val="21"/>
        <w:lang w:eastAsia="zh-CN"/>
      </w:rPr>
    </w:pPr>
    <w:r>
      <w:rPr>
        <w:rFonts w:hint="eastAsia" w:ascii="方正仿宋_GBK" w:eastAsia="方正仿宋_GBK"/>
        <w:sz w:val="21"/>
        <w:szCs w:val="21"/>
      </w:rPr>
      <w:t xml:space="preserve">                                                                          </w:t>
    </w:r>
    <w:r>
      <w:rPr>
        <w:rFonts w:hint="eastAsia" w:ascii="方正仿宋_GBK" w:eastAsia="方正仿宋_GBK"/>
        <w:sz w:val="21"/>
        <w:szCs w:val="21"/>
        <w:lang w:eastAsia="zh-CN"/>
      </w:rPr>
      <w:t>询比文件</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A68ECE">
    <w:pPr>
      <w:pStyle w:val="15"/>
      <w:pBdr>
        <w:bottom w:val="none" w:color="auto" w:sz="0" w:space="1"/>
      </w:pBdr>
      <w:jc w:val="both"/>
      <w:rPr>
        <w:rFonts w:hint="eastAsia" w:ascii="方正仿宋_GBK" w:eastAsia="方正仿宋_GBK"/>
        <w:color w:val="FFFFFF"/>
        <w:sz w:val="21"/>
        <w:szCs w:val="21"/>
      </w:rPr>
    </w:pPr>
    <w:r>
      <w:rPr>
        <w:rFonts w:hint="eastAsia" w:ascii="方正仿宋_GBK" w:eastAsia="方正仿宋_GBK"/>
        <w:color w:val="FFFFFF"/>
        <w:sz w:val="21"/>
        <w:szCs w:val="21"/>
      </w:rPr>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213D4D">
    <w:pPr>
      <w:pStyle w:val="15"/>
      <w:pBdr>
        <w:bottom w:val="none" w:color="auto" w:sz="0" w:space="1"/>
      </w:pBdr>
      <w:jc w:val="both"/>
      <w:rPr>
        <w:rFonts w:hint="eastAsia" w:ascii="方正仿宋_GBK" w:eastAsia="方正仿宋_GBK"/>
        <w:color w:val="FFFFFF"/>
        <w:sz w:val="21"/>
        <w:szCs w:val="21"/>
      </w:rPr>
    </w:pPr>
    <w:r>
      <w:rPr>
        <w:rFonts w:hint="eastAsia" w:ascii="方正仿宋_GBK" w:eastAsia="方正仿宋_GBK"/>
        <w:color w:val="FFFFFF"/>
        <w:sz w:val="21"/>
        <w:szCs w:val="21"/>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12A28DA"/>
    <w:multiLevelType w:val="singleLevel"/>
    <w:tmpl w:val="512A28DA"/>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58A37C5"/>
    <w:rsid w:val="00006574"/>
    <w:rsid w:val="00032A14"/>
    <w:rsid w:val="000B17F7"/>
    <w:rsid w:val="001A7562"/>
    <w:rsid w:val="00267E8C"/>
    <w:rsid w:val="002A2169"/>
    <w:rsid w:val="002E2602"/>
    <w:rsid w:val="00385AA5"/>
    <w:rsid w:val="00566860"/>
    <w:rsid w:val="005A7419"/>
    <w:rsid w:val="005C7B5C"/>
    <w:rsid w:val="006445F1"/>
    <w:rsid w:val="006F55B4"/>
    <w:rsid w:val="007B673A"/>
    <w:rsid w:val="007F568B"/>
    <w:rsid w:val="00812627"/>
    <w:rsid w:val="0082547A"/>
    <w:rsid w:val="008430A1"/>
    <w:rsid w:val="008B7C1C"/>
    <w:rsid w:val="00986008"/>
    <w:rsid w:val="00A30A7E"/>
    <w:rsid w:val="00AC671F"/>
    <w:rsid w:val="00AD5A8E"/>
    <w:rsid w:val="00AF119B"/>
    <w:rsid w:val="00B91009"/>
    <w:rsid w:val="00C47FC4"/>
    <w:rsid w:val="00C94A2D"/>
    <w:rsid w:val="00C96B5B"/>
    <w:rsid w:val="00CC2D91"/>
    <w:rsid w:val="00CF1F54"/>
    <w:rsid w:val="00E40FFA"/>
    <w:rsid w:val="00E56141"/>
    <w:rsid w:val="00E74F9B"/>
    <w:rsid w:val="00F362BE"/>
    <w:rsid w:val="00F7639D"/>
    <w:rsid w:val="00F821CE"/>
    <w:rsid w:val="01062348"/>
    <w:rsid w:val="010B44D9"/>
    <w:rsid w:val="010E5676"/>
    <w:rsid w:val="0113440F"/>
    <w:rsid w:val="01145D5E"/>
    <w:rsid w:val="011547AB"/>
    <w:rsid w:val="01187121"/>
    <w:rsid w:val="011F5353"/>
    <w:rsid w:val="01215609"/>
    <w:rsid w:val="01391681"/>
    <w:rsid w:val="013C6E5A"/>
    <w:rsid w:val="013F349A"/>
    <w:rsid w:val="01482F09"/>
    <w:rsid w:val="014B2EE7"/>
    <w:rsid w:val="014C2DCC"/>
    <w:rsid w:val="01532EC2"/>
    <w:rsid w:val="0154183C"/>
    <w:rsid w:val="01573FC3"/>
    <w:rsid w:val="015B0582"/>
    <w:rsid w:val="015E5338"/>
    <w:rsid w:val="01600F2E"/>
    <w:rsid w:val="01654BE5"/>
    <w:rsid w:val="016B7DBB"/>
    <w:rsid w:val="016C36D2"/>
    <w:rsid w:val="01757C70"/>
    <w:rsid w:val="01777BAB"/>
    <w:rsid w:val="01A11471"/>
    <w:rsid w:val="01A8637A"/>
    <w:rsid w:val="01A93246"/>
    <w:rsid w:val="01AC3951"/>
    <w:rsid w:val="01AE7D18"/>
    <w:rsid w:val="01BD2C9D"/>
    <w:rsid w:val="01C05433"/>
    <w:rsid w:val="01C94EB1"/>
    <w:rsid w:val="01D76F84"/>
    <w:rsid w:val="01D85A39"/>
    <w:rsid w:val="01D90BDF"/>
    <w:rsid w:val="01EB3C28"/>
    <w:rsid w:val="01F60974"/>
    <w:rsid w:val="01FA553F"/>
    <w:rsid w:val="0207422B"/>
    <w:rsid w:val="020776A3"/>
    <w:rsid w:val="020E21C6"/>
    <w:rsid w:val="020E65E2"/>
    <w:rsid w:val="02161BCE"/>
    <w:rsid w:val="02187399"/>
    <w:rsid w:val="02420B99"/>
    <w:rsid w:val="024A133E"/>
    <w:rsid w:val="02517C6B"/>
    <w:rsid w:val="02621191"/>
    <w:rsid w:val="0265389B"/>
    <w:rsid w:val="026B19BD"/>
    <w:rsid w:val="026D1F94"/>
    <w:rsid w:val="02792A3D"/>
    <w:rsid w:val="027B6917"/>
    <w:rsid w:val="02881881"/>
    <w:rsid w:val="028E4E61"/>
    <w:rsid w:val="02921F30"/>
    <w:rsid w:val="029339F0"/>
    <w:rsid w:val="02A453A2"/>
    <w:rsid w:val="02A676B5"/>
    <w:rsid w:val="02AC65D8"/>
    <w:rsid w:val="02B14AE6"/>
    <w:rsid w:val="02BF08A4"/>
    <w:rsid w:val="02C1301D"/>
    <w:rsid w:val="02CD3A70"/>
    <w:rsid w:val="02D74AFB"/>
    <w:rsid w:val="02D82D0D"/>
    <w:rsid w:val="02DE349C"/>
    <w:rsid w:val="02DF5D38"/>
    <w:rsid w:val="02EF3DF7"/>
    <w:rsid w:val="02F600A5"/>
    <w:rsid w:val="02FD00F5"/>
    <w:rsid w:val="03183A40"/>
    <w:rsid w:val="032061EF"/>
    <w:rsid w:val="0322281E"/>
    <w:rsid w:val="03230320"/>
    <w:rsid w:val="032314B7"/>
    <w:rsid w:val="032B468A"/>
    <w:rsid w:val="03326D03"/>
    <w:rsid w:val="0340123B"/>
    <w:rsid w:val="034E5E0D"/>
    <w:rsid w:val="035F2D00"/>
    <w:rsid w:val="0360133E"/>
    <w:rsid w:val="03617F73"/>
    <w:rsid w:val="03632F3C"/>
    <w:rsid w:val="03672624"/>
    <w:rsid w:val="03674807"/>
    <w:rsid w:val="036913B4"/>
    <w:rsid w:val="036A24E3"/>
    <w:rsid w:val="036F06C9"/>
    <w:rsid w:val="037D3F6D"/>
    <w:rsid w:val="03876262"/>
    <w:rsid w:val="0390148B"/>
    <w:rsid w:val="0390218B"/>
    <w:rsid w:val="03A66687"/>
    <w:rsid w:val="03A93D9A"/>
    <w:rsid w:val="03AC2AD2"/>
    <w:rsid w:val="03C96B91"/>
    <w:rsid w:val="03CF6AC6"/>
    <w:rsid w:val="03D160E3"/>
    <w:rsid w:val="03D74001"/>
    <w:rsid w:val="03DC12A3"/>
    <w:rsid w:val="03E12677"/>
    <w:rsid w:val="03E67229"/>
    <w:rsid w:val="03EA4810"/>
    <w:rsid w:val="03EC5C52"/>
    <w:rsid w:val="03F1668F"/>
    <w:rsid w:val="03F3047F"/>
    <w:rsid w:val="03F7640F"/>
    <w:rsid w:val="03F80F2D"/>
    <w:rsid w:val="040345BE"/>
    <w:rsid w:val="04051376"/>
    <w:rsid w:val="040F769E"/>
    <w:rsid w:val="04181B32"/>
    <w:rsid w:val="0425568D"/>
    <w:rsid w:val="042D7AC2"/>
    <w:rsid w:val="0431245E"/>
    <w:rsid w:val="043A5929"/>
    <w:rsid w:val="043B5E75"/>
    <w:rsid w:val="043B6939"/>
    <w:rsid w:val="043E2FBE"/>
    <w:rsid w:val="04434986"/>
    <w:rsid w:val="0450227D"/>
    <w:rsid w:val="045352F4"/>
    <w:rsid w:val="046028A8"/>
    <w:rsid w:val="04606C32"/>
    <w:rsid w:val="046252B5"/>
    <w:rsid w:val="0462532C"/>
    <w:rsid w:val="04664804"/>
    <w:rsid w:val="046D68E9"/>
    <w:rsid w:val="046E4DA0"/>
    <w:rsid w:val="0472193A"/>
    <w:rsid w:val="047A4DF0"/>
    <w:rsid w:val="047F0B09"/>
    <w:rsid w:val="047F1639"/>
    <w:rsid w:val="04832CC7"/>
    <w:rsid w:val="048D0DAE"/>
    <w:rsid w:val="04A0640B"/>
    <w:rsid w:val="04A31320"/>
    <w:rsid w:val="04A90BEE"/>
    <w:rsid w:val="04AA4AED"/>
    <w:rsid w:val="04B76A28"/>
    <w:rsid w:val="04C1250F"/>
    <w:rsid w:val="04C3053F"/>
    <w:rsid w:val="04C465FD"/>
    <w:rsid w:val="04C75BFF"/>
    <w:rsid w:val="04CB0ED7"/>
    <w:rsid w:val="04D34034"/>
    <w:rsid w:val="04D92C60"/>
    <w:rsid w:val="04E433AB"/>
    <w:rsid w:val="04E936B5"/>
    <w:rsid w:val="04EA67FB"/>
    <w:rsid w:val="04EB6F42"/>
    <w:rsid w:val="04F05B66"/>
    <w:rsid w:val="04F07A81"/>
    <w:rsid w:val="04F80FC8"/>
    <w:rsid w:val="04FA0212"/>
    <w:rsid w:val="04FE4025"/>
    <w:rsid w:val="05041230"/>
    <w:rsid w:val="05042CB8"/>
    <w:rsid w:val="050D2643"/>
    <w:rsid w:val="05195CF1"/>
    <w:rsid w:val="051D3CB0"/>
    <w:rsid w:val="052455EF"/>
    <w:rsid w:val="05262F34"/>
    <w:rsid w:val="05312C14"/>
    <w:rsid w:val="05390D84"/>
    <w:rsid w:val="053B5667"/>
    <w:rsid w:val="053C3E72"/>
    <w:rsid w:val="053D2F30"/>
    <w:rsid w:val="053D3CF8"/>
    <w:rsid w:val="05417426"/>
    <w:rsid w:val="05527E74"/>
    <w:rsid w:val="055B5FCB"/>
    <w:rsid w:val="056236AB"/>
    <w:rsid w:val="05657CD4"/>
    <w:rsid w:val="056A1834"/>
    <w:rsid w:val="056B6F2C"/>
    <w:rsid w:val="05711613"/>
    <w:rsid w:val="05747820"/>
    <w:rsid w:val="05761BE7"/>
    <w:rsid w:val="05762B73"/>
    <w:rsid w:val="057E082F"/>
    <w:rsid w:val="057E1562"/>
    <w:rsid w:val="0580627D"/>
    <w:rsid w:val="05832453"/>
    <w:rsid w:val="05853A5D"/>
    <w:rsid w:val="058A6447"/>
    <w:rsid w:val="059A2061"/>
    <w:rsid w:val="059A504E"/>
    <w:rsid w:val="05A45E30"/>
    <w:rsid w:val="05A953E9"/>
    <w:rsid w:val="05A97AD9"/>
    <w:rsid w:val="05AC56C9"/>
    <w:rsid w:val="05B23107"/>
    <w:rsid w:val="05B73790"/>
    <w:rsid w:val="05BD4653"/>
    <w:rsid w:val="05C43B75"/>
    <w:rsid w:val="05CE03B0"/>
    <w:rsid w:val="05D726F8"/>
    <w:rsid w:val="05E13F10"/>
    <w:rsid w:val="05E3350B"/>
    <w:rsid w:val="05E824A4"/>
    <w:rsid w:val="05F02086"/>
    <w:rsid w:val="05F46BE0"/>
    <w:rsid w:val="060C7486"/>
    <w:rsid w:val="060E66DB"/>
    <w:rsid w:val="060F49E9"/>
    <w:rsid w:val="06225546"/>
    <w:rsid w:val="06357A7C"/>
    <w:rsid w:val="06381103"/>
    <w:rsid w:val="064318A0"/>
    <w:rsid w:val="0645710E"/>
    <w:rsid w:val="06461BB8"/>
    <w:rsid w:val="06474D78"/>
    <w:rsid w:val="06577EB7"/>
    <w:rsid w:val="067114A6"/>
    <w:rsid w:val="06741073"/>
    <w:rsid w:val="0676436E"/>
    <w:rsid w:val="067B64FD"/>
    <w:rsid w:val="06821A10"/>
    <w:rsid w:val="068939F5"/>
    <w:rsid w:val="06917A3D"/>
    <w:rsid w:val="069301AD"/>
    <w:rsid w:val="06A0447A"/>
    <w:rsid w:val="06A534A0"/>
    <w:rsid w:val="06A878CD"/>
    <w:rsid w:val="06B2254E"/>
    <w:rsid w:val="06B66398"/>
    <w:rsid w:val="06BC38B2"/>
    <w:rsid w:val="06C078AE"/>
    <w:rsid w:val="06C30E0F"/>
    <w:rsid w:val="06C46A3C"/>
    <w:rsid w:val="06C72620"/>
    <w:rsid w:val="06D10D8B"/>
    <w:rsid w:val="06E000B7"/>
    <w:rsid w:val="06E0135B"/>
    <w:rsid w:val="06E14539"/>
    <w:rsid w:val="06EF481A"/>
    <w:rsid w:val="06F11468"/>
    <w:rsid w:val="07270207"/>
    <w:rsid w:val="07275ACF"/>
    <w:rsid w:val="0731537F"/>
    <w:rsid w:val="07351DED"/>
    <w:rsid w:val="0736356E"/>
    <w:rsid w:val="07384EA3"/>
    <w:rsid w:val="073D44C9"/>
    <w:rsid w:val="07405938"/>
    <w:rsid w:val="07442242"/>
    <w:rsid w:val="07480A26"/>
    <w:rsid w:val="074A22BD"/>
    <w:rsid w:val="074B16CA"/>
    <w:rsid w:val="074F0165"/>
    <w:rsid w:val="0756709B"/>
    <w:rsid w:val="07642524"/>
    <w:rsid w:val="076A658C"/>
    <w:rsid w:val="07742B61"/>
    <w:rsid w:val="0775590C"/>
    <w:rsid w:val="07771468"/>
    <w:rsid w:val="07836467"/>
    <w:rsid w:val="0788183C"/>
    <w:rsid w:val="07884F32"/>
    <w:rsid w:val="078B5E0E"/>
    <w:rsid w:val="0793476C"/>
    <w:rsid w:val="0793790F"/>
    <w:rsid w:val="0795132A"/>
    <w:rsid w:val="079671F0"/>
    <w:rsid w:val="07A635F4"/>
    <w:rsid w:val="07A95D9A"/>
    <w:rsid w:val="07B6339D"/>
    <w:rsid w:val="07B73F86"/>
    <w:rsid w:val="07B8312D"/>
    <w:rsid w:val="07B90B07"/>
    <w:rsid w:val="07C475B6"/>
    <w:rsid w:val="07CE4919"/>
    <w:rsid w:val="07D05D20"/>
    <w:rsid w:val="07D9678D"/>
    <w:rsid w:val="07D96A5F"/>
    <w:rsid w:val="07E73D48"/>
    <w:rsid w:val="07F55170"/>
    <w:rsid w:val="07F84EBA"/>
    <w:rsid w:val="07FA4CBB"/>
    <w:rsid w:val="08034A8E"/>
    <w:rsid w:val="08035DA8"/>
    <w:rsid w:val="08072654"/>
    <w:rsid w:val="081B4B84"/>
    <w:rsid w:val="08267F81"/>
    <w:rsid w:val="082B5817"/>
    <w:rsid w:val="08312B60"/>
    <w:rsid w:val="08354D78"/>
    <w:rsid w:val="083C6CDE"/>
    <w:rsid w:val="0848584A"/>
    <w:rsid w:val="084C38DE"/>
    <w:rsid w:val="085C5D71"/>
    <w:rsid w:val="086527CA"/>
    <w:rsid w:val="086756EE"/>
    <w:rsid w:val="087201C0"/>
    <w:rsid w:val="088321AB"/>
    <w:rsid w:val="08884AD4"/>
    <w:rsid w:val="08937714"/>
    <w:rsid w:val="0895627C"/>
    <w:rsid w:val="08A0229A"/>
    <w:rsid w:val="08A204AB"/>
    <w:rsid w:val="08A368BF"/>
    <w:rsid w:val="08AB3DF4"/>
    <w:rsid w:val="08AB7694"/>
    <w:rsid w:val="08AC5272"/>
    <w:rsid w:val="08AE53B4"/>
    <w:rsid w:val="08BA0BD7"/>
    <w:rsid w:val="08BD42AA"/>
    <w:rsid w:val="08BF7B9B"/>
    <w:rsid w:val="08C26A4B"/>
    <w:rsid w:val="08C3383F"/>
    <w:rsid w:val="08C73C71"/>
    <w:rsid w:val="08CB5C73"/>
    <w:rsid w:val="08D00ACC"/>
    <w:rsid w:val="08D234DB"/>
    <w:rsid w:val="08D67F0E"/>
    <w:rsid w:val="08DC0F24"/>
    <w:rsid w:val="08E1265A"/>
    <w:rsid w:val="08EB14D8"/>
    <w:rsid w:val="08F521B9"/>
    <w:rsid w:val="09082AB2"/>
    <w:rsid w:val="090B2CC0"/>
    <w:rsid w:val="0913639D"/>
    <w:rsid w:val="091F2FA4"/>
    <w:rsid w:val="09241E71"/>
    <w:rsid w:val="09304DD5"/>
    <w:rsid w:val="0935152C"/>
    <w:rsid w:val="093777BE"/>
    <w:rsid w:val="093D5E51"/>
    <w:rsid w:val="09445D49"/>
    <w:rsid w:val="095B09F3"/>
    <w:rsid w:val="09640B9E"/>
    <w:rsid w:val="097349AB"/>
    <w:rsid w:val="09787F67"/>
    <w:rsid w:val="098842F7"/>
    <w:rsid w:val="098918B9"/>
    <w:rsid w:val="098C7E5B"/>
    <w:rsid w:val="09962BB1"/>
    <w:rsid w:val="09993D8D"/>
    <w:rsid w:val="09A843BF"/>
    <w:rsid w:val="09AB753D"/>
    <w:rsid w:val="09BF499B"/>
    <w:rsid w:val="09C56974"/>
    <w:rsid w:val="09C66643"/>
    <w:rsid w:val="09CC6F7F"/>
    <w:rsid w:val="09CE4B38"/>
    <w:rsid w:val="09CF19C3"/>
    <w:rsid w:val="09E52B26"/>
    <w:rsid w:val="09E86C3F"/>
    <w:rsid w:val="09F733CD"/>
    <w:rsid w:val="09FA0314"/>
    <w:rsid w:val="0A0103A0"/>
    <w:rsid w:val="0A014F35"/>
    <w:rsid w:val="0A077740"/>
    <w:rsid w:val="0A0A1264"/>
    <w:rsid w:val="0A0A6B8C"/>
    <w:rsid w:val="0A0B72FE"/>
    <w:rsid w:val="0A1A2253"/>
    <w:rsid w:val="0A1A33E2"/>
    <w:rsid w:val="0A1A7DDE"/>
    <w:rsid w:val="0A1B1CA4"/>
    <w:rsid w:val="0A1C0752"/>
    <w:rsid w:val="0A2F06A9"/>
    <w:rsid w:val="0A304C6E"/>
    <w:rsid w:val="0A360794"/>
    <w:rsid w:val="0A366C66"/>
    <w:rsid w:val="0A394C4D"/>
    <w:rsid w:val="0A3C4D5A"/>
    <w:rsid w:val="0A3F1445"/>
    <w:rsid w:val="0A4D6C0C"/>
    <w:rsid w:val="0A5218B4"/>
    <w:rsid w:val="0A562484"/>
    <w:rsid w:val="0A67519E"/>
    <w:rsid w:val="0A69569F"/>
    <w:rsid w:val="0A6B3EB1"/>
    <w:rsid w:val="0A7F5345"/>
    <w:rsid w:val="0A84371E"/>
    <w:rsid w:val="0A852FF3"/>
    <w:rsid w:val="0A8C3AA2"/>
    <w:rsid w:val="0A8C7DB3"/>
    <w:rsid w:val="0A8E66B5"/>
    <w:rsid w:val="0A8F6D6D"/>
    <w:rsid w:val="0A9844A5"/>
    <w:rsid w:val="0A9846F2"/>
    <w:rsid w:val="0A995B48"/>
    <w:rsid w:val="0ABA44E8"/>
    <w:rsid w:val="0ABA7CA1"/>
    <w:rsid w:val="0ABF7A4D"/>
    <w:rsid w:val="0AC02385"/>
    <w:rsid w:val="0AC754FE"/>
    <w:rsid w:val="0AC878D4"/>
    <w:rsid w:val="0AD66994"/>
    <w:rsid w:val="0ADA62E4"/>
    <w:rsid w:val="0ADD4C1F"/>
    <w:rsid w:val="0AF20819"/>
    <w:rsid w:val="0B0A7C6A"/>
    <w:rsid w:val="0B0C542C"/>
    <w:rsid w:val="0B23167F"/>
    <w:rsid w:val="0B2C234D"/>
    <w:rsid w:val="0B2E1954"/>
    <w:rsid w:val="0B2E6C8D"/>
    <w:rsid w:val="0B342903"/>
    <w:rsid w:val="0B385520"/>
    <w:rsid w:val="0B4D26D5"/>
    <w:rsid w:val="0B5429C3"/>
    <w:rsid w:val="0B55319B"/>
    <w:rsid w:val="0B5A6F13"/>
    <w:rsid w:val="0B5B6BF7"/>
    <w:rsid w:val="0B5E55C2"/>
    <w:rsid w:val="0B6508DD"/>
    <w:rsid w:val="0B6B57C1"/>
    <w:rsid w:val="0B7038F5"/>
    <w:rsid w:val="0B807716"/>
    <w:rsid w:val="0B882A1C"/>
    <w:rsid w:val="0B8968D6"/>
    <w:rsid w:val="0B900F2D"/>
    <w:rsid w:val="0B9A6772"/>
    <w:rsid w:val="0B9E4F02"/>
    <w:rsid w:val="0BB639FC"/>
    <w:rsid w:val="0BC33D3F"/>
    <w:rsid w:val="0BC5002C"/>
    <w:rsid w:val="0BC55D2E"/>
    <w:rsid w:val="0BCC3586"/>
    <w:rsid w:val="0BD16F41"/>
    <w:rsid w:val="0BDA6FC5"/>
    <w:rsid w:val="0BEB23E9"/>
    <w:rsid w:val="0BF028EF"/>
    <w:rsid w:val="0BFB3D56"/>
    <w:rsid w:val="0BFB51FA"/>
    <w:rsid w:val="0C0221B0"/>
    <w:rsid w:val="0C136300"/>
    <w:rsid w:val="0C1D5F22"/>
    <w:rsid w:val="0C376B9D"/>
    <w:rsid w:val="0C411665"/>
    <w:rsid w:val="0C5724C2"/>
    <w:rsid w:val="0C5A130E"/>
    <w:rsid w:val="0C5C4CF8"/>
    <w:rsid w:val="0C5E2B48"/>
    <w:rsid w:val="0C6271FD"/>
    <w:rsid w:val="0C67691E"/>
    <w:rsid w:val="0C6A3700"/>
    <w:rsid w:val="0C732A68"/>
    <w:rsid w:val="0C7C6E56"/>
    <w:rsid w:val="0C7F75C0"/>
    <w:rsid w:val="0C81228B"/>
    <w:rsid w:val="0C82391C"/>
    <w:rsid w:val="0C84704C"/>
    <w:rsid w:val="0C847473"/>
    <w:rsid w:val="0C85340A"/>
    <w:rsid w:val="0C8C3B77"/>
    <w:rsid w:val="0C8E5432"/>
    <w:rsid w:val="0C95795F"/>
    <w:rsid w:val="0C982C51"/>
    <w:rsid w:val="0C9A7712"/>
    <w:rsid w:val="0C9B463B"/>
    <w:rsid w:val="0CA008B8"/>
    <w:rsid w:val="0CA01137"/>
    <w:rsid w:val="0CA93D98"/>
    <w:rsid w:val="0CAF044F"/>
    <w:rsid w:val="0CB502BA"/>
    <w:rsid w:val="0CB87A8C"/>
    <w:rsid w:val="0CC14287"/>
    <w:rsid w:val="0CC43CC6"/>
    <w:rsid w:val="0CC5029D"/>
    <w:rsid w:val="0CD535FE"/>
    <w:rsid w:val="0CD908EB"/>
    <w:rsid w:val="0CE45454"/>
    <w:rsid w:val="0CE71CF1"/>
    <w:rsid w:val="0CE73BA1"/>
    <w:rsid w:val="0CE90B7D"/>
    <w:rsid w:val="0CE91C12"/>
    <w:rsid w:val="0CF00141"/>
    <w:rsid w:val="0D072C40"/>
    <w:rsid w:val="0D086DB1"/>
    <w:rsid w:val="0D1409AA"/>
    <w:rsid w:val="0D145E31"/>
    <w:rsid w:val="0D267CC1"/>
    <w:rsid w:val="0D3C0ACB"/>
    <w:rsid w:val="0D44024B"/>
    <w:rsid w:val="0D451CF2"/>
    <w:rsid w:val="0D452452"/>
    <w:rsid w:val="0D484F68"/>
    <w:rsid w:val="0D497643"/>
    <w:rsid w:val="0D4D65F8"/>
    <w:rsid w:val="0D4E728F"/>
    <w:rsid w:val="0D5020E8"/>
    <w:rsid w:val="0D5F10A9"/>
    <w:rsid w:val="0D613D18"/>
    <w:rsid w:val="0D723183"/>
    <w:rsid w:val="0D731E92"/>
    <w:rsid w:val="0D74571C"/>
    <w:rsid w:val="0D7F4AC8"/>
    <w:rsid w:val="0D8E0E3B"/>
    <w:rsid w:val="0D927A7C"/>
    <w:rsid w:val="0D947543"/>
    <w:rsid w:val="0D9B3844"/>
    <w:rsid w:val="0D9D5DCC"/>
    <w:rsid w:val="0DA26DBE"/>
    <w:rsid w:val="0DA34B9E"/>
    <w:rsid w:val="0DA45ACF"/>
    <w:rsid w:val="0DA62C36"/>
    <w:rsid w:val="0DB5152A"/>
    <w:rsid w:val="0DBC28A0"/>
    <w:rsid w:val="0DBE4675"/>
    <w:rsid w:val="0DC061AE"/>
    <w:rsid w:val="0DCF0F43"/>
    <w:rsid w:val="0DD2118D"/>
    <w:rsid w:val="0DD433BA"/>
    <w:rsid w:val="0DD57918"/>
    <w:rsid w:val="0DD758EB"/>
    <w:rsid w:val="0DE767D9"/>
    <w:rsid w:val="0DEC40E2"/>
    <w:rsid w:val="0DF60CE2"/>
    <w:rsid w:val="0DF61776"/>
    <w:rsid w:val="0DFF5BF1"/>
    <w:rsid w:val="0E054689"/>
    <w:rsid w:val="0E066532"/>
    <w:rsid w:val="0E15253A"/>
    <w:rsid w:val="0E1E052D"/>
    <w:rsid w:val="0E2218DF"/>
    <w:rsid w:val="0E272FBA"/>
    <w:rsid w:val="0E2B2714"/>
    <w:rsid w:val="0E2D7488"/>
    <w:rsid w:val="0E374E31"/>
    <w:rsid w:val="0E3E2134"/>
    <w:rsid w:val="0E4A5F3D"/>
    <w:rsid w:val="0E542BE6"/>
    <w:rsid w:val="0E5F4D9B"/>
    <w:rsid w:val="0E657F2F"/>
    <w:rsid w:val="0E6F0423"/>
    <w:rsid w:val="0E736FFC"/>
    <w:rsid w:val="0E7B5815"/>
    <w:rsid w:val="0E7E3D57"/>
    <w:rsid w:val="0E87253C"/>
    <w:rsid w:val="0E93154A"/>
    <w:rsid w:val="0E981B86"/>
    <w:rsid w:val="0EB15B7E"/>
    <w:rsid w:val="0EB35B52"/>
    <w:rsid w:val="0EB61F84"/>
    <w:rsid w:val="0EC64664"/>
    <w:rsid w:val="0ECB0807"/>
    <w:rsid w:val="0ECD30C2"/>
    <w:rsid w:val="0EEE3BC5"/>
    <w:rsid w:val="0EF053FB"/>
    <w:rsid w:val="0EF2447B"/>
    <w:rsid w:val="0EFF558B"/>
    <w:rsid w:val="0F0C05B1"/>
    <w:rsid w:val="0F115C94"/>
    <w:rsid w:val="0F14661A"/>
    <w:rsid w:val="0F1825CE"/>
    <w:rsid w:val="0F187782"/>
    <w:rsid w:val="0F1A772D"/>
    <w:rsid w:val="0F1E6430"/>
    <w:rsid w:val="0F2B1A02"/>
    <w:rsid w:val="0F2B2E1E"/>
    <w:rsid w:val="0F367161"/>
    <w:rsid w:val="0F382BF8"/>
    <w:rsid w:val="0F3B2423"/>
    <w:rsid w:val="0F42089E"/>
    <w:rsid w:val="0F447F3C"/>
    <w:rsid w:val="0F565940"/>
    <w:rsid w:val="0F6E4FDC"/>
    <w:rsid w:val="0F732680"/>
    <w:rsid w:val="0F76580E"/>
    <w:rsid w:val="0F800976"/>
    <w:rsid w:val="0F8A1140"/>
    <w:rsid w:val="0F8A323A"/>
    <w:rsid w:val="0F8F2EE1"/>
    <w:rsid w:val="0F9A43E6"/>
    <w:rsid w:val="0FAE6BF8"/>
    <w:rsid w:val="0FAF6A79"/>
    <w:rsid w:val="0FB515F1"/>
    <w:rsid w:val="0FBE42E8"/>
    <w:rsid w:val="0FC23756"/>
    <w:rsid w:val="0FC36CC3"/>
    <w:rsid w:val="0FC64871"/>
    <w:rsid w:val="0FD01DAF"/>
    <w:rsid w:val="0FD1231B"/>
    <w:rsid w:val="0FD72FDA"/>
    <w:rsid w:val="0FD96036"/>
    <w:rsid w:val="0FE421D8"/>
    <w:rsid w:val="0FFC63EA"/>
    <w:rsid w:val="10041A68"/>
    <w:rsid w:val="100E286E"/>
    <w:rsid w:val="10110F72"/>
    <w:rsid w:val="1017121C"/>
    <w:rsid w:val="101D4F94"/>
    <w:rsid w:val="10214A9B"/>
    <w:rsid w:val="10266ABF"/>
    <w:rsid w:val="10301CCC"/>
    <w:rsid w:val="10322E66"/>
    <w:rsid w:val="103444D3"/>
    <w:rsid w:val="10352A59"/>
    <w:rsid w:val="10396392"/>
    <w:rsid w:val="103C1D05"/>
    <w:rsid w:val="103F5E51"/>
    <w:rsid w:val="10402083"/>
    <w:rsid w:val="10433959"/>
    <w:rsid w:val="104C0003"/>
    <w:rsid w:val="10616A57"/>
    <w:rsid w:val="108475B7"/>
    <w:rsid w:val="10873250"/>
    <w:rsid w:val="108E77B6"/>
    <w:rsid w:val="10915DD2"/>
    <w:rsid w:val="10995B5F"/>
    <w:rsid w:val="109A47D0"/>
    <w:rsid w:val="109E65A9"/>
    <w:rsid w:val="10A54745"/>
    <w:rsid w:val="10AD13E0"/>
    <w:rsid w:val="10C4268B"/>
    <w:rsid w:val="10C51B47"/>
    <w:rsid w:val="10CC42CC"/>
    <w:rsid w:val="10DB56D1"/>
    <w:rsid w:val="10DD3770"/>
    <w:rsid w:val="10DF0D3B"/>
    <w:rsid w:val="10E65A02"/>
    <w:rsid w:val="10E765C4"/>
    <w:rsid w:val="10ED20BB"/>
    <w:rsid w:val="10F218F2"/>
    <w:rsid w:val="10F34812"/>
    <w:rsid w:val="10F60A32"/>
    <w:rsid w:val="11047182"/>
    <w:rsid w:val="11091FDA"/>
    <w:rsid w:val="11092782"/>
    <w:rsid w:val="110A4EDF"/>
    <w:rsid w:val="11160AC9"/>
    <w:rsid w:val="111D15C0"/>
    <w:rsid w:val="112D0CEE"/>
    <w:rsid w:val="11304E0A"/>
    <w:rsid w:val="11322E93"/>
    <w:rsid w:val="11370C6A"/>
    <w:rsid w:val="113E19F6"/>
    <w:rsid w:val="113F6971"/>
    <w:rsid w:val="11432768"/>
    <w:rsid w:val="11445308"/>
    <w:rsid w:val="11551BA2"/>
    <w:rsid w:val="11776C75"/>
    <w:rsid w:val="117F6667"/>
    <w:rsid w:val="11887848"/>
    <w:rsid w:val="118A66A5"/>
    <w:rsid w:val="118B3629"/>
    <w:rsid w:val="118D6D46"/>
    <w:rsid w:val="1196028D"/>
    <w:rsid w:val="119835D6"/>
    <w:rsid w:val="119F5264"/>
    <w:rsid w:val="11A7533F"/>
    <w:rsid w:val="11B502A5"/>
    <w:rsid w:val="11B6307E"/>
    <w:rsid w:val="11C002AC"/>
    <w:rsid w:val="11C10566"/>
    <w:rsid w:val="11C6133D"/>
    <w:rsid w:val="11C82818"/>
    <w:rsid w:val="11CD21FA"/>
    <w:rsid w:val="11D6451E"/>
    <w:rsid w:val="11E00D3B"/>
    <w:rsid w:val="11E81C11"/>
    <w:rsid w:val="11ED0B73"/>
    <w:rsid w:val="11F45CD9"/>
    <w:rsid w:val="120241CC"/>
    <w:rsid w:val="120B2133"/>
    <w:rsid w:val="121C1FD4"/>
    <w:rsid w:val="121C574E"/>
    <w:rsid w:val="121F2D18"/>
    <w:rsid w:val="12247418"/>
    <w:rsid w:val="122C3E80"/>
    <w:rsid w:val="122D444B"/>
    <w:rsid w:val="12412E91"/>
    <w:rsid w:val="12431A68"/>
    <w:rsid w:val="124745F0"/>
    <w:rsid w:val="124D008C"/>
    <w:rsid w:val="1250182D"/>
    <w:rsid w:val="1256790E"/>
    <w:rsid w:val="127908DE"/>
    <w:rsid w:val="12796A51"/>
    <w:rsid w:val="127B229C"/>
    <w:rsid w:val="12873A09"/>
    <w:rsid w:val="12891455"/>
    <w:rsid w:val="128A5F6B"/>
    <w:rsid w:val="128F6BE1"/>
    <w:rsid w:val="12905917"/>
    <w:rsid w:val="129F752C"/>
    <w:rsid w:val="12A021D4"/>
    <w:rsid w:val="12A02384"/>
    <w:rsid w:val="12A0623C"/>
    <w:rsid w:val="12A240B1"/>
    <w:rsid w:val="12A41D02"/>
    <w:rsid w:val="12A4486D"/>
    <w:rsid w:val="12A625E7"/>
    <w:rsid w:val="12AC3D07"/>
    <w:rsid w:val="12B12F0E"/>
    <w:rsid w:val="12BC1AFF"/>
    <w:rsid w:val="12C007AB"/>
    <w:rsid w:val="12C51D74"/>
    <w:rsid w:val="12C65F3A"/>
    <w:rsid w:val="12E5033B"/>
    <w:rsid w:val="12E63402"/>
    <w:rsid w:val="12F3476D"/>
    <w:rsid w:val="12F510D2"/>
    <w:rsid w:val="12F750B1"/>
    <w:rsid w:val="12FE25D2"/>
    <w:rsid w:val="13053015"/>
    <w:rsid w:val="130937CA"/>
    <w:rsid w:val="130C69D5"/>
    <w:rsid w:val="130D08F4"/>
    <w:rsid w:val="13170A8A"/>
    <w:rsid w:val="1317154B"/>
    <w:rsid w:val="13182D52"/>
    <w:rsid w:val="131D231F"/>
    <w:rsid w:val="1323275A"/>
    <w:rsid w:val="1326649A"/>
    <w:rsid w:val="13271403"/>
    <w:rsid w:val="132B255B"/>
    <w:rsid w:val="13382F8D"/>
    <w:rsid w:val="13383AFE"/>
    <w:rsid w:val="134242C3"/>
    <w:rsid w:val="13434FC8"/>
    <w:rsid w:val="1347363B"/>
    <w:rsid w:val="13473863"/>
    <w:rsid w:val="13475460"/>
    <w:rsid w:val="134D6163"/>
    <w:rsid w:val="13527A51"/>
    <w:rsid w:val="135B67F9"/>
    <w:rsid w:val="135F0038"/>
    <w:rsid w:val="13644554"/>
    <w:rsid w:val="136D63F1"/>
    <w:rsid w:val="13726277"/>
    <w:rsid w:val="13730502"/>
    <w:rsid w:val="137830F5"/>
    <w:rsid w:val="137D4341"/>
    <w:rsid w:val="1388309B"/>
    <w:rsid w:val="138D4D9F"/>
    <w:rsid w:val="138D61D0"/>
    <w:rsid w:val="139B09D7"/>
    <w:rsid w:val="13A02124"/>
    <w:rsid w:val="13A742C0"/>
    <w:rsid w:val="13A74EC1"/>
    <w:rsid w:val="13AA046C"/>
    <w:rsid w:val="13AB3B7D"/>
    <w:rsid w:val="13AD3DF5"/>
    <w:rsid w:val="13B60703"/>
    <w:rsid w:val="13B80FE1"/>
    <w:rsid w:val="13BB2F48"/>
    <w:rsid w:val="13D64A14"/>
    <w:rsid w:val="13DA214E"/>
    <w:rsid w:val="13E77870"/>
    <w:rsid w:val="13EB1A67"/>
    <w:rsid w:val="13F246EB"/>
    <w:rsid w:val="13F51F75"/>
    <w:rsid w:val="14024CF7"/>
    <w:rsid w:val="140C11DB"/>
    <w:rsid w:val="140E3EE9"/>
    <w:rsid w:val="14142ACB"/>
    <w:rsid w:val="14142FD6"/>
    <w:rsid w:val="142577AF"/>
    <w:rsid w:val="142B3FDF"/>
    <w:rsid w:val="142B7528"/>
    <w:rsid w:val="14321E1F"/>
    <w:rsid w:val="143A0226"/>
    <w:rsid w:val="143F5378"/>
    <w:rsid w:val="14410493"/>
    <w:rsid w:val="14444DAA"/>
    <w:rsid w:val="144E157F"/>
    <w:rsid w:val="14646DC3"/>
    <w:rsid w:val="146F64AE"/>
    <w:rsid w:val="14736E3D"/>
    <w:rsid w:val="14783434"/>
    <w:rsid w:val="147F3BFC"/>
    <w:rsid w:val="14805B02"/>
    <w:rsid w:val="14975490"/>
    <w:rsid w:val="14A277C7"/>
    <w:rsid w:val="14B0562E"/>
    <w:rsid w:val="14B92052"/>
    <w:rsid w:val="14BA55C2"/>
    <w:rsid w:val="14BE36BB"/>
    <w:rsid w:val="14BE609A"/>
    <w:rsid w:val="14BF130C"/>
    <w:rsid w:val="14C43669"/>
    <w:rsid w:val="14CB278B"/>
    <w:rsid w:val="14CD16B0"/>
    <w:rsid w:val="14CE1448"/>
    <w:rsid w:val="14CE3B12"/>
    <w:rsid w:val="14D13243"/>
    <w:rsid w:val="14D85538"/>
    <w:rsid w:val="14D85BE3"/>
    <w:rsid w:val="14DB2E34"/>
    <w:rsid w:val="14DF7426"/>
    <w:rsid w:val="14EE7200"/>
    <w:rsid w:val="14EF4905"/>
    <w:rsid w:val="14F510D5"/>
    <w:rsid w:val="14FB3DFF"/>
    <w:rsid w:val="14FC1022"/>
    <w:rsid w:val="14FE2971"/>
    <w:rsid w:val="1502257D"/>
    <w:rsid w:val="150D75A7"/>
    <w:rsid w:val="15122C76"/>
    <w:rsid w:val="15154CE1"/>
    <w:rsid w:val="15162F63"/>
    <w:rsid w:val="15166140"/>
    <w:rsid w:val="151A6DF8"/>
    <w:rsid w:val="151B34E5"/>
    <w:rsid w:val="151C7D64"/>
    <w:rsid w:val="152371C8"/>
    <w:rsid w:val="152C3146"/>
    <w:rsid w:val="1531585C"/>
    <w:rsid w:val="15346B09"/>
    <w:rsid w:val="153513E3"/>
    <w:rsid w:val="1536564C"/>
    <w:rsid w:val="15367D78"/>
    <w:rsid w:val="15386D7C"/>
    <w:rsid w:val="154064F6"/>
    <w:rsid w:val="1551263A"/>
    <w:rsid w:val="15553679"/>
    <w:rsid w:val="15597E17"/>
    <w:rsid w:val="155D1F6F"/>
    <w:rsid w:val="156069EA"/>
    <w:rsid w:val="15644B35"/>
    <w:rsid w:val="15685B3C"/>
    <w:rsid w:val="15734F4D"/>
    <w:rsid w:val="15766CE2"/>
    <w:rsid w:val="1577607A"/>
    <w:rsid w:val="1581029C"/>
    <w:rsid w:val="15810B04"/>
    <w:rsid w:val="1587445C"/>
    <w:rsid w:val="158B2F30"/>
    <w:rsid w:val="158C12F3"/>
    <w:rsid w:val="15937F09"/>
    <w:rsid w:val="159B446E"/>
    <w:rsid w:val="159D5F80"/>
    <w:rsid w:val="15A06933"/>
    <w:rsid w:val="15A30656"/>
    <w:rsid w:val="15A42C52"/>
    <w:rsid w:val="15A63FC8"/>
    <w:rsid w:val="15AE4C6D"/>
    <w:rsid w:val="15C00962"/>
    <w:rsid w:val="15C41A36"/>
    <w:rsid w:val="15CA7367"/>
    <w:rsid w:val="15D127E0"/>
    <w:rsid w:val="15D556FF"/>
    <w:rsid w:val="15E004F9"/>
    <w:rsid w:val="15F22001"/>
    <w:rsid w:val="15F43EC0"/>
    <w:rsid w:val="15F61E87"/>
    <w:rsid w:val="15FC2382"/>
    <w:rsid w:val="16010973"/>
    <w:rsid w:val="160329CA"/>
    <w:rsid w:val="16121FDB"/>
    <w:rsid w:val="161752BE"/>
    <w:rsid w:val="16177ACE"/>
    <w:rsid w:val="16181616"/>
    <w:rsid w:val="161B2936"/>
    <w:rsid w:val="16215E6F"/>
    <w:rsid w:val="162160A3"/>
    <w:rsid w:val="162246AE"/>
    <w:rsid w:val="16226475"/>
    <w:rsid w:val="16291735"/>
    <w:rsid w:val="16327E1F"/>
    <w:rsid w:val="163533E7"/>
    <w:rsid w:val="16366BF4"/>
    <w:rsid w:val="1638522F"/>
    <w:rsid w:val="16392049"/>
    <w:rsid w:val="163F7EF2"/>
    <w:rsid w:val="16485050"/>
    <w:rsid w:val="164D1ACD"/>
    <w:rsid w:val="164D6A08"/>
    <w:rsid w:val="165203F1"/>
    <w:rsid w:val="16526637"/>
    <w:rsid w:val="16536BC9"/>
    <w:rsid w:val="165B60CE"/>
    <w:rsid w:val="166221ED"/>
    <w:rsid w:val="1663761D"/>
    <w:rsid w:val="16660F3A"/>
    <w:rsid w:val="16686DEB"/>
    <w:rsid w:val="166A0727"/>
    <w:rsid w:val="166A57AF"/>
    <w:rsid w:val="166C4046"/>
    <w:rsid w:val="166D11F1"/>
    <w:rsid w:val="167317FF"/>
    <w:rsid w:val="16756C2F"/>
    <w:rsid w:val="168A4F00"/>
    <w:rsid w:val="168B02B1"/>
    <w:rsid w:val="1690616B"/>
    <w:rsid w:val="169B4D84"/>
    <w:rsid w:val="169B6CB5"/>
    <w:rsid w:val="169C381D"/>
    <w:rsid w:val="169C57DF"/>
    <w:rsid w:val="16AC02F7"/>
    <w:rsid w:val="16B14CCF"/>
    <w:rsid w:val="16B7342E"/>
    <w:rsid w:val="16BF1550"/>
    <w:rsid w:val="16C32B7F"/>
    <w:rsid w:val="16C41AFF"/>
    <w:rsid w:val="16C71627"/>
    <w:rsid w:val="16C724CD"/>
    <w:rsid w:val="16D51ECB"/>
    <w:rsid w:val="16E75B73"/>
    <w:rsid w:val="16F62265"/>
    <w:rsid w:val="16F818E2"/>
    <w:rsid w:val="16F93DF3"/>
    <w:rsid w:val="16FB104D"/>
    <w:rsid w:val="16FE1447"/>
    <w:rsid w:val="17073839"/>
    <w:rsid w:val="170C7EBF"/>
    <w:rsid w:val="170E771F"/>
    <w:rsid w:val="171268E1"/>
    <w:rsid w:val="1717391A"/>
    <w:rsid w:val="171A50B9"/>
    <w:rsid w:val="171D5C7F"/>
    <w:rsid w:val="172109EF"/>
    <w:rsid w:val="17271087"/>
    <w:rsid w:val="17287294"/>
    <w:rsid w:val="17287C95"/>
    <w:rsid w:val="172B5831"/>
    <w:rsid w:val="17376C71"/>
    <w:rsid w:val="173B68E7"/>
    <w:rsid w:val="17400A62"/>
    <w:rsid w:val="17424CC3"/>
    <w:rsid w:val="17435C3D"/>
    <w:rsid w:val="17441E4E"/>
    <w:rsid w:val="17485746"/>
    <w:rsid w:val="17581E57"/>
    <w:rsid w:val="175910B8"/>
    <w:rsid w:val="175B6263"/>
    <w:rsid w:val="175E705D"/>
    <w:rsid w:val="17642B3B"/>
    <w:rsid w:val="17713636"/>
    <w:rsid w:val="17762DDE"/>
    <w:rsid w:val="177B1838"/>
    <w:rsid w:val="17843B40"/>
    <w:rsid w:val="17893B70"/>
    <w:rsid w:val="178C490D"/>
    <w:rsid w:val="179917E0"/>
    <w:rsid w:val="17AF2B05"/>
    <w:rsid w:val="17B70B1C"/>
    <w:rsid w:val="17BC2905"/>
    <w:rsid w:val="17BD68E8"/>
    <w:rsid w:val="17C13D82"/>
    <w:rsid w:val="17C96BC1"/>
    <w:rsid w:val="17CA5765"/>
    <w:rsid w:val="17CB474F"/>
    <w:rsid w:val="17CD3B0D"/>
    <w:rsid w:val="17D44F9C"/>
    <w:rsid w:val="17D842C3"/>
    <w:rsid w:val="17DF30F2"/>
    <w:rsid w:val="17EB0152"/>
    <w:rsid w:val="17F15D42"/>
    <w:rsid w:val="17F41E63"/>
    <w:rsid w:val="17F43359"/>
    <w:rsid w:val="17F43862"/>
    <w:rsid w:val="17F82872"/>
    <w:rsid w:val="17FE28B6"/>
    <w:rsid w:val="180325D4"/>
    <w:rsid w:val="180A21E8"/>
    <w:rsid w:val="18163697"/>
    <w:rsid w:val="181C120B"/>
    <w:rsid w:val="182217D4"/>
    <w:rsid w:val="18261E07"/>
    <w:rsid w:val="183D7238"/>
    <w:rsid w:val="18410996"/>
    <w:rsid w:val="18470D81"/>
    <w:rsid w:val="184848E8"/>
    <w:rsid w:val="1850260D"/>
    <w:rsid w:val="185F223A"/>
    <w:rsid w:val="186744A5"/>
    <w:rsid w:val="187270E0"/>
    <w:rsid w:val="187B1D00"/>
    <w:rsid w:val="18844D8B"/>
    <w:rsid w:val="1889314B"/>
    <w:rsid w:val="188B40FB"/>
    <w:rsid w:val="188B5513"/>
    <w:rsid w:val="18910DB5"/>
    <w:rsid w:val="18914742"/>
    <w:rsid w:val="189C4136"/>
    <w:rsid w:val="189D46FA"/>
    <w:rsid w:val="189F4384"/>
    <w:rsid w:val="18A33A60"/>
    <w:rsid w:val="18A46B86"/>
    <w:rsid w:val="18B856D7"/>
    <w:rsid w:val="18BF4A12"/>
    <w:rsid w:val="18C35228"/>
    <w:rsid w:val="18C50479"/>
    <w:rsid w:val="18E076DA"/>
    <w:rsid w:val="18E83B37"/>
    <w:rsid w:val="18EF7891"/>
    <w:rsid w:val="18F53AF0"/>
    <w:rsid w:val="1903156F"/>
    <w:rsid w:val="19093A08"/>
    <w:rsid w:val="190D3863"/>
    <w:rsid w:val="19225477"/>
    <w:rsid w:val="192348F7"/>
    <w:rsid w:val="1925510E"/>
    <w:rsid w:val="19262D20"/>
    <w:rsid w:val="19272691"/>
    <w:rsid w:val="192B1F9A"/>
    <w:rsid w:val="19353DD2"/>
    <w:rsid w:val="193E7A58"/>
    <w:rsid w:val="194A1C6F"/>
    <w:rsid w:val="195B763F"/>
    <w:rsid w:val="19600C29"/>
    <w:rsid w:val="19613CA5"/>
    <w:rsid w:val="19642AFF"/>
    <w:rsid w:val="19676146"/>
    <w:rsid w:val="19691E6F"/>
    <w:rsid w:val="196C2D55"/>
    <w:rsid w:val="19745D23"/>
    <w:rsid w:val="19883823"/>
    <w:rsid w:val="19906C59"/>
    <w:rsid w:val="19994F85"/>
    <w:rsid w:val="19A707FF"/>
    <w:rsid w:val="19AF28C5"/>
    <w:rsid w:val="19C13959"/>
    <w:rsid w:val="19D201D4"/>
    <w:rsid w:val="19D54780"/>
    <w:rsid w:val="19D7590E"/>
    <w:rsid w:val="19DA4A50"/>
    <w:rsid w:val="19DA732E"/>
    <w:rsid w:val="19DC10E7"/>
    <w:rsid w:val="19E23981"/>
    <w:rsid w:val="1A033033"/>
    <w:rsid w:val="1A034649"/>
    <w:rsid w:val="1A084E9B"/>
    <w:rsid w:val="1A0C7AB0"/>
    <w:rsid w:val="1A0D3210"/>
    <w:rsid w:val="1A1C2410"/>
    <w:rsid w:val="1A20575E"/>
    <w:rsid w:val="1A222D4B"/>
    <w:rsid w:val="1A227C18"/>
    <w:rsid w:val="1A2451BE"/>
    <w:rsid w:val="1A281CA2"/>
    <w:rsid w:val="1A2C54F5"/>
    <w:rsid w:val="1A3C722E"/>
    <w:rsid w:val="1A45379D"/>
    <w:rsid w:val="1A472A61"/>
    <w:rsid w:val="1A567AF7"/>
    <w:rsid w:val="1A5E0A57"/>
    <w:rsid w:val="1A5E4B92"/>
    <w:rsid w:val="1A62111C"/>
    <w:rsid w:val="1A6F4BDB"/>
    <w:rsid w:val="1A7F5DB2"/>
    <w:rsid w:val="1A895B6C"/>
    <w:rsid w:val="1A8B2023"/>
    <w:rsid w:val="1A8B7DE9"/>
    <w:rsid w:val="1A97226F"/>
    <w:rsid w:val="1A9972CF"/>
    <w:rsid w:val="1A9A698F"/>
    <w:rsid w:val="1A9E3C0E"/>
    <w:rsid w:val="1AA078D3"/>
    <w:rsid w:val="1AAB3DA7"/>
    <w:rsid w:val="1AAB4B24"/>
    <w:rsid w:val="1AB42C83"/>
    <w:rsid w:val="1AB6247A"/>
    <w:rsid w:val="1AB94352"/>
    <w:rsid w:val="1AB95979"/>
    <w:rsid w:val="1ABF030E"/>
    <w:rsid w:val="1ACE10B7"/>
    <w:rsid w:val="1AE35E9E"/>
    <w:rsid w:val="1AEF19A1"/>
    <w:rsid w:val="1AF12926"/>
    <w:rsid w:val="1AF21F54"/>
    <w:rsid w:val="1AFB5500"/>
    <w:rsid w:val="1B0B2E25"/>
    <w:rsid w:val="1B0D2098"/>
    <w:rsid w:val="1B0E7B27"/>
    <w:rsid w:val="1B10652B"/>
    <w:rsid w:val="1B12336C"/>
    <w:rsid w:val="1B19773F"/>
    <w:rsid w:val="1B1A19A0"/>
    <w:rsid w:val="1B1F09C4"/>
    <w:rsid w:val="1B38097D"/>
    <w:rsid w:val="1B455622"/>
    <w:rsid w:val="1B5059B2"/>
    <w:rsid w:val="1B61490C"/>
    <w:rsid w:val="1B680069"/>
    <w:rsid w:val="1B6C3A95"/>
    <w:rsid w:val="1B6D5612"/>
    <w:rsid w:val="1B77663C"/>
    <w:rsid w:val="1B791A36"/>
    <w:rsid w:val="1B7D15EF"/>
    <w:rsid w:val="1B8B2111"/>
    <w:rsid w:val="1B956879"/>
    <w:rsid w:val="1BAA636E"/>
    <w:rsid w:val="1BCE2A0B"/>
    <w:rsid w:val="1BCE59BF"/>
    <w:rsid w:val="1BCF60F9"/>
    <w:rsid w:val="1BD15A8D"/>
    <w:rsid w:val="1BD17F38"/>
    <w:rsid w:val="1BDB6643"/>
    <w:rsid w:val="1BEC7681"/>
    <w:rsid w:val="1BED27D2"/>
    <w:rsid w:val="1C041E1A"/>
    <w:rsid w:val="1C1B3BD7"/>
    <w:rsid w:val="1C1D4C47"/>
    <w:rsid w:val="1C1E57D4"/>
    <w:rsid w:val="1C2232A3"/>
    <w:rsid w:val="1C2C1437"/>
    <w:rsid w:val="1C2C42E4"/>
    <w:rsid w:val="1C2D25B3"/>
    <w:rsid w:val="1C30011A"/>
    <w:rsid w:val="1C400B4B"/>
    <w:rsid w:val="1C4162EF"/>
    <w:rsid w:val="1C4935FA"/>
    <w:rsid w:val="1C554D50"/>
    <w:rsid w:val="1C63197D"/>
    <w:rsid w:val="1C710898"/>
    <w:rsid w:val="1C72354E"/>
    <w:rsid w:val="1C783DD5"/>
    <w:rsid w:val="1C7B04A6"/>
    <w:rsid w:val="1C83353D"/>
    <w:rsid w:val="1C87649F"/>
    <w:rsid w:val="1C8C1FF7"/>
    <w:rsid w:val="1C932024"/>
    <w:rsid w:val="1C942D66"/>
    <w:rsid w:val="1C9773C9"/>
    <w:rsid w:val="1CA72607"/>
    <w:rsid w:val="1CA742DB"/>
    <w:rsid w:val="1CA90CBE"/>
    <w:rsid w:val="1CAE19B3"/>
    <w:rsid w:val="1CAE373E"/>
    <w:rsid w:val="1CB12297"/>
    <w:rsid w:val="1CB25367"/>
    <w:rsid w:val="1CB83886"/>
    <w:rsid w:val="1CBC2EA7"/>
    <w:rsid w:val="1CD72468"/>
    <w:rsid w:val="1CE92BC7"/>
    <w:rsid w:val="1CEB1FA4"/>
    <w:rsid w:val="1CEE37F2"/>
    <w:rsid w:val="1CF636B4"/>
    <w:rsid w:val="1CF67D76"/>
    <w:rsid w:val="1CF87360"/>
    <w:rsid w:val="1CF96659"/>
    <w:rsid w:val="1CFD69BF"/>
    <w:rsid w:val="1D00128D"/>
    <w:rsid w:val="1D011EA3"/>
    <w:rsid w:val="1D0A0335"/>
    <w:rsid w:val="1D0F79C4"/>
    <w:rsid w:val="1D152D18"/>
    <w:rsid w:val="1D1A0288"/>
    <w:rsid w:val="1D1A2EF3"/>
    <w:rsid w:val="1D1D0F66"/>
    <w:rsid w:val="1D1E618D"/>
    <w:rsid w:val="1D216FC3"/>
    <w:rsid w:val="1D3509E3"/>
    <w:rsid w:val="1D3520B2"/>
    <w:rsid w:val="1D3A6548"/>
    <w:rsid w:val="1D4D7134"/>
    <w:rsid w:val="1D537ECD"/>
    <w:rsid w:val="1D580599"/>
    <w:rsid w:val="1D6318C5"/>
    <w:rsid w:val="1D73291A"/>
    <w:rsid w:val="1D737860"/>
    <w:rsid w:val="1D740B83"/>
    <w:rsid w:val="1D7424C2"/>
    <w:rsid w:val="1D7468F2"/>
    <w:rsid w:val="1D746D61"/>
    <w:rsid w:val="1D7A2003"/>
    <w:rsid w:val="1D823231"/>
    <w:rsid w:val="1D83026D"/>
    <w:rsid w:val="1D876857"/>
    <w:rsid w:val="1D886C89"/>
    <w:rsid w:val="1D8F682E"/>
    <w:rsid w:val="1D9E7E33"/>
    <w:rsid w:val="1DAC62F5"/>
    <w:rsid w:val="1DAD0DC3"/>
    <w:rsid w:val="1DB247C2"/>
    <w:rsid w:val="1DBA0A13"/>
    <w:rsid w:val="1DBB3283"/>
    <w:rsid w:val="1DC25525"/>
    <w:rsid w:val="1DCB1396"/>
    <w:rsid w:val="1DCD4AA9"/>
    <w:rsid w:val="1DD20CFE"/>
    <w:rsid w:val="1DE75C7C"/>
    <w:rsid w:val="1DEE546A"/>
    <w:rsid w:val="1DEE5F53"/>
    <w:rsid w:val="1DF30300"/>
    <w:rsid w:val="1DFB39EC"/>
    <w:rsid w:val="1DFB595E"/>
    <w:rsid w:val="1DFC61D9"/>
    <w:rsid w:val="1DFE116F"/>
    <w:rsid w:val="1DFF5BB1"/>
    <w:rsid w:val="1E016A77"/>
    <w:rsid w:val="1E0339B3"/>
    <w:rsid w:val="1E0662C2"/>
    <w:rsid w:val="1E0C1D69"/>
    <w:rsid w:val="1E0D1F3C"/>
    <w:rsid w:val="1E121D57"/>
    <w:rsid w:val="1E156EEE"/>
    <w:rsid w:val="1E21439A"/>
    <w:rsid w:val="1E2F7AE2"/>
    <w:rsid w:val="1E3E06B3"/>
    <w:rsid w:val="1E3E16E6"/>
    <w:rsid w:val="1E3F20DE"/>
    <w:rsid w:val="1E410A3C"/>
    <w:rsid w:val="1E521EF9"/>
    <w:rsid w:val="1E53145D"/>
    <w:rsid w:val="1E54216D"/>
    <w:rsid w:val="1E565014"/>
    <w:rsid w:val="1E662A72"/>
    <w:rsid w:val="1E6E6AD8"/>
    <w:rsid w:val="1E79483B"/>
    <w:rsid w:val="1E795C22"/>
    <w:rsid w:val="1E7D0B80"/>
    <w:rsid w:val="1E7E6239"/>
    <w:rsid w:val="1E8423B7"/>
    <w:rsid w:val="1E8A0290"/>
    <w:rsid w:val="1E8B797D"/>
    <w:rsid w:val="1E8D2387"/>
    <w:rsid w:val="1E8E6164"/>
    <w:rsid w:val="1E941247"/>
    <w:rsid w:val="1EA4560C"/>
    <w:rsid w:val="1EC412EA"/>
    <w:rsid w:val="1EC45B28"/>
    <w:rsid w:val="1EC63FC0"/>
    <w:rsid w:val="1ECC5D9C"/>
    <w:rsid w:val="1ED344CE"/>
    <w:rsid w:val="1EDC116C"/>
    <w:rsid w:val="1EDF4547"/>
    <w:rsid w:val="1EE81D94"/>
    <w:rsid w:val="1EF36D7D"/>
    <w:rsid w:val="1EF479C7"/>
    <w:rsid w:val="1EFA44B5"/>
    <w:rsid w:val="1EFB2018"/>
    <w:rsid w:val="1EFD4839"/>
    <w:rsid w:val="1EFD6E71"/>
    <w:rsid w:val="1F0C4D63"/>
    <w:rsid w:val="1F1651D3"/>
    <w:rsid w:val="1F1F5DDB"/>
    <w:rsid w:val="1F204EC8"/>
    <w:rsid w:val="1F2866C3"/>
    <w:rsid w:val="1F3F2B50"/>
    <w:rsid w:val="1F4F6750"/>
    <w:rsid w:val="1F534925"/>
    <w:rsid w:val="1F58167E"/>
    <w:rsid w:val="1F5B1ABA"/>
    <w:rsid w:val="1F627701"/>
    <w:rsid w:val="1F6F3A6A"/>
    <w:rsid w:val="1F7A5D90"/>
    <w:rsid w:val="1F7C00BB"/>
    <w:rsid w:val="1F83423B"/>
    <w:rsid w:val="1F97413A"/>
    <w:rsid w:val="1F9976EF"/>
    <w:rsid w:val="1FA67E51"/>
    <w:rsid w:val="1FAD40E3"/>
    <w:rsid w:val="1FBA42CF"/>
    <w:rsid w:val="1FBEB49B"/>
    <w:rsid w:val="1FC73A0F"/>
    <w:rsid w:val="1FCA35AF"/>
    <w:rsid w:val="1FCA67AB"/>
    <w:rsid w:val="1FD22542"/>
    <w:rsid w:val="1FD601C1"/>
    <w:rsid w:val="1FEB6402"/>
    <w:rsid w:val="20041CD3"/>
    <w:rsid w:val="20042EC1"/>
    <w:rsid w:val="20171B8F"/>
    <w:rsid w:val="2019310B"/>
    <w:rsid w:val="20223440"/>
    <w:rsid w:val="202E1ACF"/>
    <w:rsid w:val="20306E2F"/>
    <w:rsid w:val="20363F0A"/>
    <w:rsid w:val="2038130B"/>
    <w:rsid w:val="20401354"/>
    <w:rsid w:val="206D6682"/>
    <w:rsid w:val="20774AF8"/>
    <w:rsid w:val="20776D38"/>
    <w:rsid w:val="20867C8F"/>
    <w:rsid w:val="20872170"/>
    <w:rsid w:val="208A4691"/>
    <w:rsid w:val="209C0049"/>
    <w:rsid w:val="20A040D2"/>
    <w:rsid w:val="20A261B5"/>
    <w:rsid w:val="20A26218"/>
    <w:rsid w:val="20A46024"/>
    <w:rsid w:val="20A62A22"/>
    <w:rsid w:val="20AA2118"/>
    <w:rsid w:val="20AC2551"/>
    <w:rsid w:val="20B20591"/>
    <w:rsid w:val="20B65344"/>
    <w:rsid w:val="20BE4A96"/>
    <w:rsid w:val="20E118FD"/>
    <w:rsid w:val="20E76943"/>
    <w:rsid w:val="20ED6EA0"/>
    <w:rsid w:val="20EF7E20"/>
    <w:rsid w:val="20F46083"/>
    <w:rsid w:val="20F87251"/>
    <w:rsid w:val="20FB1421"/>
    <w:rsid w:val="20FC4085"/>
    <w:rsid w:val="21034009"/>
    <w:rsid w:val="21090976"/>
    <w:rsid w:val="210A62F9"/>
    <w:rsid w:val="21111086"/>
    <w:rsid w:val="21140266"/>
    <w:rsid w:val="21163E2A"/>
    <w:rsid w:val="21214B9B"/>
    <w:rsid w:val="21225187"/>
    <w:rsid w:val="212472C1"/>
    <w:rsid w:val="212645C3"/>
    <w:rsid w:val="2127147D"/>
    <w:rsid w:val="21355E76"/>
    <w:rsid w:val="213859FC"/>
    <w:rsid w:val="214435D7"/>
    <w:rsid w:val="214461AB"/>
    <w:rsid w:val="215328CB"/>
    <w:rsid w:val="216201A4"/>
    <w:rsid w:val="21704FB8"/>
    <w:rsid w:val="217830AD"/>
    <w:rsid w:val="217E5857"/>
    <w:rsid w:val="218237FD"/>
    <w:rsid w:val="21862497"/>
    <w:rsid w:val="219E230B"/>
    <w:rsid w:val="21A950E4"/>
    <w:rsid w:val="21AF1FEE"/>
    <w:rsid w:val="21AF7A78"/>
    <w:rsid w:val="21B51BC7"/>
    <w:rsid w:val="21B564FD"/>
    <w:rsid w:val="21B96AE7"/>
    <w:rsid w:val="21BB092F"/>
    <w:rsid w:val="21BB7D03"/>
    <w:rsid w:val="21BC617F"/>
    <w:rsid w:val="21DF73A8"/>
    <w:rsid w:val="21E14B5A"/>
    <w:rsid w:val="21E67937"/>
    <w:rsid w:val="21EA0844"/>
    <w:rsid w:val="21EB2796"/>
    <w:rsid w:val="21FC25B1"/>
    <w:rsid w:val="21FC372F"/>
    <w:rsid w:val="22024DC0"/>
    <w:rsid w:val="2204219A"/>
    <w:rsid w:val="220E2455"/>
    <w:rsid w:val="220E7179"/>
    <w:rsid w:val="221376C1"/>
    <w:rsid w:val="221C0454"/>
    <w:rsid w:val="22213A38"/>
    <w:rsid w:val="222479CA"/>
    <w:rsid w:val="22257F4C"/>
    <w:rsid w:val="22261CA6"/>
    <w:rsid w:val="22294F49"/>
    <w:rsid w:val="22320154"/>
    <w:rsid w:val="22353CEB"/>
    <w:rsid w:val="223A2AD8"/>
    <w:rsid w:val="223C34B6"/>
    <w:rsid w:val="22424DE0"/>
    <w:rsid w:val="22451F76"/>
    <w:rsid w:val="22455FCC"/>
    <w:rsid w:val="224602F7"/>
    <w:rsid w:val="22496E3E"/>
    <w:rsid w:val="22513509"/>
    <w:rsid w:val="225557DA"/>
    <w:rsid w:val="225C5A69"/>
    <w:rsid w:val="226A3D5C"/>
    <w:rsid w:val="226B735C"/>
    <w:rsid w:val="226D6B31"/>
    <w:rsid w:val="226F0A4E"/>
    <w:rsid w:val="226F62B9"/>
    <w:rsid w:val="227B6459"/>
    <w:rsid w:val="227B6F04"/>
    <w:rsid w:val="228215C4"/>
    <w:rsid w:val="22822650"/>
    <w:rsid w:val="22873597"/>
    <w:rsid w:val="22960CAF"/>
    <w:rsid w:val="22A41BB7"/>
    <w:rsid w:val="22AA2593"/>
    <w:rsid w:val="22B064CB"/>
    <w:rsid w:val="22B83EA8"/>
    <w:rsid w:val="22B8608A"/>
    <w:rsid w:val="22BB7D90"/>
    <w:rsid w:val="22C6065C"/>
    <w:rsid w:val="22CD32A9"/>
    <w:rsid w:val="22CE21CB"/>
    <w:rsid w:val="22CF41C3"/>
    <w:rsid w:val="22D17A88"/>
    <w:rsid w:val="22D30F4F"/>
    <w:rsid w:val="22D97633"/>
    <w:rsid w:val="22E63777"/>
    <w:rsid w:val="22EF503E"/>
    <w:rsid w:val="22F70A3F"/>
    <w:rsid w:val="22F73A7A"/>
    <w:rsid w:val="23051D71"/>
    <w:rsid w:val="230A6BE4"/>
    <w:rsid w:val="231255AA"/>
    <w:rsid w:val="23236287"/>
    <w:rsid w:val="232C1AE4"/>
    <w:rsid w:val="232D301C"/>
    <w:rsid w:val="23304156"/>
    <w:rsid w:val="23321383"/>
    <w:rsid w:val="233C1B68"/>
    <w:rsid w:val="233E78F0"/>
    <w:rsid w:val="234260C5"/>
    <w:rsid w:val="23496FB2"/>
    <w:rsid w:val="234F55FD"/>
    <w:rsid w:val="235267CF"/>
    <w:rsid w:val="23530E13"/>
    <w:rsid w:val="23563003"/>
    <w:rsid w:val="235B12A5"/>
    <w:rsid w:val="23684A52"/>
    <w:rsid w:val="23704524"/>
    <w:rsid w:val="23730BE8"/>
    <w:rsid w:val="23752469"/>
    <w:rsid w:val="237D026F"/>
    <w:rsid w:val="23867F19"/>
    <w:rsid w:val="239362F2"/>
    <w:rsid w:val="23A1606D"/>
    <w:rsid w:val="23A261BF"/>
    <w:rsid w:val="23AB1E16"/>
    <w:rsid w:val="23B02A3C"/>
    <w:rsid w:val="23B80CC8"/>
    <w:rsid w:val="23BD6E2E"/>
    <w:rsid w:val="23C25868"/>
    <w:rsid w:val="23D04EC3"/>
    <w:rsid w:val="23D239C7"/>
    <w:rsid w:val="23D25CEE"/>
    <w:rsid w:val="23D5262F"/>
    <w:rsid w:val="23D82DF1"/>
    <w:rsid w:val="23DD439B"/>
    <w:rsid w:val="23E22D5C"/>
    <w:rsid w:val="23E44BFD"/>
    <w:rsid w:val="23F1062A"/>
    <w:rsid w:val="23F143D0"/>
    <w:rsid w:val="23FC229A"/>
    <w:rsid w:val="24005886"/>
    <w:rsid w:val="24024243"/>
    <w:rsid w:val="24063B7D"/>
    <w:rsid w:val="24103AC8"/>
    <w:rsid w:val="24192AA2"/>
    <w:rsid w:val="241A3EEB"/>
    <w:rsid w:val="24225643"/>
    <w:rsid w:val="24271505"/>
    <w:rsid w:val="242A2BC9"/>
    <w:rsid w:val="242C2EAA"/>
    <w:rsid w:val="242D72C0"/>
    <w:rsid w:val="24347DA0"/>
    <w:rsid w:val="24412D38"/>
    <w:rsid w:val="24487596"/>
    <w:rsid w:val="244A4FCD"/>
    <w:rsid w:val="24504937"/>
    <w:rsid w:val="24524C3D"/>
    <w:rsid w:val="245B0676"/>
    <w:rsid w:val="245C5DC3"/>
    <w:rsid w:val="24647F4F"/>
    <w:rsid w:val="247A56B7"/>
    <w:rsid w:val="247C729F"/>
    <w:rsid w:val="24860685"/>
    <w:rsid w:val="249128B6"/>
    <w:rsid w:val="24915022"/>
    <w:rsid w:val="24927F7C"/>
    <w:rsid w:val="249A56B9"/>
    <w:rsid w:val="249F5E3D"/>
    <w:rsid w:val="24BF7B92"/>
    <w:rsid w:val="24C23194"/>
    <w:rsid w:val="24C45D87"/>
    <w:rsid w:val="24C61B29"/>
    <w:rsid w:val="24C67C89"/>
    <w:rsid w:val="24CC7D79"/>
    <w:rsid w:val="24CF4094"/>
    <w:rsid w:val="24D35992"/>
    <w:rsid w:val="24DE2D94"/>
    <w:rsid w:val="24E4002A"/>
    <w:rsid w:val="24F02577"/>
    <w:rsid w:val="24F60109"/>
    <w:rsid w:val="24FB74DF"/>
    <w:rsid w:val="25006771"/>
    <w:rsid w:val="25047989"/>
    <w:rsid w:val="250637FF"/>
    <w:rsid w:val="251511B0"/>
    <w:rsid w:val="25226783"/>
    <w:rsid w:val="25237927"/>
    <w:rsid w:val="25255581"/>
    <w:rsid w:val="252A49D2"/>
    <w:rsid w:val="253016D3"/>
    <w:rsid w:val="25344017"/>
    <w:rsid w:val="25391DBE"/>
    <w:rsid w:val="253A5AEC"/>
    <w:rsid w:val="253F3D3F"/>
    <w:rsid w:val="254B2A90"/>
    <w:rsid w:val="256626F4"/>
    <w:rsid w:val="256A14C4"/>
    <w:rsid w:val="257E483F"/>
    <w:rsid w:val="25801EAC"/>
    <w:rsid w:val="258319B6"/>
    <w:rsid w:val="258C3ADE"/>
    <w:rsid w:val="258E410D"/>
    <w:rsid w:val="25911149"/>
    <w:rsid w:val="25936C1C"/>
    <w:rsid w:val="25937FAF"/>
    <w:rsid w:val="25952B38"/>
    <w:rsid w:val="25991FFF"/>
    <w:rsid w:val="25997D97"/>
    <w:rsid w:val="25A633A9"/>
    <w:rsid w:val="25AB6950"/>
    <w:rsid w:val="25AE3D90"/>
    <w:rsid w:val="25AF0A0E"/>
    <w:rsid w:val="25B06E17"/>
    <w:rsid w:val="25B356F8"/>
    <w:rsid w:val="25C30AB8"/>
    <w:rsid w:val="25C43A1F"/>
    <w:rsid w:val="25D019AE"/>
    <w:rsid w:val="25D87700"/>
    <w:rsid w:val="25EB2C6A"/>
    <w:rsid w:val="25EF109C"/>
    <w:rsid w:val="25F32BA6"/>
    <w:rsid w:val="25F624CA"/>
    <w:rsid w:val="25F97D12"/>
    <w:rsid w:val="2608240D"/>
    <w:rsid w:val="260B508D"/>
    <w:rsid w:val="260C3042"/>
    <w:rsid w:val="26196FBD"/>
    <w:rsid w:val="26255256"/>
    <w:rsid w:val="262733E3"/>
    <w:rsid w:val="263110CF"/>
    <w:rsid w:val="26363EDE"/>
    <w:rsid w:val="263918B6"/>
    <w:rsid w:val="263E4B2E"/>
    <w:rsid w:val="26431C9D"/>
    <w:rsid w:val="264B49B7"/>
    <w:rsid w:val="26503628"/>
    <w:rsid w:val="26561E33"/>
    <w:rsid w:val="2656294C"/>
    <w:rsid w:val="265E696D"/>
    <w:rsid w:val="266137F6"/>
    <w:rsid w:val="26621611"/>
    <w:rsid w:val="26642012"/>
    <w:rsid w:val="26663375"/>
    <w:rsid w:val="26694C78"/>
    <w:rsid w:val="266D5554"/>
    <w:rsid w:val="267004C6"/>
    <w:rsid w:val="26721947"/>
    <w:rsid w:val="267721FD"/>
    <w:rsid w:val="26775053"/>
    <w:rsid w:val="26863C1F"/>
    <w:rsid w:val="268D2614"/>
    <w:rsid w:val="2691044C"/>
    <w:rsid w:val="269431EC"/>
    <w:rsid w:val="269E48D1"/>
    <w:rsid w:val="26A53FAF"/>
    <w:rsid w:val="26B276ED"/>
    <w:rsid w:val="26B41EAB"/>
    <w:rsid w:val="26BF1EED"/>
    <w:rsid w:val="26C32FA8"/>
    <w:rsid w:val="26CD3E37"/>
    <w:rsid w:val="26CE5B33"/>
    <w:rsid w:val="26D01026"/>
    <w:rsid w:val="26D116FF"/>
    <w:rsid w:val="26D245D2"/>
    <w:rsid w:val="26D40933"/>
    <w:rsid w:val="26D77AEB"/>
    <w:rsid w:val="26DF1B59"/>
    <w:rsid w:val="26E30100"/>
    <w:rsid w:val="26E92B9A"/>
    <w:rsid w:val="26EC3A40"/>
    <w:rsid w:val="26EC4129"/>
    <w:rsid w:val="26EF6D5C"/>
    <w:rsid w:val="26FB2184"/>
    <w:rsid w:val="27072518"/>
    <w:rsid w:val="270A66A3"/>
    <w:rsid w:val="270C7454"/>
    <w:rsid w:val="270E0E5C"/>
    <w:rsid w:val="27113A91"/>
    <w:rsid w:val="271569F0"/>
    <w:rsid w:val="27214E95"/>
    <w:rsid w:val="272E380C"/>
    <w:rsid w:val="272E72ED"/>
    <w:rsid w:val="273D5BE6"/>
    <w:rsid w:val="273F21BD"/>
    <w:rsid w:val="273F3A77"/>
    <w:rsid w:val="274A1FF8"/>
    <w:rsid w:val="275773E8"/>
    <w:rsid w:val="276324AE"/>
    <w:rsid w:val="27655538"/>
    <w:rsid w:val="27662A78"/>
    <w:rsid w:val="276C5384"/>
    <w:rsid w:val="276E1B15"/>
    <w:rsid w:val="27716DAB"/>
    <w:rsid w:val="27770D64"/>
    <w:rsid w:val="277C1FD8"/>
    <w:rsid w:val="277C317A"/>
    <w:rsid w:val="2788214E"/>
    <w:rsid w:val="278A3397"/>
    <w:rsid w:val="278A4F34"/>
    <w:rsid w:val="2792581D"/>
    <w:rsid w:val="27961113"/>
    <w:rsid w:val="27965B83"/>
    <w:rsid w:val="27972B21"/>
    <w:rsid w:val="279C4EFE"/>
    <w:rsid w:val="27A17A8C"/>
    <w:rsid w:val="27A77228"/>
    <w:rsid w:val="27A81F63"/>
    <w:rsid w:val="27AA11A0"/>
    <w:rsid w:val="27AB1F81"/>
    <w:rsid w:val="27C4580D"/>
    <w:rsid w:val="27CA212F"/>
    <w:rsid w:val="27CC024F"/>
    <w:rsid w:val="27D417C3"/>
    <w:rsid w:val="27DD2883"/>
    <w:rsid w:val="27E21A5F"/>
    <w:rsid w:val="27E65DF7"/>
    <w:rsid w:val="27E72D97"/>
    <w:rsid w:val="27EA610E"/>
    <w:rsid w:val="27F217F5"/>
    <w:rsid w:val="27F4226E"/>
    <w:rsid w:val="27FF6E5C"/>
    <w:rsid w:val="28006F68"/>
    <w:rsid w:val="28021CB2"/>
    <w:rsid w:val="28051DA9"/>
    <w:rsid w:val="28056708"/>
    <w:rsid w:val="280A38B7"/>
    <w:rsid w:val="2814570E"/>
    <w:rsid w:val="28190237"/>
    <w:rsid w:val="28281479"/>
    <w:rsid w:val="2835591A"/>
    <w:rsid w:val="283703C7"/>
    <w:rsid w:val="28374D14"/>
    <w:rsid w:val="283806A0"/>
    <w:rsid w:val="283B48D2"/>
    <w:rsid w:val="283C00F3"/>
    <w:rsid w:val="2841679B"/>
    <w:rsid w:val="284A7C88"/>
    <w:rsid w:val="284B0B72"/>
    <w:rsid w:val="285E13B1"/>
    <w:rsid w:val="28627132"/>
    <w:rsid w:val="286B5BF5"/>
    <w:rsid w:val="28757D8E"/>
    <w:rsid w:val="2877267A"/>
    <w:rsid w:val="287F6CA0"/>
    <w:rsid w:val="288E178F"/>
    <w:rsid w:val="28995DA5"/>
    <w:rsid w:val="28A07D03"/>
    <w:rsid w:val="28A76CE7"/>
    <w:rsid w:val="28C039B4"/>
    <w:rsid w:val="28C35B96"/>
    <w:rsid w:val="28DD32E7"/>
    <w:rsid w:val="29117D15"/>
    <w:rsid w:val="29152B2E"/>
    <w:rsid w:val="2919405D"/>
    <w:rsid w:val="291C02C1"/>
    <w:rsid w:val="291D18C5"/>
    <w:rsid w:val="29241871"/>
    <w:rsid w:val="29255DAF"/>
    <w:rsid w:val="29297C21"/>
    <w:rsid w:val="292B5E9B"/>
    <w:rsid w:val="2931567B"/>
    <w:rsid w:val="29321C20"/>
    <w:rsid w:val="293A6CD3"/>
    <w:rsid w:val="294237C9"/>
    <w:rsid w:val="294A43C7"/>
    <w:rsid w:val="2951008A"/>
    <w:rsid w:val="295A2F9C"/>
    <w:rsid w:val="296E65D1"/>
    <w:rsid w:val="297039DE"/>
    <w:rsid w:val="29713728"/>
    <w:rsid w:val="29722307"/>
    <w:rsid w:val="2972328C"/>
    <w:rsid w:val="29725426"/>
    <w:rsid w:val="29737B13"/>
    <w:rsid w:val="29760494"/>
    <w:rsid w:val="297936DB"/>
    <w:rsid w:val="297F28DA"/>
    <w:rsid w:val="2981079A"/>
    <w:rsid w:val="29834F6D"/>
    <w:rsid w:val="298A6312"/>
    <w:rsid w:val="299B7DAB"/>
    <w:rsid w:val="29A674D5"/>
    <w:rsid w:val="29A738C2"/>
    <w:rsid w:val="29A92B50"/>
    <w:rsid w:val="29AA69E0"/>
    <w:rsid w:val="29AA6DD1"/>
    <w:rsid w:val="2A02235D"/>
    <w:rsid w:val="2A022C2F"/>
    <w:rsid w:val="2A0E6FE2"/>
    <w:rsid w:val="2A10257F"/>
    <w:rsid w:val="2A152DC9"/>
    <w:rsid w:val="2A1801DD"/>
    <w:rsid w:val="2A253C2E"/>
    <w:rsid w:val="2A266B2C"/>
    <w:rsid w:val="2A3668AA"/>
    <w:rsid w:val="2A3F18EB"/>
    <w:rsid w:val="2A431FE2"/>
    <w:rsid w:val="2A4D375E"/>
    <w:rsid w:val="2A6041CE"/>
    <w:rsid w:val="2A6138D0"/>
    <w:rsid w:val="2A641897"/>
    <w:rsid w:val="2A6422D2"/>
    <w:rsid w:val="2A6546D7"/>
    <w:rsid w:val="2A662639"/>
    <w:rsid w:val="2A6A3C37"/>
    <w:rsid w:val="2A6E5D13"/>
    <w:rsid w:val="2A8F5D94"/>
    <w:rsid w:val="2A907AD8"/>
    <w:rsid w:val="2A992064"/>
    <w:rsid w:val="2A9D331D"/>
    <w:rsid w:val="2A9E22CB"/>
    <w:rsid w:val="2A9E239A"/>
    <w:rsid w:val="2A9F3D68"/>
    <w:rsid w:val="2AA842F4"/>
    <w:rsid w:val="2AAB57DD"/>
    <w:rsid w:val="2AB2420C"/>
    <w:rsid w:val="2AB4708C"/>
    <w:rsid w:val="2ABE0AE2"/>
    <w:rsid w:val="2AC36A30"/>
    <w:rsid w:val="2AD33125"/>
    <w:rsid w:val="2ADD4E58"/>
    <w:rsid w:val="2AF30523"/>
    <w:rsid w:val="2AF364E2"/>
    <w:rsid w:val="2AF53B28"/>
    <w:rsid w:val="2AF64D1D"/>
    <w:rsid w:val="2AF716F4"/>
    <w:rsid w:val="2AFA7B85"/>
    <w:rsid w:val="2B1138D4"/>
    <w:rsid w:val="2B1E549D"/>
    <w:rsid w:val="2B201C1D"/>
    <w:rsid w:val="2B250101"/>
    <w:rsid w:val="2B326E48"/>
    <w:rsid w:val="2B3644D9"/>
    <w:rsid w:val="2B3A6942"/>
    <w:rsid w:val="2B453BEC"/>
    <w:rsid w:val="2B466B14"/>
    <w:rsid w:val="2B51056B"/>
    <w:rsid w:val="2B571F34"/>
    <w:rsid w:val="2B5E7388"/>
    <w:rsid w:val="2B68707F"/>
    <w:rsid w:val="2B6C7699"/>
    <w:rsid w:val="2B723B3D"/>
    <w:rsid w:val="2B7A0728"/>
    <w:rsid w:val="2B7A355C"/>
    <w:rsid w:val="2B7E5F58"/>
    <w:rsid w:val="2B8733E8"/>
    <w:rsid w:val="2B9B6620"/>
    <w:rsid w:val="2BA24592"/>
    <w:rsid w:val="2BA43C4B"/>
    <w:rsid w:val="2BA7503E"/>
    <w:rsid w:val="2BA845A7"/>
    <w:rsid w:val="2BB1047C"/>
    <w:rsid w:val="2BB93B48"/>
    <w:rsid w:val="2BC47440"/>
    <w:rsid w:val="2BC67382"/>
    <w:rsid w:val="2BC81E06"/>
    <w:rsid w:val="2BCD15C4"/>
    <w:rsid w:val="2BD13674"/>
    <w:rsid w:val="2BD37F60"/>
    <w:rsid w:val="2BD9220F"/>
    <w:rsid w:val="2BDD286B"/>
    <w:rsid w:val="2BE049D4"/>
    <w:rsid w:val="2BFF6BC1"/>
    <w:rsid w:val="2C084285"/>
    <w:rsid w:val="2C185D78"/>
    <w:rsid w:val="2C1C4186"/>
    <w:rsid w:val="2C1C46E3"/>
    <w:rsid w:val="2C2F0B49"/>
    <w:rsid w:val="2C391EDA"/>
    <w:rsid w:val="2C451ED9"/>
    <w:rsid w:val="2C4A574C"/>
    <w:rsid w:val="2C526A08"/>
    <w:rsid w:val="2C596E16"/>
    <w:rsid w:val="2C5A43F5"/>
    <w:rsid w:val="2C5B580B"/>
    <w:rsid w:val="2C6114F5"/>
    <w:rsid w:val="2C643ECD"/>
    <w:rsid w:val="2C6859DA"/>
    <w:rsid w:val="2C7132EE"/>
    <w:rsid w:val="2C7150A6"/>
    <w:rsid w:val="2C755D25"/>
    <w:rsid w:val="2C806952"/>
    <w:rsid w:val="2C822254"/>
    <w:rsid w:val="2C8A52D2"/>
    <w:rsid w:val="2C9D4C9B"/>
    <w:rsid w:val="2CAC4A81"/>
    <w:rsid w:val="2CB83106"/>
    <w:rsid w:val="2CC13372"/>
    <w:rsid w:val="2CC46CFF"/>
    <w:rsid w:val="2CC57D04"/>
    <w:rsid w:val="2CC83FD2"/>
    <w:rsid w:val="2CC90123"/>
    <w:rsid w:val="2CCB086A"/>
    <w:rsid w:val="2CD56C44"/>
    <w:rsid w:val="2CDF0146"/>
    <w:rsid w:val="2CEA351B"/>
    <w:rsid w:val="2CEF1989"/>
    <w:rsid w:val="2D0423E0"/>
    <w:rsid w:val="2D0D2343"/>
    <w:rsid w:val="2D103F97"/>
    <w:rsid w:val="2D193A16"/>
    <w:rsid w:val="2D1C2081"/>
    <w:rsid w:val="2D31304A"/>
    <w:rsid w:val="2D4011BD"/>
    <w:rsid w:val="2D405A7F"/>
    <w:rsid w:val="2D416B0D"/>
    <w:rsid w:val="2D51363D"/>
    <w:rsid w:val="2D566B20"/>
    <w:rsid w:val="2D5B5836"/>
    <w:rsid w:val="2D5E1E80"/>
    <w:rsid w:val="2D66224F"/>
    <w:rsid w:val="2D6D7DC0"/>
    <w:rsid w:val="2D701846"/>
    <w:rsid w:val="2D735BD4"/>
    <w:rsid w:val="2D735D85"/>
    <w:rsid w:val="2D7B446C"/>
    <w:rsid w:val="2D88324E"/>
    <w:rsid w:val="2D8F5C14"/>
    <w:rsid w:val="2D914F32"/>
    <w:rsid w:val="2DA14DDD"/>
    <w:rsid w:val="2DA347A3"/>
    <w:rsid w:val="2DA37656"/>
    <w:rsid w:val="2DA41B4C"/>
    <w:rsid w:val="2DB82541"/>
    <w:rsid w:val="2DB841E5"/>
    <w:rsid w:val="2DBD6509"/>
    <w:rsid w:val="2DC8202E"/>
    <w:rsid w:val="2DC95CD1"/>
    <w:rsid w:val="2DC96118"/>
    <w:rsid w:val="2DCA46C1"/>
    <w:rsid w:val="2DCE4D1B"/>
    <w:rsid w:val="2DCF6F7F"/>
    <w:rsid w:val="2DD16BD4"/>
    <w:rsid w:val="2DD63F3A"/>
    <w:rsid w:val="2DDD4500"/>
    <w:rsid w:val="2DDE6D5B"/>
    <w:rsid w:val="2DE4308B"/>
    <w:rsid w:val="2DE85760"/>
    <w:rsid w:val="2DF30293"/>
    <w:rsid w:val="2DFA5DE5"/>
    <w:rsid w:val="2E082F46"/>
    <w:rsid w:val="2E0967D7"/>
    <w:rsid w:val="2E1B3771"/>
    <w:rsid w:val="2E1F6C27"/>
    <w:rsid w:val="2E205558"/>
    <w:rsid w:val="2E290D0B"/>
    <w:rsid w:val="2E2E7787"/>
    <w:rsid w:val="2E2F3699"/>
    <w:rsid w:val="2E3103C0"/>
    <w:rsid w:val="2E347805"/>
    <w:rsid w:val="2E354BB8"/>
    <w:rsid w:val="2E35644F"/>
    <w:rsid w:val="2E357269"/>
    <w:rsid w:val="2E3C2BB7"/>
    <w:rsid w:val="2E3E387B"/>
    <w:rsid w:val="2E4D7951"/>
    <w:rsid w:val="2E4E4DA2"/>
    <w:rsid w:val="2E521B64"/>
    <w:rsid w:val="2E543B81"/>
    <w:rsid w:val="2E693E3B"/>
    <w:rsid w:val="2E6947FB"/>
    <w:rsid w:val="2E71704E"/>
    <w:rsid w:val="2E7305F6"/>
    <w:rsid w:val="2E8106B9"/>
    <w:rsid w:val="2E8269FC"/>
    <w:rsid w:val="2E8C0A87"/>
    <w:rsid w:val="2E8D30DF"/>
    <w:rsid w:val="2E9109F3"/>
    <w:rsid w:val="2E9705F5"/>
    <w:rsid w:val="2EAD351B"/>
    <w:rsid w:val="2EAE3598"/>
    <w:rsid w:val="2EB65226"/>
    <w:rsid w:val="2EB97120"/>
    <w:rsid w:val="2EC168A4"/>
    <w:rsid w:val="2EC76B1F"/>
    <w:rsid w:val="2EC94A4D"/>
    <w:rsid w:val="2ECC0FAC"/>
    <w:rsid w:val="2ECC416C"/>
    <w:rsid w:val="2EE05ED5"/>
    <w:rsid w:val="2EE267C7"/>
    <w:rsid w:val="2EE54C65"/>
    <w:rsid w:val="2EF15FE8"/>
    <w:rsid w:val="2EF55C13"/>
    <w:rsid w:val="2EFB45F7"/>
    <w:rsid w:val="2EFF6FA8"/>
    <w:rsid w:val="2F000220"/>
    <w:rsid w:val="2F025D7C"/>
    <w:rsid w:val="2F0802A0"/>
    <w:rsid w:val="2F0879F5"/>
    <w:rsid w:val="2F16691A"/>
    <w:rsid w:val="2F1868D0"/>
    <w:rsid w:val="2F204D4E"/>
    <w:rsid w:val="2F223D2C"/>
    <w:rsid w:val="2F250DFC"/>
    <w:rsid w:val="2F2965ED"/>
    <w:rsid w:val="2F337398"/>
    <w:rsid w:val="2F413598"/>
    <w:rsid w:val="2F486F33"/>
    <w:rsid w:val="2F4F49BB"/>
    <w:rsid w:val="2F5405F4"/>
    <w:rsid w:val="2F662FB5"/>
    <w:rsid w:val="2F6E6D8C"/>
    <w:rsid w:val="2F6F35F2"/>
    <w:rsid w:val="2F7A255C"/>
    <w:rsid w:val="2F7C30F5"/>
    <w:rsid w:val="2F7D151B"/>
    <w:rsid w:val="2F8200EB"/>
    <w:rsid w:val="2F9135A1"/>
    <w:rsid w:val="2F963350"/>
    <w:rsid w:val="2F9779DA"/>
    <w:rsid w:val="2FB465EB"/>
    <w:rsid w:val="2FB63B58"/>
    <w:rsid w:val="2FB95A33"/>
    <w:rsid w:val="2FC62616"/>
    <w:rsid w:val="2FCB1CA7"/>
    <w:rsid w:val="2FCB5D05"/>
    <w:rsid w:val="2FCC289A"/>
    <w:rsid w:val="2FD63528"/>
    <w:rsid w:val="2FD80397"/>
    <w:rsid w:val="2FDA5B4B"/>
    <w:rsid w:val="2FE02555"/>
    <w:rsid w:val="2FE12B3C"/>
    <w:rsid w:val="2FE4734E"/>
    <w:rsid w:val="2FEC264C"/>
    <w:rsid w:val="2FF41A13"/>
    <w:rsid w:val="2FF77D6E"/>
    <w:rsid w:val="2FFA0754"/>
    <w:rsid w:val="30021B51"/>
    <w:rsid w:val="30084F40"/>
    <w:rsid w:val="300C7DA9"/>
    <w:rsid w:val="300F59E1"/>
    <w:rsid w:val="3011270B"/>
    <w:rsid w:val="3015285E"/>
    <w:rsid w:val="30174ADD"/>
    <w:rsid w:val="301775DB"/>
    <w:rsid w:val="301C23B4"/>
    <w:rsid w:val="301F69C5"/>
    <w:rsid w:val="302069DF"/>
    <w:rsid w:val="302134EF"/>
    <w:rsid w:val="302A7867"/>
    <w:rsid w:val="303F7CA4"/>
    <w:rsid w:val="30414952"/>
    <w:rsid w:val="304372C1"/>
    <w:rsid w:val="30473890"/>
    <w:rsid w:val="30473AEE"/>
    <w:rsid w:val="304F6AA9"/>
    <w:rsid w:val="3050625E"/>
    <w:rsid w:val="306843AC"/>
    <w:rsid w:val="3071153B"/>
    <w:rsid w:val="3084329D"/>
    <w:rsid w:val="30857AFA"/>
    <w:rsid w:val="308603A9"/>
    <w:rsid w:val="30861C79"/>
    <w:rsid w:val="308A653B"/>
    <w:rsid w:val="308D18BE"/>
    <w:rsid w:val="309502D1"/>
    <w:rsid w:val="30960CCC"/>
    <w:rsid w:val="309B6237"/>
    <w:rsid w:val="30A3702C"/>
    <w:rsid w:val="30B34A4D"/>
    <w:rsid w:val="30B6423F"/>
    <w:rsid w:val="30BD0D43"/>
    <w:rsid w:val="30C30C08"/>
    <w:rsid w:val="30C72293"/>
    <w:rsid w:val="30C92769"/>
    <w:rsid w:val="30CB256A"/>
    <w:rsid w:val="30CF1C17"/>
    <w:rsid w:val="30D15BA0"/>
    <w:rsid w:val="30D5596A"/>
    <w:rsid w:val="30D8352D"/>
    <w:rsid w:val="30D85B23"/>
    <w:rsid w:val="30EB1710"/>
    <w:rsid w:val="30EF3700"/>
    <w:rsid w:val="30F665C7"/>
    <w:rsid w:val="30F90C76"/>
    <w:rsid w:val="30FA4397"/>
    <w:rsid w:val="310166E8"/>
    <w:rsid w:val="310350F7"/>
    <w:rsid w:val="31045FC1"/>
    <w:rsid w:val="31136E45"/>
    <w:rsid w:val="311E12E9"/>
    <w:rsid w:val="311E1B50"/>
    <w:rsid w:val="31273B9F"/>
    <w:rsid w:val="312E6A1F"/>
    <w:rsid w:val="3135452A"/>
    <w:rsid w:val="3137579D"/>
    <w:rsid w:val="31383CFA"/>
    <w:rsid w:val="31410217"/>
    <w:rsid w:val="31495980"/>
    <w:rsid w:val="314E4C29"/>
    <w:rsid w:val="31550F21"/>
    <w:rsid w:val="3155493A"/>
    <w:rsid w:val="31555219"/>
    <w:rsid w:val="31644746"/>
    <w:rsid w:val="31655553"/>
    <w:rsid w:val="316740A5"/>
    <w:rsid w:val="316B3EF7"/>
    <w:rsid w:val="31700D0B"/>
    <w:rsid w:val="31706A4A"/>
    <w:rsid w:val="317351EC"/>
    <w:rsid w:val="317367E2"/>
    <w:rsid w:val="317A5007"/>
    <w:rsid w:val="31802B91"/>
    <w:rsid w:val="31886216"/>
    <w:rsid w:val="318D6EE4"/>
    <w:rsid w:val="318E31DE"/>
    <w:rsid w:val="31972CF3"/>
    <w:rsid w:val="319A3F19"/>
    <w:rsid w:val="31A107E4"/>
    <w:rsid w:val="31A93277"/>
    <w:rsid w:val="31B4765C"/>
    <w:rsid w:val="31BA13BF"/>
    <w:rsid w:val="31C9253F"/>
    <w:rsid w:val="31CA0EDE"/>
    <w:rsid w:val="31CB2BA5"/>
    <w:rsid w:val="31CF2BBF"/>
    <w:rsid w:val="31D500FC"/>
    <w:rsid w:val="31D763E9"/>
    <w:rsid w:val="31DB7526"/>
    <w:rsid w:val="31E0297E"/>
    <w:rsid w:val="31EA3DD2"/>
    <w:rsid w:val="31EB49CA"/>
    <w:rsid w:val="31EC10D3"/>
    <w:rsid w:val="31FB5EDD"/>
    <w:rsid w:val="31FE5946"/>
    <w:rsid w:val="32117239"/>
    <w:rsid w:val="32156874"/>
    <w:rsid w:val="321A178D"/>
    <w:rsid w:val="323C12D1"/>
    <w:rsid w:val="32403049"/>
    <w:rsid w:val="32466979"/>
    <w:rsid w:val="32475C1E"/>
    <w:rsid w:val="32485C02"/>
    <w:rsid w:val="32561537"/>
    <w:rsid w:val="32580267"/>
    <w:rsid w:val="326F290E"/>
    <w:rsid w:val="326F6F43"/>
    <w:rsid w:val="327308D3"/>
    <w:rsid w:val="327735D4"/>
    <w:rsid w:val="327B73A4"/>
    <w:rsid w:val="328256F2"/>
    <w:rsid w:val="328B5C57"/>
    <w:rsid w:val="329356B1"/>
    <w:rsid w:val="329B3418"/>
    <w:rsid w:val="329E1FB3"/>
    <w:rsid w:val="329F58D0"/>
    <w:rsid w:val="32A77209"/>
    <w:rsid w:val="32AA0990"/>
    <w:rsid w:val="32AB2ACF"/>
    <w:rsid w:val="32B159D9"/>
    <w:rsid w:val="32B270C3"/>
    <w:rsid w:val="32B328F4"/>
    <w:rsid w:val="32B839EA"/>
    <w:rsid w:val="32C01009"/>
    <w:rsid w:val="32D25AC4"/>
    <w:rsid w:val="32D40F9A"/>
    <w:rsid w:val="32D438CE"/>
    <w:rsid w:val="32D8320C"/>
    <w:rsid w:val="32D927F5"/>
    <w:rsid w:val="32DA500F"/>
    <w:rsid w:val="32DD170A"/>
    <w:rsid w:val="32DE3D28"/>
    <w:rsid w:val="32ED6766"/>
    <w:rsid w:val="32F93F45"/>
    <w:rsid w:val="32FB3A83"/>
    <w:rsid w:val="32FE03B5"/>
    <w:rsid w:val="330316D4"/>
    <w:rsid w:val="3304078D"/>
    <w:rsid w:val="331525BD"/>
    <w:rsid w:val="3319567A"/>
    <w:rsid w:val="3327504F"/>
    <w:rsid w:val="332E0A53"/>
    <w:rsid w:val="332F7983"/>
    <w:rsid w:val="333744B0"/>
    <w:rsid w:val="333855F0"/>
    <w:rsid w:val="333D795C"/>
    <w:rsid w:val="333F4D66"/>
    <w:rsid w:val="33442524"/>
    <w:rsid w:val="334A252E"/>
    <w:rsid w:val="334C7F1F"/>
    <w:rsid w:val="334D6566"/>
    <w:rsid w:val="335544F9"/>
    <w:rsid w:val="3357440D"/>
    <w:rsid w:val="33663017"/>
    <w:rsid w:val="33684BAD"/>
    <w:rsid w:val="336A68DB"/>
    <w:rsid w:val="33712D5F"/>
    <w:rsid w:val="337408A2"/>
    <w:rsid w:val="33906E9B"/>
    <w:rsid w:val="33922B7E"/>
    <w:rsid w:val="33925679"/>
    <w:rsid w:val="33926D4F"/>
    <w:rsid w:val="33961108"/>
    <w:rsid w:val="33962075"/>
    <w:rsid w:val="339D1DB6"/>
    <w:rsid w:val="33A515F9"/>
    <w:rsid w:val="33A9746C"/>
    <w:rsid w:val="33B24875"/>
    <w:rsid w:val="33B270E4"/>
    <w:rsid w:val="33B615BC"/>
    <w:rsid w:val="33B9080B"/>
    <w:rsid w:val="33BC4D40"/>
    <w:rsid w:val="33C06EFA"/>
    <w:rsid w:val="33C37EBE"/>
    <w:rsid w:val="33C678AD"/>
    <w:rsid w:val="33D327A5"/>
    <w:rsid w:val="33D37E12"/>
    <w:rsid w:val="33D53B8D"/>
    <w:rsid w:val="33D6583E"/>
    <w:rsid w:val="33DE6522"/>
    <w:rsid w:val="33E64A11"/>
    <w:rsid w:val="33E76D4E"/>
    <w:rsid w:val="33E8506B"/>
    <w:rsid w:val="33F20923"/>
    <w:rsid w:val="33F74AC4"/>
    <w:rsid w:val="33FB51DC"/>
    <w:rsid w:val="33FD4585"/>
    <w:rsid w:val="34005A7A"/>
    <w:rsid w:val="34080051"/>
    <w:rsid w:val="34162D62"/>
    <w:rsid w:val="34171BEA"/>
    <w:rsid w:val="341C4957"/>
    <w:rsid w:val="341F2393"/>
    <w:rsid w:val="3431197D"/>
    <w:rsid w:val="34370B01"/>
    <w:rsid w:val="34462E66"/>
    <w:rsid w:val="3446525E"/>
    <w:rsid w:val="34493C4B"/>
    <w:rsid w:val="344D4D15"/>
    <w:rsid w:val="34507034"/>
    <w:rsid w:val="345632D9"/>
    <w:rsid w:val="34587A69"/>
    <w:rsid w:val="345E11D8"/>
    <w:rsid w:val="34674481"/>
    <w:rsid w:val="34681E8C"/>
    <w:rsid w:val="346F0C7C"/>
    <w:rsid w:val="347F708D"/>
    <w:rsid w:val="348E196F"/>
    <w:rsid w:val="34924709"/>
    <w:rsid w:val="349631EE"/>
    <w:rsid w:val="34977297"/>
    <w:rsid w:val="34A148B4"/>
    <w:rsid w:val="34A27855"/>
    <w:rsid w:val="34AC7BBC"/>
    <w:rsid w:val="34AF34FB"/>
    <w:rsid w:val="34C10072"/>
    <w:rsid w:val="34C77578"/>
    <w:rsid w:val="34C92DDB"/>
    <w:rsid w:val="34D75F95"/>
    <w:rsid w:val="34DB3309"/>
    <w:rsid w:val="34DE432F"/>
    <w:rsid w:val="34EA6F5F"/>
    <w:rsid w:val="34EC60B6"/>
    <w:rsid w:val="34F3038E"/>
    <w:rsid w:val="34F51844"/>
    <w:rsid w:val="34F75F98"/>
    <w:rsid w:val="34FA47CD"/>
    <w:rsid w:val="34FA63E3"/>
    <w:rsid w:val="35041924"/>
    <w:rsid w:val="35112FAA"/>
    <w:rsid w:val="351C7B56"/>
    <w:rsid w:val="35251B72"/>
    <w:rsid w:val="352849C7"/>
    <w:rsid w:val="352C2E2C"/>
    <w:rsid w:val="353376E2"/>
    <w:rsid w:val="35364BAD"/>
    <w:rsid w:val="35372E79"/>
    <w:rsid w:val="354F4C6B"/>
    <w:rsid w:val="35567D0E"/>
    <w:rsid w:val="356144FC"/>
    <w:rsid w:val="35694AC5"/>
    <w:rsid w:val="35697889"/>
    <w:rsid w:val="356D220A"/>
    <w:rsid w:val="357F7236"/>
    <w:rsid w:val="3580176A"/>
    <w:rsid w:val="35881CF3"/>
    <w:rsid w:val="358A37C5"/>
    <w:rsid w:val="3590227A"/>
    <w:rsid w:val="3596013A"/>
    <w:rsid w:val="35966F91"/>
    <w:rsid w:val="359812CC"/>
    <w:rsid w:val="359D7AC2"/>
    <w:rsid w:val="35A10273"/>
    <w:rsid w:val="35AF258E"/>
    <w:rsid w:val="35BA32FA"/>
    <w:rsid w:val="35BC489C"/>
    <w:rsid w:val="35BF31E4"/>
    <w:rsid w:val="35D021DE"/>
    <w:rsid w:val="35DC4F57"/>
    <w:rsid w:val="35EA1D85"/>
    <w:rsid w:val="35ED3013"/>
    <w:rsid w:val="35F34531"/>
    <w:rsid w:val="360520A7"/>
    <w:rsid w:val="361275B1"/>
    <w:rsid w:val="36195817"/>
    <w:rsid w:val="361B3756"/>
    <w:rsid w:val="361C7DE2"/>
    <w:rsid w:val="362075BF"/>
    <w:rsid w:val="362137F2"/>
    <w:rsid w:val="36263550"/>
    <w:rsid w:val="3631371C"/>
    <w:rsid w:val="363E5DF9"/>
    <w:rsid w:val="36434A56"/>
    <w:rsid w:val="36435234"/>
    <w:rsid w:val="3655303C"/>
    <w:rsid w:val="365B1BF1"/>
    <w:rsid w:val="365D2BEF"/>
    <w:rsid w:val="36621DCB"/>
    <w:rsid w:val="3672002C"/>
    <w:rsid w:val="3674061A"/>
    <w:rsid w:val="36785BEA"/>
    <w:rsid w:val="367E325E"/>
    <w:rsid w:val="367F4F3D"/>
    <w:rsid w:val="368A5033"/>
    <w:rsid w:val="368C037B"/>
    <w:rsid w:val="368C28A2"/>
    <w:rsid w:val="36976C4A"/>
    <w:rsid w:val="369A06C1"/>
    <w:rsid w:val="369A2A90"/>
    <w:rsid w:val="36A22266"/>
    <w:rsid w:val="36A44F9A"/>
    <w:rsid w:val="36AE7336"/>
    <w:rsid w:val="36B148ED"/>
    <w:rsid w:val="36B915E5"/>
    <w:rsid w:val="36BE030B"/>
    <w:rsid w:val="36BF7685"/>
    <w:rsid w:val="36CB3292"/>
    <w:rsid w:val="36D73297"/>
    <w:rsid w:val="36DC399F"/>
    <w:rsid w:val="36DE135E"/>
    <w:rsid w:val="36E067C1"/>
    <w:rsid w:val="36E378C2"/>
    <w:rsid w:val="36E9036C"/>
    <w:rsid w:val="36E93A38"/>
    <w:rsid w:val="36F53C32"/>
    <w:rsid w:val="36FF16B0"/>
    <w:rsid w:val="37024674"/>
    <w:rsid w:val="370527ED"/>
    <w:rsid w:val="370608DF"/>
    <w:rsid w:val="3708121A"/>
    <w:rsid w:val="370A185D"/>
    <w:rsid w:val="370C0643"/>
    <w:rsid w:val="3718489E"/>
    <w:rsid w:val="371B230A"/>
    <w:rsid w:val="37210A25"/>
    <w:rsid w:val="3728184E"/>
    <w:rsid w:val="372B48EE"/>
    <w:rsid w:val="372D7B30"/>
    <w:rsid w:val="3736409F"/>
    <w:rsid w:val="3745688E"/>
    <w:rsid w:val="37476DD4"/>
    <w:rsid w:val="37481F83"/>
    <w:rsid w:val="37493AB0"/>
    <w:rsid w:val="37584B8F"/>
    <w:rsid w:val="37604FC9"/>
    <w:rsid w:val="3762243E"/>
    <w:rsid w:val="37680CE9"/>
    <w:rsid w:val="37772FB8"/>
    <w:rsid w:val="3778024A"/>
    <w:rsid w:val="377E38F4"/>
    <w:rsid w:val="37884451"/>
    <w:rsid w:val="37884A02"/>
    <w:rsid w:val="379538C7"/>
    <w:rsid w:val="379624BC"/>
    <w:rsid w:val="37963FD5"/>
    <w:rsid w:val="37992EFA"/>
    <w:rsid w:val="379A40F4"/>
    <w:rsid w:val="379D06B3"/>
    <w:rsid w:val="379E4265"/>
    <w:rsid w:val="37B54580"/>
    <w:rsid w:val="37C9151F"/>
    <w:rsid w:val="37CA57A6"/>
    <w:rsid w:val="37DE1AE5"/>
    <w:rsid w:val="37E20CC9"/>
    <w:rsid w:val="37E86ADA"/>
    <w:rsid w:val="37EA0D1D"/>
    <w:rsid w:val="37F06B38"/>
    <w:rsid w:val="37FA6A5A"/>
    <w:rsid w:val="37FC5B18"/>
    <w:rsid w:val="38060F3A"/>
    <w:rsid w:val="380677DD"/>
    <w:rsid w:val="380B6B34"/>
    <w:rsid w:val="380C690C"/>
    <w:rsid w:val="380D5B9E"/>
    <w:rsid w:val="3814487E"/>
    <w:rsid w:val="38195BB8"/>
    <w:rsid w:val="381A0DD0"/>
    <w:rsid w:val="381F5760"/>
    <w:rsid w:val="38246CC4"/>
    <w:rsid w:val="383471A3"/>
    <w:rsid w:val="383818D1"/>
    <w:rsid w:val="383F666B"/>
    <w:rsid w:val="383F7A68"/>
    <w:rsid w:val="384020B0"/>
    <w:rsid w:val="384261D2"/>
    <w:rsid w:val="38464834"/>
    <w:rsid w:val="38643F4E"/>
    <w:rsid w:val="38692F5F"/>
    <w:rsid w:val="386C08F6"/>
    <w:rsid w:val="387169BA"/>
    <w:rsid w:val="38732EA4"/>
    <w:rsid w:val="38833259"/>
    <w:rsid w:val="38841AC6"/>
    <w:rsid w:val="388E7067"/>
    <w:rsid w:val="389107BC"/>
    <w:rsid w:val="38947915"/>
    <w:rsid w:val="38A87B48"/>
    <w:rsid w:val="38AB078B"/>
    <w:rsid w:val="38AC27D0"/>
    <w:rsid w:val="38B27A1C"/>
    <w:rsid w:val="38B82434"/>
    <w:rsid w:val="38B839AC"/>
    <w:rsid w:val="38BB5260"/>
    <w:rsid w:val="38C16DAB"/>
    <w:rsid w:val="38C2449A"/>
    <w:rsid w:val="38C576A5"/>
    <w:rsid w:val="38CC3019"/>
    <w:rsid w:val="38D118A2"/>
    <w:rsid w:val="38D97F47"/>
    <w:rsid w:val="38DE6E2F"/>
    <w:rsid w:val="38E63AD6"/>
    <w:rsid w:val="38E95089"/>
    <w:rsid w:val="38FD6035"/>
    <w:rsid w:val="39053533"/>
    <w:rsid w:val="390B558F"/>
    <w:rsid w:val="390E6423"/>
    <w:rsid w:val="391B3490"/>
    <w:rsid w:val="392355EB"/>
    <w:rsid w:val="39294944"/>
    <w:rsid w:val="392D343F"/>
    <w:rsid w:val="392E71E9"/>
    <w:rsid w:val="393F3416"/>
    <w:rsid w:val="39433E66"/>
    <w:rsid w:val="3945094C"/>
    <w:rsid w:val="394D7496"/>
    <w:rsid w:val="395A6D0E"/>
    <w:rsid w:val="396A6D20"/>
    <w:rsid w:val="396F2D1F"/>
    <w:rsid w:val="39734A4B"/>
    <w:rsid w:val="3974482B"/>
    <w:rsid w:val="39751CE5"/>
    <w:rsid w:val="3976167E"/>
    <w:rsid w:val="39787162"/>
    <w:rsid w:val="39884F32"/>
    <w:rsid w:val="39901338"/>
    <w:rsid w:val="3997374F"/>
    <w:rsid w:val="3999500E"/>
    <w:rsid w:val="39AB2545"/>
    <w:rsid w:val="39AD77BA"/>
    <w:rsid w:val="39B34C3C"/>
    <w:rsid w:val="39C7380C"/>
    <w:rsid w:val="39C97503"/>
    <w:rsid w:val="39CB237B"/>
    <w:rsid w:val="39CD55D3"/>
    <w:rsid w:val="39D31A82"/>
    <w:rsid w:val="39D83581"/>
    <w:rsid w:val="39DD0CB3"/>
    <w:rsid w:val="39DE7FA3"/>
    <w:rsid w:val="39DF6376"/>
    <w:rsid w:val="39E06849"/>
    <w:rsid w:val="39F677F9"/>
    <w:rsid w:val="39F866B0"/>
    <w:rsid w:val="39F91FF9"/>
    <w:rsid w:val="39FA787E"/>
    <w:rsid w:val="39FB4703"/>
    <w:rsid w:val="39FE146F"/>
    <w:rsid w:val="3A041A69"/>
    <w:rsid w:val="3A075882"/>
    <w:rsid w:val="3A08798E"/>
    <w:rsid w:val="3A0A2110"/>
    <w:rsid w:val="3A1413A4"/>
    <w:rsid w:val="3A1628AB"/>
    <w:rsid w:val="3A165714"/>
    <w:rsid w:val="3A1867D5"/>
    <w:rsid w:val="3A1A6D8F"/>
    <w:rsid w:val="3A1E3132"/>
    <w:rsid w:val="3A203889"/>
    <w:rsid w:val="3A2F57E7"/>
    <w:rsid w:val="3A4159C1"/>
    <w:rsid w:val="3A435C28"/>
    <w:rsid w:val="3A437B68"/>
    <w:rsid w:val="3A46233F"/>
    <w:rsid w:val="3A480C70"/>
    <w:rsid w:val="3A482363"/>
    <w:rsid w:val="3A5125EE"/>
    <w:rsid w:val="3A5706BF"/>
    <w:rsid w:val="3A5D2B25"/>
    <w:rsid w:val="3A630217"/>
    <w:rsid w:val="3A662595"/>
    <w:rsid w:val="3A6B2FD2"/>
    <w:rsid w:val="3A6C6E60"/>
    <w:rsid w:val="3A702FAC"/>
    <w:rsid w:val="3A7E4293"/>
    <w:rsid w:val="3A840FD2"/>
    <w:rsid w:val="3A8912B8"/>
    <w:rsid w:val="3A8A457B"/>
    <w:rsid w:val="3A923D0C"/>
    <w:rsid w:val="3A99077C"/>
    <w:rsid w:val="3A9C4AEC"/>
    <w:rsid w:val="3AA406A2"/>
    <w:rsid w:val="3AA86C16"/>
    <w:rsid w:val="3AAD1743"/>
    <w:rsid w:val="3AB80B48"/>
    <w:rsid w:val="3AC44A50"/>
    <w:rsid w:val="3AC75B4C"/>
    <w:rsid w:val="3AD224CA"/>
    <w:rsid w:val="3AD2711A"/>
    <w:rsid w:val="3AD45D41"/>
    <w:rsid w:val="3AE26C66"/>
    <w:rsid w:val="3AE55BD1"/>
    <w:rsid w:val="3AE603CF"/>
    <w:rsid w:val="3AE9341C"/>
    <w:rsid w:val="3AF74A34"/>
    <w:rsid w:val="3AFA69C1"/>
    <w:rsid w:val="3AFB3DC3"/>
    <w:rsid w:val="3AFB63D8"/>
    <w:rsid w:val="3B0747FB"/>
    <w:rsid w:val="3B1137DB"/>
    <w:rsid w:val="3B134D41"/>
    <w:rsid w:val="3B1D21F5"/>
    <w:rsid w:val="3B1F72F1"/>
    <w:rsid w:val="3B2323EC"/>
    <w:rsid w:val="3B267548"/>
    <w:rsid w:val="3B28337E"/>
    <w:rsid w:val="3B2E50FD"/>
    <w:rsid w:val="3B317563"/>
    <w:rsid w:val="3B3851D2"/>
    <w:rsid w:val="3B3C6F94"/>
    <w:rsid w:val="3B3E1818"/>
    <w:rsid w:val="3B412C79"/>
    <w:rsid w:val="3B4233C4"/>
    <w:rsid w:val="3B42637C"/>
    <w:rsid w:val="3B540269"/>
    <w:rsid w:val="3B59537C"/>
    <w:rsid w:val="3B6124B0"/>
    <w:rsid w:val="3B6304C7"/>
    <w:rsid w:val="3B642321"/>
    <w:rsid w:val="3B6D2D6E"/>
    <w:rsid w:val="3B6E489E"/>
    <w:rsid w:val="3B712CBE"/>
    <w:rsid w:val="3B777BB0"/>
    <w:rsid w:val="3B80535C"/>
    <w:rsid w:val="3B816482"/>
    <w:rsid w:val="3B8A3D59"/>
    <w:rsid w:val="3B8D0EA3"/>
    <w:rsid w:val="3B8E52C3"/>
    <w:rsid w:val="3B95784C"/>
    <w:rsid w:val="3B994F9D"/>
    <w:rsid w:val="3BA4298B"/>
    <w:rsid w:val="3BB634EC"/>
    <w:rsid w:val="3BBC58A5"/>
    <w:rsid w:val="3BBE375B"/>
    <w:rsid w:val="3BC41E85"/>
    <w:rsid w:val="3BCC0E22"/>
    <w:rsid w:val="3BCC367E"/>
    <w:rsid w:val="3BD718C9"/>
    <w:rsid w:val="3BE44548"/>
    <w:rsid w:val="3BEE0616"/>
    <w:rsid w:val="3BF9648B"/>
    <w:rsid w:val="3C027A38"/>
    <w:rsid w:val="3C144211"/>
    <w:rsid w:val="3C1A214C"/>
    <w:rsid w:val="3C1B0CFC"/>
    <w:rsid w:val="3C1E5203"/>
    <w:rsid w:val="3C1E73BF"/>
    <w:rsid w:val="3C1F0C1F"/>
    <w:rsid w:val="3C1F16D2"/>
    <w:rsid w:val="3C1F279C"/>
    <w:rsid w:val="3C1F7183"/>
    <w:rsid w:val="3C223978"/>
    <w:rsid w:val="3C2675CD"/>
    <w:rsid w:val="3C275BED"/>
    <w:rsid w:val="3C3052CB"/>
    <w:rsid w:val="3C342F73"/>
    <w:rsid w:val="3C3559AD"/>
    <w:rsid w:val="3C3B1665"/>
    <w:rsid w:val="3C3C08AE"/>
    <w:rsid w:val="3C3D44FE"/>
    <w:rsid w:val="3C406857"/>
    <w:rsid w:val="3C446616"/>
    <w:rsid w:val="3C510B2E"/>
    <w:rsid w:val="3C531FAB"/>
    <w:rsid w:val="3C5369B0"/>
    <w:rsid w:val="3C5B600A"/>
    <w:rsid w:val="3C5B7F88"/>
    <w:rsid w:val="3C601112"/>
    <w:rsid w:val="3C67735C"/>
    <w:rsid w:val="3C6B257A"/>
    <w:rsid w:val="3C6D7EF1"/>
    <w:rsid w:val="3C715D85"/>
    <w:rsid w:val="3C720330"/>
    <w:rsid w:val="3C745F6A"/>
    <w:rsid w:val="3C80422A"/>
    <w:rsid w:val="3C8269F7"/>
    <w:rsid w:val="3C826FA5"/>
    <w:rsid w:val="3C8B5758"/>
    <w:rsid w:val="3C91206B"/>
    <w:rsid w:val="3C941C8B"/>
    <w:rsid w:val="3C956BF8"/>
    <w:rsid w:val="3C9F4ED2"/>
    <w:rsid w:val="3CA655B1"/>
    <w:rsid w:val="3CA75138"/>
    <w:rsid w:val="3CAD018B"/>
    <w:rsid w:val="3CAE30EB"/>
    <w:rsid w:val="3CBC3ECA"/>
    <w:rsid w:val="3CC54291"/>
    <w:rsid w:val="3CC75ED1"/>
    <w:rsid w:val="3CDF7376"/>
    <w:rsid w:val="3CE56D9D"/>
    <w:rsid w:val="3CE765AD"/>
    <w:rsid w:val="3CEE3B3B"/>
    <w:rsid w:val="3CF63F13"/>
    <w:rsid w:val="3CF872D6"/>
    <w:rsid w:val="3CFC03EA"/>
    <w:rsid w:val="3CFF31C6"/>
    <w:rsid w:val="3D04370C"/>
    <w:rsid w:val="3D062FBB"/>
    <w:rsid w:val="3D0A5CBB"/>
    <w:rsid w:val="3D1712D7"/>
    <w:rsid w:val="3D196DA1"/>
    <w:rsid w:val="3D1B7CE2"/>
    <w:rsid w:val="3D1F1D46"/>
    <w:rsid w:val="3D2B44D8"/>
    <w:rsid w:val="3D2C7353"/>
    <w:rsid w:val="3D2D0D7C"/>
    <w:rsid w:val="3D394AAA"/>
    <w:rsid w:val="3D3E0F6E"/>
    <w:rsid w:val="3D414006"/>
    <w:rsid w:val="3D422017"/>
    <w:rsid w:val="3D422603"/>
    <w:rsid w:val="3D457EED"/>
    <w:rsid w:val="3D4857DA"/>
    <w:rsid w:val="3D490779"/>
    <w:rsid w:val="3D491A9E"/>
    <w:rsid w:val="3D5252F4"/>
    <w:rsid w:val="3D567A46"/>
    <w:rsid w:val="3D5A3C91"/>
    <w:rsid w:val="3D6E10CE"/>
    <w:rsid w:val="3D7174ED"/>
    <w:rsid w:val="3D7310C6"/>
    <w:rsid w:val="3D8546B0"/>
    <w:rsid w:val="3D8C2045"/>
    <w:rsid w:val="3D8F023E"/>
    <w:rsid w:val="3D920649"/>
    <w:rsid w:val="3D9435FA"/>
    <w:rsid w:val="3D9E07E4"/>
    <w:rsid w:val="3D9E36A0"/>
    <w:rsid w:val="3DA37B38"/>
    <w:rsid w:val="3DA4205D"/>
    <w:rsid w:val="3DB86EDC"/>
    <w:rsid w:val="3DBA02C2"/>
    <w:rsid w:val="3DBA3CD3"/>
    <w:rsid w:val="3DC6669D"/>
    <w:rsid w:val="3DD92957"/>
    <w:rsid w:val="3DE360C7"/>
    <w:rsid w:val="3DF37B9D"/>
    <w:rsid w:val="3DF707AB"/>
    <w:rsid w:val="3E026055"/>
    <w:rsid w:val="3E0F2D59"/>
    <w:rsid w:val="3E0F504E"/>
    <w:rsid w:val="3E114C2D"/>
    <w:rsid w:val="3E1641AB"/>
    <w:rsid w:val="3E197B2A"/>
    <w:rsid w:val="3E1E34AC"/>
    <w:rsid w:val="3E220AFD"/>
    <w:rsid w:val="3E254D6E"/>
    <w:rsid w:val="3E287049"/>
    <w:rsid w:val="3E2B0051"/>
    <w:rsid w:val="3E2B6572"/>
    <w:rsid w:val="3E393955"/>
    <w:rsid w:val="3E3F6B72"/>
    <w:rsid w:val="3E56630A"/>
    <w:rsid w:val="3E5A30F7"/>
    <w:rsid w:val="3E650E62"/>
    <w:rsid w:val="3E690191"/>
    <w:rsid w:val="3E707B0C"/>
    <w:rsid w:val="3E721EEF"/>
    <w:rsid w:val="3E7744E2"/>
    <w:rsid w:val="3E7B328B"/>
    <w:rsid w:val="3E85606E"/>
    <w:rsid w:val="3E891C59"/>
    <w:rsid w:val="3E8A080A"/>
    <w:rsid w:val="3E900FE4"/>
    <w:rsid w:val="3E932FEC"/>
    <w:rsid w:val="3E982A7D"/>
    <w:rsid w:val="3EA80279"/>
    <w:rsid w:val="3EA954B7"/>
    <w:rsid w:val="3EB338DE"/>
    <w:rsid w:val="3EB8419E"/>
    <w:rsid w:val="3EC00BCA"/>
    <w:rsid w:val="3EC42BFB"/>
    <w:rsid w:val="3EC87A9D"/>
    <w:rsid w:val="3ECD14AF"/>
    <w:rsid w:val="3ED74A7A"/>
    <w:rsid w:val="3EE15C53"/>
    <w:rsid w:val="3EE4677D"/>
    <w:rsid w:val="3EEC45AE"/>
    <w:rsid w:val="3EED20BF"/>
    <w:rsid w:val="3EF70005"/>
    <w:rsid w:val="3EFA0E75"/>
    <w:rsid w:val="3F03277C"/>
    <w:rsid w:val="3F0663FE"/>
    <w:rsid w:val="3F080B63"/>
    <w:rsid w:val="3F0A6DD8"/>
    <w:rsid w:val="3F0B6712"/>
    <w:rsid w:val="3F100FF8"/>
    <w:rsid w:val="3F113710"/>
    <w:rsid w:val="3F1A4AAB"/>
    <w:rsid w:val="3F227D1A"/>
    <w:rsid w:val="3F3D6D1C"/>
    <w:rsid w:val="3F3E67FF"/>
    <w:rsid w:val="3F4926BD"/>
    <w:rsid w:val="3F494DA2"/>
    <w:rsid w:val="3F4D65BF"/>
    <w:rsid w:val="3F4E0C41"/>
    <w:rsid w:val="3F55328A"/>
    <w:rsid w:val="3F5C125F"/>
    <w:rsid w:val="3F651FB6"/>
    <w:rsid w:val="3F6800A6"/>
    <w:rsid w:val="3F736D94"/>
    <w:rsid w:val="3F742278"/>
    <w:rsid w:val="3F784721"/>
    <w:rsid w:val="3F784C75"/>
    <w:rsid w:val="3F86264A"/>
    <w:rsid w:val="3F8F4150"/>
    <w:rsid w:val="3F900874"/>
    <w:rsid w:val="3F914527"/>
    <w:rsid w:val="3F9B676F"/>
    <w:rsid w:val="3F9E7AC8"/>
    <w:rsid w:val="3FA56BA1"/>
    <w:rsid w:val="3FB306F9"/>
    <w:rsid w:val="3FC20254"/>
    <w:rsid w:val="3FC571E0"/>
    <w:rsid w:val="3FC85428"/>
    <w:rsid w:val="3FCC4B72"/>
    <w:rsid w:val="3FCE5CBB"/>
    <w:rsid w:val="3FD010A7"/>
    <w:rsid w:val="3FD93A52"/>
    <w:rsid w:val="3FE25BD8"/>
    <w:rsid w:val="3FEA3EB5"/>
    <w:rsid w:val="3FF6582E"/>
    <w:rsid w:val="3FF953AA"/>
    <w:rsid w:val="3FFA2333"/>
    <w:rsid w:val="40007C76"/>
    <w:rsid w:val="40021A37"/>
    <w:rsid w:val="4007705C"/>
    <w:rsid w:val="400927CB"/>
    <w:rsid w:val="40093FC3"/>
    <w:rsid w:val="40123045"/>
    <w:rsid w:val="40207AF9"/>
    <w:rsid w:val="402977FE"/>
    <w:rsid w:val="402C1C63"/>
    <w:rsid w:val="40395953"/>
    <w:rsid w:val="404149D6"/>
    <w:rsid w:val="40447E84"/>
    <w:rsid w:val="404C6691"/>
    <w:rsid w:val="40557218"/>
    <w:rsid w:val="40664F1B"/>
    <w:rsid w:val="407D12B8"/>
    <w:rsid w:val="4082725A"/>
    <w:rsid w:val="40907801"/>
    <w:rsid w:val="4091596F"/>
    <w:rsid w:val="40931078"/>
    <w:rsid w:val="40934815"/>
    <w:rsid w:val="40964283"/>
    <w:rsid w:val="40967658"/>
    <w:rsid w:val="40A43908"/>
    <w:rsid w:val="40A84BA6"/>
    <w:rsid w:val="40AD12EB"/>
    <w:rsid w:val="40B23895"/>
    <w:rsid w:val="40BE1F5F"/>
    <w:rsid w:val="40C43CFD"/>
    <w:rsid w:val="40D21C9F"/>
    <w:rsid w:val="40D44817"/>
    <w:rsid w:val="40D86720"/>
    <w:rsid w:val="40DD067A"/>
    <w:rsid w:val="40E3581B"/>
    <w:rsid w:val="40F34FD1"/>
    <w:rsid w:val="40FD6D1C"/>
    <w:rsid w:val="410026EA"/>
    <w:rsid w:val="411546AE"/>
    <w:rsid w:val="411D53AC"/>
    <w:rsid w:val="41207EF7"/>
    <w:rsid w:val="41221366"/>
    <w:rsid w:val="412E217F"/>
    <w:rsid w:val="41302C5D"/>
    <w:rsid w:val="413B302C"/>
    <w:rsid w:val="413C09BF"/>
    <w:rsid w:val="414232DD"/>
    <w:rsid w:val="414D67EA"/>
    <w:rsid w:val="41517B2D"/>
    <w:rsid w:val="416F19E1"/>
    <w:rsid w:val="4170004F"/>
    <w:rsid w:val="417E0D19"/>
    <w:rsid w:val="418C6838"/>
    <w:rsid w:val="418D69D2"/>
    <w:rsid w:val="4193170E"/>
    <w:rsid w:val="419C28B5"/>
    <w:rsid w:val="419E1C0E"/>
    <w:rsid w:val="41A044B9"/>
    <w:rsid w:val="41A173FA"/>
    <w:rsid w:val="41A42A44"/>
    <w:rsid w:val="41A674BE"/>
    <w:rsid w:val="41B73C3D"/>
    <w:rsid w:val="41C13425"/>
    <w:rsid w:val="41C56C3B"/>
    <w:rsid w:val="41C8544B"/>
    <w:rsid w:val="41D53F2C"/>
    <w:rsid w:val="41E15AD9"/>
    <w:rsid w:val="41E218E8"/>
    <w:rsid w:val="41E62D71"/>
    <w:rsid w:val="41F35EFC"/>
    <w:rsid w:val="41F40B23"/>
    <w:rsid w:val="41F53DBC"/>
    <w:rsid w:val="41F83549"/>
    <w:rsid w:val="42014F7D"/>
    <w:rsid w:val="42037FCE"/>
    <w:rsid w:val="42061478"/>
    <w:rsid w:val="420805AA"/>
    <w:rsid w:val="420E5AEE"/>
    <w:rsid w:val="4213363D"/>
    <w:rsid w:val="42140857"/>
    <w:rsid w:val="42145A64"/>
    <w:rsid w:val="42157CEF"/>
    <w:rsid w:val="421D615A"/>
    <w:rsid w:val="42241810"/>
    <w:rsid w:val="422A0490"/>
    <w:rsid w:val="42341EA0"/>
    <w:rsid w:val="423602CC"/>
    <w:rsid w:val="42370173"/>
    <w:rsid w:val="423F1891"/>
    <w:rsid w:val="423F62F9"/>
    <w:rsid w:val="4241592D"/>
    <w:rsid w:val="42421BC4"/>
    <w:rsid w:val="42522642"/>
    <w:rsid w:val="425B2438"/>
    <w:rsid w:val="42605B43"/>
    <w:rsid w:val="4263603D"/>
    <w:rsid w:val="42646C12"/>
    <w:rsid w:val="426E1959"/>
    <w:rsid w:val="42757342"/>
    <w:rsid w:val="42760AB4"/>
    <w:rsid w:val="427942DA"/>
    <w:rsid w:val="428020E7"/>
    <w:rsid w:val="428A5952"/>
    <w:rsid w:val="428D01AD"/>
    <w:rsid w:val="428E4C2C"/>
    <w:rsid w:val="42925C52"/>
    <w:rsid w:val="42957829"/>
    <w:rsid w:val="429D4C3F"/>
    <w:rsid w:val="42A075D5"/>
    <w:rsid w:val="42A135DA"/>
    <w:rsid w:val="42A239AC"/>
    <w:rsid w:val="42A34975"/>
    <w:rsid w:val="42A9148F"/>
    <w:rsid w:val="42AC2DE4"/>
    <w:rsid w:val="42B82EAC"/>
    <w:rsid w:val="42BC1327"/>
    <w:rsid w:val="42C85EA4"/>
    <w:rsid w:val="42D75AE1"/>
    <w:rsid w:val="42DA06DB"/>
    <w:rsid w:val="42DA48D4"/>
    <w:rsid w:val="42E13027"/>
    <w:rsid w:val="430279F1"/>
    <w:rsid w:val="430C2652"/>
    <w:rsid w:val="43115EDD"/>
    <w:rsid w:val="431237D3"/>
    <w:rsid w:val="43156DD5"/>
    <w:rsid w:val="43180E8C"/>
    <w:rsid w:val="4325445D"/>
    <w:rsid w:val="433057C9"/>
    <w:rsid w:val="433841D3"/>
    <w:rsid w:val="433D5051"/>
    <w:rsid w:val="43430AE7"/>
    <w:rsid w:val="43494137"/>
    <w:rsid w:val="434E76D1"/>
    <w:rsid w:val="434F071C"/>
    <w:rsid w:val="435F1CFC"/>
    <w:rsid w:val="43600C10"/>
    <w:rsid w:val="4362383B"/>
    <w:rsid w:val="43631B06"/>
    <w:rsid w:val="436508C8"/>
    <w:rsid w:val="43653E54"/>
    <w:rsid w:val="43673359"/>
    <w:rsid w:val="43686476"/>
    <w:rsid w:val="436B565E"/>
    <w:rsid w:val="437634D4"/>
    <w:rsid w:val="43776DA9"/>
    <w:rsid w:val="437930E7"/>
    <w:rsid w:val="437E1B6E"/>
    <w:rsid w:val="43806AEF"/>
    <w:rsid w:val="438615F1"/>
    <w:rsid w:val="43936956"/>
    <w:rsid w:val="439A7746"/>
    <w:rsid w:val="439F0C72"/>
    <w:rsid w:val="43A16934"/>
    <w:rsid w:val="43AA6240"/>
    <w:rsid w:val="43B508CF"/>
    <w:rsid w:val="43BB526F"/>
    <w:rsid w:val="43BC166D"/>
    <w:rsid w:val="43C305DA"/>
    <w:rsid w:val="43C45599"/>
    <w:rsid w:val="43C904A7"/>
    <w:rsid w:val="43D02E89"/>
    <w:rsid w:val="43D3107C"/>
    <w:rsid w:val="43DF105A"/>
    <w:rsid w:val="43E87144"/>
    <w:rsid w:val="43EA4921"/>
    <w:rsid w:val="43EB1484"/>
    <w:rsid w:val="43EE159D"/>
    <w:rsid w:val="43EF0BA9"/>
    <w:rsid w:val="43F15BA5"/>
    <w:rsid w:val="43F55295"/>
    <w:rsid w:val="43F85817"/>
    <w:rsid w:val="43F85AE1"/>
    <w:rsid w:val="43F908D5"/>
    <w:rsid w:val="43FB584D"/>
    <w:rsid w:val="441B0CB6"/>
    <w:rsid w:val="441C7484"/>
    <w:rsid w:val="442C2706"/>
    <w:rsid w:val="443005C2"/>
    <w:rsid w:val="443062F0"/>
    <w:rsid w:val="44336C48"/>
    <w:rsid w:val="44381304"/>
    <w:rsid w:val="4438491B"/>
    <w:rsid w:val="444556F5"/>
    <w:rsid w:val="44463AAF"/>
    <w:rsid w:val="445C3E40"/>
    <w:rsid w:val="445F61A3"/>
    <w:rsid w:val="446508F0"/>
    <w:rsid w:val="44692133"/>
    <w:rsid w:val="446A161F"/>
    <w:rsid w:val="447841A9"/>
    <w:rsid w:val="447E53C9"/>
    <w:rsid w:val="4488359C"/>
    <w:rsid w:val="448A525A"/>
    <w:rsid w:val="44933E37"/>
    <w:rsid w:val="449406DA"/>
    <w:rsid w:val="4497472B"/>
    <w:rsid w:val="449817BC"/>
    <w:rsid w:val="44995690"/>
    <w:rsid w:val="44997599"/>
    <w:rsid w:val="449B6F1E"/>
    <w:rsid w:val="44A6544B"/>
    <w:rsid w:val="44A65752"/>
    <w:rsid w:val="44AA6749"/>
    <w:rsid w:val="44B47C66"/>
    <w:rsid w:val="44C030EB"/>
    <w:rsid w:val="44C94256"/>
    <w:rsid w:val="44CA0602"/>
    <w:rsid w:val="44CA5C9C"/>
    <w:rsid w:val="44CB4974"/>
    <w:rsid w:val="44D00144"/>
    <w:rsid w:val="44D128B5"/>
    <w:rsid w:val="44D43158"/>
    <w:rsid w:val="44E842F1"/>
    <w:rsid w:val="44EA62FB"/>
    <w:rsid w:val="44ED7533"/>
    <w:rsid w:val="44FB1376"/>
    <w:rsid w:val="45040D8A"/>
    <w:rsid w:val="45135F85"/>
    <w:rsid w:val="45212F53"/>
    <w:rsid w:val="452622B7"/>
    <w:rsid w:val="452A2B39"/>
    <w:rsid w:val="4541691B"/>
    <w:rsid w:val="454E30FD"/>
    <w:rsid w:val="454F4A2D"/>
    <w:rsid w:val="455153C4"/>
    <w:rsid w:val="45544E1C"/>
    <w:rsid w:val="4563419A"/>
    <w:rsid w:val="45670630"/>
    <w:rsid w:val="45682C8D"/>
    <w:rsid w:val="456A5ADF"/>
    <w:rsid w:val="45716F09"/>
    <w:rsid w:val="4578513F"/>
    <w:rsid w:val="45820082"/>
    <w:rsid w:val="458E0429"/>
    <w:rsid w:val="458F7414"/>
    <w:rsid w:val="45984F89"/>
    <w:rsid w:val="459D345F"/>
    <w:rsid w:val="45B876DB"/>
    <w:rsid w:val="45BC0F48"/>
    <w:rsid w:val="45C5458A"/>
    <w:rsid w:val="45C61997"/>
    <w:rsid w:val="45C927B5"/>
    <w:rsid w:val="45CC09E8"/>
    <w:rsid w:val="45D033C8"/>
    <w:rsid w:val="45DE468E"/>
    <w:rsid w:val="45DF1556"/>
    <w:rsid w:val="45E70D6B"/>
    <w:rsid w:val="45E83DF4"/>
    <w:rsid w:val="45EB3CDC"/>
    <w:rsid w:val="45EB532A"/>
    <w:rsid w:val="45ED0C18"/>
    <w:rsid w:val="45ED687B"/>
    <w:rsid w:val="45FE6E7A"/>
    <w:rsid w:val="46076CCC"/>
    <w:rsid w:val="460B3E25"/>
    <w:rsid w:val="460D0843"/>
    <w:rsid w:val="46415118"/>
    <w:rsid w:val="4643132F"/>
    <w:rsid w:val="4650678A"/>
    <w:rsid w:val="46537F87"/>
    <w:rsid w:val="465E65B9"/>
    <w:rsid w:val="466310CD"/>
    <w:rsid w:val="46633CD2"/>
    <w:rsid w:val="46656A89"/>
    <w:rsid w:val="466859FD"/>
    <w:rsid w:val="46720D37"/>
    <w:rsid w:val="4674012C"/>
    <w:rsid w:val="467C1A90"/>
    <w:rsid w:val="467C5FEC"/>
    <w:rsid w:val="46804844"/>
    <w:rsid w:val="46814483"/>
    <w:rsid w:val="468330DA"/>
    <w:rsid w:val="46906D3E"/>
    <w:rsid w:val="46AE48BF"/>
    <w:rsid w:val="46BD267A"/>
    <w:rsid w:val="46C4392D"/>
    <w:rsid w:val="46D90425"/>
    <w:rsid w:val="46DB51C6"/>
    <w:rsid w:val="46DE2C8C"/>
    <w:rsid w:val="46E62E8A"/>
    <w:rsid w:val="46F37328"/>
    <w:rsid w:val="46F52FC5"/>
    <w:rsid w:val="46F569AA"/>
    <w:rsid w:val="470E3F6D"/>
    <w:rsid w:val="471243AD"/>
    <w:rsid w:val="471425AF"/>
    <w:rsid w:val="471D733A"/>
    <w:rsid w:val="47202FF3"/>
    <w:rsid w:val="47221547"/>
    <w:rsid w:val="47240A17"/>
    <w:rsid w:val="472A3580"/>
    <w:rsid w:val="472C42D4"/>
    <w:rsid w:val="473651D4"/>
    <w:rsid w:val="474970E0"/>
    <w:rsid w:val="475D186F"/>
    <w:rsid w:val="476349C1"/>
    <w:rsid w:val="47635246"/>
    <w:rsid w:val="47680629"/>
    <w:rsid w:val="476C47F6"/>
    <w:rsid w:val="477C7DBB"/>
    <w:rsid w:val="4787318A"/>
    <w:rsid w:val="478B40F0"/>
    <w:rsid w:val="478C0E47"/>
    <w:rsid w:val="478E2712"/>
    <w:rsid w:val="478F3F60"/>
    <w:rsid w:val="479565B1"/>
    <w:rsid w:val="479E2231"/>
    <w:rsid w:val="479E5C24"/>
    <w:rsid w:val="479F2099"/>
    <w:rsid w:val="47AD2E24"/>
    <w:rsid w:val="47C61872"/>
    <w:rsid w:val="47CE6F5F"/>
    <w:rsid w:val="47D13B1E"/>
    <w:rsid w:val="47D22495"/>
    <w:rsid w:val="47D34424"/>
    <w:rsid w:val="47D5591D"/>
    <w:rsid w:val="47D86081"/>
    <w:rsid w:val="47E003D9"/>
    <w:rsid w:val="480F0AF5"/>
    <w:rsid w:val="4814570B"/>
    <w:rsid w:val="48180615"/>
    <w:rsid w:val="48182427"/>
    <w:rsid w:val="481D4371"/>
    <w:rsid w:val="48212ECE"/>
    <w:rsid w:val="482354BE"/>
    <w:rsid w:val="482617A3"/>
    <w:rsid w:val="482E6712"/>
    <w:rsid w:val="48315F2D"/>
    <w:rsid w:val="4835102E"/>
    <w:rsid w:val="483729CF"/>
    <w:rsid w:val="48392C05"/>
    <w:rsid w:val="483F6230"/>
    <w:rsid w:val="484222C8"/>
    <w:rsid w:val="48447206"/>
    <w:rsid w:val="484476C0"/>
    <w:rsid w:val="4846785F"/>
    <w:rsid w:val="48494A77"/>
    <w:rsid w:val="484A3AA3"/>
    <w:rsid w:val="484C7711"/>
    <w:rsid w:val="484F317D"/>
    <w:rsid w:val="485069C7"/>
    <w:rsid w:val="48507221"/>
    <w:rsid w:val="485540DC"/>
    <w:rsid w:val="485D4618"/>
    <w:rsid w:val="486231D8"/>
    <w:rsid w:val="4877379D"/>
    <w:rsid w:val="48847298"/>
    <w:rsid w:val="4889697B"/>
    <w:rsid w:val="488B4C70"/>
    <w:rsid w:val="488D0F8A"/>
    <w:rsid w:val="488E192C"/>
    <w:rsid w:val="488E2250"/>
    <w:rsid w:val="48924773"/>
    <w:rsid w:val="48986715"/>
    <w:rsid w:val="489D543C"/>
    <w:rsid w:val="48B15377"/>
    <w:rsid w:val="48CD7211"/>
    <w:rsid w:val="48D067FE"/>
    <w:rsid w:val="48D74E1F"/>
    <w:rsid w:val="48DA40AD"/>
    <w:rsid w:val="48DB719A"/>
    <w:rsid w:val="48DD0505"/>
    <w:rsid w:val="48DD29E6"/>
    <w:rsid w:val="48E61DC7"/>
    <w:rsid w:val="48F552BD"/>
    <w:rsid w:val="490952F1"/>
    <w:rsid w:val="490A45DE"/>
    <w:rsid w:val="490B6BBE"/>
    <w:rsid w:val="490D2D2F"/>
    <w:rsid w:val="4913539F"/>
    <w:rsid w:val="491A223A"/>
    <w:rsid w:val="491B3430"/>
    <w:rsid w:val="492611D8"/>
    <w:rsid w:val="49286AA2"/>
    <w:rsid w:val="4928761D"/>
    <w:rsid w:val="492A125D"/>
    <w:rsid w:val="492A7450"/>
    <w:rsid w:val="492B7517"/>
    <w:rsid w:val="493712CC"/>
    <w:rsid w:val="493B1858"/>
    <w:rsid w:val="49423339"/>
    <w:rsid w:val="494424C8"/>
    <w:rsid w:val="49460C9A"/>
    <w:rsid w:val="494638FF"/>
    <w:rsid w:val="494672C5"/>
    <w:rsid w:val="4948475D"/>
    <w:rsid w:val="494E2073"/>
    <w:rsid w:val="495A61B3"/>
    <w:rsid w:val="495F2DE4"/>
    <w:rsid w:val="49680683"/>
    <w:rsid w:val="496A5DC1"/>
    <w:rsid w:val="49711E0A"/>
    <w:rsid w:val="49775E2C"/>
    <w:rsid w:val="497832A2"/>
    <w:rsid w:val="4979164A"/>
    <w:rsid w:val="497B47FB"/>
    <w:rsid w:val="49820691"/>
    <w:rsid w:val="49851E7C"/>
    <w:rsid w:val="498A20FD"/>
    <w:rsid w:val="498C6390"/>
    <w:rsid w:val="499404A7"/>
    <w:rsid w:val="499E54EB"/>
    <w:rsid w:val="499E7AF7"/>
    <w:rsid w:val="49A4782B"/>
    <w:rsid w:val="49A702A1"/>
    <w:rsid w:val="49A96F62"/>
    <w:rsid w:val="49B1360B"/>
    <w:rsid w:val="49B55336"/>
    <w:rsid w:val="49BB740C"/>
    <w:rsid w:val="49BE0572"/>
    <w:rsid w:val="49BF3B35"/>
    <w:rsid w:val="49CB5318"/>
    <w:rsid w:val="49CE292F"/>
    <w:rsid w:val="49D639AA"/>
    <w:rsid w:val="49D9225D"/>
    <w:rsid w:val="49DE01EF"/>
    <w:rsid w:val="49E86C92"/>
    <w:rsid w:val="49F94858"/>
    <w:rsid w:val="49FA1718"/>
    <w:rsid w:val="4A0763E4"/>
    <w:rsid w:val="4A131D6E"/>
    <w:rsid w:val="4A132EB0"/>
    <w:rsid w:val="4A165F2A"/>
    <w:rsid w:val="4A177E29"/>
    <w:rsid w:val="4A1B020F"/>
    <w:rsid w:val="4A280AB4"/>
    <w:rsid w:val="4A2854F7"/>
    <w:rsid w:val="4A2F31BA"/>
    <w:rsid w:val="4A43642E"/>
    <w:rsid w:val="4A4C6550"/>
    <w:rsid w:val="4A4C75B0"/>
    <w:rsid w:val="4A4D016A"/>
    <w:rsid w:val="4A4E5FEB"/>
    <w:rsid w:val="4A554601"/>
    <w:rsid w:val="4A561CBA"/>
    <w:rsid w:val="4A5A671F"/>
    <w:rsid w:val="4A5C0FF0"/>
    <w:rsid w:val="4A5D145D"/>
    <w:rsid w:val="4A620A54"/>
    <w:rsid w:val="4A702F2B"/>
    <w:rsid w:val="4A840DC6"/>
    <w:rsid w:val="4A902749"/>
    <w:rsid w:val="4A926276"/>
    <w:rsid w:val="4AA00FD2"/>
    <w:rsid w:val="4AAA7D7C"/>
    <w:rsid w:val="4AC20F7D"/>
    <w:rsid w:val="4ACC2A8B"/>
    <w:rsid w:val="4ACD2B90"/>
    <w:rsid w:val="4AD44255"/>
    <w:rsid w:val="4AD82F13"/>
    <w:rsid w:val="4AD96422"/>
    <w:rsid w:val="4ADB30A1"/>
    <w:rsid w:val="4ADC18A7"/>
    <w:rsid w:val="4AE6006F"/>
    <w:rsid w:val="4AE6230E"/>
    <w:rsid w:val="4AEC3AB3"/>
    <w:rsid w:val="4AEF685E"/>
    <w:rsid w:val="4AF154EB"/>
    <w:rsid w:val="4AF3018B"/>
    <w:rsid w:val="4AF52377"/>
    <w:rsid w:val="4B0E2569"/>
    <w:rsid w:val="4B0F2F76"/>
    <w:rsid w:val="4B257283"/>
    <w:rsid w:val="4B29237B"/>
    <w:rsid w:val="4B2B16A0"/>
    <w:rsid w:val="4B2C1031"/>
    <w:rsid w:val="4B35718B"/>
    <w:rsid w:val="4B3856F5"/>
    <w:rsid w:val="4B3D046D"/>
    <w:rsid w:val="4B3F3070"/>
    <w:rsid w:val="4B40760C"/>
    <w:rsid w:val="4B491417"/>
    <w:rsid w:val="4B524375"/>
    <w:rsid w:val="4B6458AB"/>
    <w:rsid w:val="4B6C754A"/>
    <w:rsid w:val="4B700EFE"/>
    <w:rsid w:val="4B792774"/>
    <w:rsid w:val="4B88550B"/>
    <w:rsid w:val="4B8A186D"/>
    <w:rsid w:val="4B8B4FBB"/>
    <w:rsid w:val="4B8D17EF"/>
    <w:rsid w:val="4B90006B"/>
    <w:rsid w:val="4B922864"/>
    <w:rsid w:val="4B9A7EBC"/>
    <w:rsid w:val="4BA51614"/>
    <w:rsid w:val="4BA7741B"/>
    <w:rsid w:val="4BAC07F0"/>
    <w:rsid w:val="4BB223ED"/>
    <w:rsid w:val="4BB555FA"/>
    <w:rsid w:val="4BB84306"/>
    <w:rsid w:val="4BB9783D"/>
    <w:rsid w:val="4BC30330"/>
    <w:rsid w:val="4BC504B6"/>
    <w:rsid w:val="4BCC4E5B"/>
    <w:rsid w:val="4BE22B6F"/>
    <w:rsid w:val="4BEE4A49"/>
    <w:rsid w:val="4BF9737C"/>
    <w:rsid w:val="4C090F58"/>
    <w:rsid w:val="4C145D65"/>
    <w:rsid w:val="4C14685F"/>
    <w:rsid w:val="4C195AB0"/>
    <w:rsid w:val="4C1F45CF"/>
    <w:rsid w:val="4C1F7AAA"/>
    <w:rsid w:val="4C2841CA"/>
    <w:rsid w:val="4C2D3605"/>
    <w:rsid w:val="4C2E5DF4"/>
    <w:rsid w:val="4C302713"/>
    <w:rsid w:val="4C3136B5"/>
    <w:rsid w:val="4C361BEE"/>
    <w:rsid w:val="4C370B02"/>
    <w:rsid w:val="4C391C1B"/>
    <w:rsid w:val="4C3A5314"/>
    <w:rsid w:val="4C3B1FC1"/>
    <w:rsid w:val="4C3F1CEB"/>
    <w:rsid w:val="4C402615"/>
    <w:rsid w:val="4C414909"/>
    <w:rsid w:val="4C424438"/>
    <w:rsid w:val="4C45125E"/>
    <w:rsid w:val="4C4B0019"/>
    <w:rsid w:val="4C522A79"/>
    <w:rsid w:val="4C525B40"/>
    <w:rsid w:val="4C535783"/>
    <w:rsid w:val="4C535FFF"/>
    <w:rsid w:val="4C574705"/>
    <w:rsid w:val="4C5D6554"/>
    <w:rsid w:val="4C5D67F9"/>
    <w:rsid w:val="4C6763F0"/>
    <w:rsid w:val="4C681F60"/>
    <w:rsid w:val="4C774AF0"/>
    <w:rsid w:val="4C8C2990"/>
    <w:rsid w:val="4C906CEC"/>
    <w:rsid w:val="4C9304B5"/>
    <w:rsid w:val="4C9C4035"/>
    <w:rsid w:val="4CA55EFB"/>
    <w:rsid w:val="4CA5686D"/>
    <w:rsid w:val="4CA61A6C"/>
    <w:rsid w:val="4CAA7F22"/>
    <w:rsid w:val="4CAB0678"/>
    <w:rsid w:val="4CBA54E2"/>
    <w:rsid w:val="4CC06044"/>
    <w:rsid w:val="4CC518B5"/>
    <w:rsid w:val="4CCA223F"/>
    <w:rsid w:val="4CCB43DD"/>
    <w:rsid w:val="4CCD51D5"/>
    <w:rsid w:val="4CCE4955"/>
    <w:rsid w:val="4CD26D01"/>
    <w:rsid w:val="4CD860C5"/>
    <w:rsid w:val="4CF169AF"/>
    <w:rsid w:val="4CF35810"/>
    <w:rsid w:val="4CF862A1"/>
    <w:rsid w:val="4D0955E0"/>
    <w:rsid w:val="4D0E7C59"/>
    <w:rsid w:val="4D13176E"/>
    <w:rsid w:val="4D1516D4"/>
    <w:rsid w:val="4D155109"/>
    <w:rsid w:val="4D160772"/>
    <w:rsid w:val="4D161C86"/>
    <w:rsid w:val="4D294D3E"/>
    <w:rsid w:val="4D2E4911"/>
    <w:rsid w:val="4D36583D"/>
    <w:rsid w:val="4D377FC9"/>
    <w:rsid w:val="4D3F3490"/>
    <w:rsid w:val="4D4205F9"/>
    <w:rsid w:val="4D4763C9"/>
    <w:rsid w:val="4D4B0F75"/>
    <w:rsid w:val="4D4B25D3"/>
    <w:rsid w:val="4D571A7B"/>
    <w:rsid w:val="4D5B1632"/>
    <w:rsid w:val="4D6C5AB4"/>
    <w:rsid w:val="4D744588"/>
    <w:rsid w:val="4D746687"/>
    <w:rsid w:val="4D843B0A"/>
    <w:rsid w:val="4D8A0553"/>
    <w:rsid w:val="4D981AE4"/>
    <w:rsid w:val="4D987F90"/>
    <w:rsid w:val="4D9A2E23"/>
    <w:rsid w:val="4DA0212D"/>
    <w:rsid w:val="4DA35103"/>
    <w:rsid w:val="4DA428DE"/>
    <w:rsid w:val="4DAD5DD7"/>
    <w:rsid w:val="4DB32910"/>
    <w:rsid w:val="4DB511D9"/>
    <w:rsid w:val="4DBF014D"/>
    <w:rsid w:val="4DC17153"/>
    <w:rsid w:val="4DC63CE9"/>
    <w:rsid w:val="4DC749EC"/>
    <w:rsid w:val="4DCF2221"/>
    <w:rsid w:val="4DCF5D33"/>
    <w:rsid w:val="4DD51F8E"/>
    <w:rsid w:val="4DE4148A"/>
    <w:rsid w:val="4DE72944"/>
    <w:rsid w:val="4DEC5CC4"/>
    <w:rsid w:val="4DF70A71"/>
    <w:rsid w:val="4DFF0035"/>
    <w:rsid w:val="4E1A1D04"/>
    <w:rsid w:val="4E1B4982"/>
    <w:rsid w:val="4E1F3BD6"/>
    <w:rsid w:val="4E25467E"/>
    <w:rsid w:val="4E2B524A"/>
    <w:rsid w:val="4E2F43B6"/>
    <w:rsid w:val="4E2F4535"/>
    <w:rsid w:val="4E31543F"/>
    <w:rsid w:val="4E3265CC"/>
    <w:rsid w:val="4E337043"/>
    <w:rsid w:val="4E35074B"/>
    <w:rsid w:val="4E3C7656"/>
    <w:rsid w:val="4E412777"/>
    <w:rsid w:val="4E41707E"/>
    <w:rsid w:val="4E463559"/>
    <w:rsid w:val="4E5E365F"/>
    <w:rsid w:val="4E704B83"/>
    <w:rsid w:val="4E750B97"/>
    <w:rsid w:val="4E7C27BA"/>
    <w:rsid w:val="4E7E2192"/>
    <w:rsid w:val="4E7F4F7B"/>
    <w:rsid w:val="4E8350BC"/>
    <w:rsid w:val="4E8532FC"/>
    <w:rsid w:val="4E8F7ECC"/>
    <w:rsid w:val="4E9F25EB"/>
    <w:rsid w:val="4EA3570B"/>
    <w:rsid w:val="4EB34EAA"/>
    <w:rsid w:val="4EBA3C30"/>
    <w:rsid w:val="4EC448B7"/>
    <w:rsid w:val="4EC507D8"/>
    <w:rsid w:val="4EC73EFA"/>
    <w:rsid w:val="4EC74A79"/>
    <w:rsid w:val="4EC9721D"/>
    <w:rsid w:val="4ECD60AD"/>
    <w:rsid w:val="4ED54F23"/>
    <w:rsid w:val="4EDB0E4C"/>
    <w:rsid w:val="4EE01FDE"/>
    <w:rsid w:val="4EE33552"/>
    <w:rsid w:val="4F047B4F"/>
    <w:rsid w:val="4F0A170B"/>
    <w:rsid w:val="4F1E7A0E"/>
    <w:rsid w:val="4F2531CF"/>
    <w:rsid w:val="4F362B9E"/>
    <w:rsid w:val="4F3F7463"/>
    <w:rsid w:val="4F403BE0"/>
    <w:rsid w:val="4F495F22"/>
    <w:rsid w:val="4F563999"/>
    <w:rsid w:val="4F5A7F0A"/>
    <w:rsid w:val="4F6A55C1"/>
    <w:rsid w:val="4F701FC0"/>
    <w:rsid w:val="4F705BF7"/>
    <w:rsid w:val="4F71167C"/>
    <w:rsid w:val="4F761B22"/>
    <w:rsid w:val="4F763905"/>
    <w:rsid w:val="4F7F4A65"/>
    <w:rsid w:val="4F813AAC"/>
    <w:rsid w:val="4F8B0221"/>
    <w:rsid w:val="4F902EF7"/>
    <w:rsid w:val="4F904D9A"/>
    <w:rsid w:val="4F940894"/>
    <w:rsid w:val="4F9862AC"/>
    <w:rsid w:val="4FA040DD"/>
    <w:rsid w:val="4FA33D51"/>
    <w:rsid w:val="4FA93E74"/>
    <w:rsid w:val="4FB12CD8"/>
    <w:rsid w:val="4FBA31CA"/>
    <w:rsid w:val="4FBC0DBA"/>
    <w:rsid w:val="4FBE3648"/>
    <w:rsid w:val="4FC0665C"/>
    <w:rsid w:val="4FC53A5B"/>
    <w:rsid w:val="4FC60C36"/>
    <w:rsid w:val="4FD96FB7"/>
    <w:rsid w:val="4FDC159C"/>
    <w:rsid w:val="4FFF62C6"/>
    <w:rsid w:val="50030B40"/>
    <w:rsid w:val="500636FB"/>
    <w:rsid w:val="50092FAB"/>
    <w:rsid w:val="500F4483"/>
    <w:rsid w:val="50242190"/>
    <w:rsid w:val="502E42C7"/>
    <w:rsid w:val="50395FA0"/>
    <w:rsid w:val="505A6BC2"/>
    <w:rsid w:val="50673B6A"/>
    <w:rsid w:val="506A3754"/>
    <w:rsid w:val="50780635"/>
    <w:rsid w:val="507E0CD2"/>
    <w:rsid w:val="5089249C"/>
    <w:rsid w:val="50902B77"/>
    <w:rsid w:val="50913525"/>
    <w:rsid w:val="50963D8A"/>
    <w:rsid w:val="50963FBA"/>
    <w:rsid w:val="509934B9"/>
    <w:rsid w:val="509E5C06"/>
    <w:rsid w:val="50A47812"/>
    <w:rsid w:val="50AB7ED3"/>
    <w:rsid w:val="50B3110D"/>
    <w:rsid w:val="50B72ACE"/>
    <w:rsid w:val="50BB383C"/>
    <w:rsid w:val="50C61C73"/>
    <w:rsid w:val="50D17A9A"/>
    <w:rsid w:val="50DA2A30"/>
    <w:rsid w:val="50E24197"/>
    <w:rsid w:val="50E667A8"/>
    <w:rsid w:val="50F25714"/>
    <w:rsid w:val="50F309D5"/>
    <w:rsid w:val="50F40D1C"/>
    <w:rsid w:val="50FA1A5E"/>
    <w:rsid w:val="50FD1D6A"/>
    <w:rsid w:val="50FE57A9"/>
    <w:rsid w:val="50FE5ABA"/>
    <w:rsid w:val="510B4104"/>
    <w:rsid w:val="5117522E"/>
    <w:rsid w:val="513F0351"/>
    <w:rsid w:val="51411303"/>
    <w:rsid w:val="514337DF"/>
    <w:rsid w:val="51435C59"/>
    <w:rsid w:val="515878DC"/>
    <w:rsid w:val="5161133E"/>
    <w:rsid w:val="51646B4B"/>
    <w:rsid w:val="51723CF3"/>
    <w:rsid w:val="517308D4"/>
    <w:rsid w:val="517443E8"/>
    <w:rsid w:val="51846035"/>
    <w:rsid w:val="518971D0"/>
    <w:rsid w:val="519D51A6"/>
    <w:rsid w:val="519E09A2"/>
    <w:rsid w:val="519F5663"/>
    <w:rsid w:val="51A030B9"/>
    <w:rsid w:val="51B366B5"/>
    <w:rsid w:val="51B85AB4"/>
    <w:rsid w:val="51C03237"/>
    <w:rsid w:val="51C1710B"/>
    <w:rsid w:val="51C509B0"/>
    <w:rsid w:val="51C57D18"/>
    <w:rsid w:val="51D07EA4"/>
    <w:rsid w:val="51DB18C2"/>
    <w:rsid w:val="51E62755"/>
    <w:rsid w:val="51EA437C"/>
    <w:rsid w:val="51EE3AFD"/>
    <w:rsid w:val="51EE7C4A"/>
    <w:rsid w:val="51F14AA4"/>
    <w:rsid w:val="51F17BE9"/>
    <w:rsid w:val="51F81E2B"/>
    <w:rsid w:val="520806BD"/>
    <w:rsid w:val="5209146F"/>
    <w:rsid w:val="522E24E8"/>
    <w:rsid w:val="522F5BA0"/>
    <w:rsid w:val="523B24E9"/>
    <w:rsid w:val="523C59A2"/>
    <w:rsid w:val="523E0049"/>
    <w:rsid w:val="523F0C59"/>
    <w:rsid w:val="5242166E"/>
    <w:rsid w:val="5247687B"/>
    <w:rsid w:val="524E350F"/>
    <w:rsid w:val="52557351"/>
    <w:rsid w:val="525C1EE8"/>
    <w:rsid w:val="525D1948"/>
    <w:rsid w:val="52605431"/>
    <w:rsid w:val="52800DF4"/>
    <w:rsid w:val="52802215"/>
    <w:rsid w:val="52816A27"/>
    <w:rsid w:val="52875D10"/>
    <w:rsid w:val="52A50B3C"/>
    <w:rsid w:val="52A82D0E"/>
    <w:rsid w:val="52AC1D41"/>
    <w:rsid w:val="52B17716"/>
    <w:rsid w:val="52BC03D5"/>
    <w:rsid w:val="52C45D80"/>
    <w:rsid w:val="52CB153A"/>
    <w:rsid w:val="52CC1D57"/>
    <w:rsid w:val="52D26885"/>
    <w:rsid w:val="52D8505C"/>
    <w:rsid w:val="52E65386"/>
    <w:rsid w:val="52F04CC5"/>
    <w:rsid w:val="52F67C18"/>
    <w:rsid w:val="52FA6D2A"/>
    <w:rsid w:val="530C64FF"/>
    <w:rsid w:val="53187567"/>
    <w:rsid w:val="53190FC1"/>
    <w:rsid w:val="53287738"/>
    <w:rsid w:val="532E5092"/>
    <w:rsid w:val="53346659"/>
    <w:rsid w:val="5336131E"/>
    <w:rsid w:val="533F0464"/>
    <w:rsid w:val="53406D4D"/>
    <w:rsid w:val="53486639"/>
    <w:rsid w:val="534913C3"/>
    <w:rsid w:val="534A6E64"/>
    <w:rsid w:val="53506F92"/>
    <w:rsid w:val="53520818"/>
    <w:rsid w:val="53564ABA"/>
    <w:rsid w:val="53727993"/>
    <w:rsid w:val="53756402"/>
    <w:rsid w:val="53914D45"/>
    <w:rsid w:val="539F1C44"/>
    <w:rsid w:val="53A2196B"/>
    <w:rsid w:val="53A53B51"/>
    <w:rsid w:val="53AB3A32"/>
    <w:rsid w:val="53AB5887"/>
    <w:rsid w:val="53B03474"/>
    <w:rsid w:val="53BA7E0C"/>
    <w:rsid w:val="53D15786"/>
    <w:rsid w:val="53D75988"/>
    <w:rsid w:val="53D9323A"/>
    <w:rsid w:val="53E257CD"/>
    <w:rsid w:val="53E35927"/>
    <w:rsid w:val="53E85A9F"/>
    <w:rsid w:val="54004971"/>
    <w:rsid w:val="54034791"/>
    <w:rsid w:val="54085300"/>
    <w:rsid w:val="540A2E61"/>
    <w:rsid w:val="541907CF"/>
    <w:rsid w:val="541D52D2"/>
    <w:rsid w:val="541E297A"/>
    <w:rsid w:val="54231FA3"/>
    <w:rsid w:val="54260EC2"/>
    <w:rsid w:val="542F6CAB"/>
    <w:rsid w:val="54303DB7"/>
    <w:rsid w:val="5434044C"/>
    <w:rsid w:val="54347B4D"/>
    <w:rsid w:val="543A6673"/>
    <w:rsid w:val="54405ACF"/>
    <w:rsid w:val="54431858"/>
    <w:rsid w:val="54433B8D"/>
    <w:rsid w:val="544554F6"/>
    <w:rsid w:val="54493918"/>
    <w:rsid w:val="544A330D"/>
    <w:rsid w:val="54522C0A"/>
    <w:rsid w:val="545C02F9"/>
    <w:rsid w:val="546576D7"/>
    <w:rsid w:val="54660239"/>
    <w:rsid w:val="546B1302"/>
    <w:rsid w:val="546C78D6"/>
    <w:rsid w:val="54721819"/>
    <w:rsid w:val="547A7ACB"/>
    <w:rsid w:val="547F2541"/>
    <w:rsid w:val="5485766F"/>
    <w:rsid w:val="548D710D"/>
    <w:rsid w:val="548E4660"/>
    <w:rsid w:val="54925ECB"/>
    <w:rsid w:val="54A0258D"/>
    <w:rsid w:val="54A31BC6"/>
    <w:rsid w:val="54A3774A"/>
    <w:rsid w:val="54AB0647"/>
    <w:rsid w:val="54AE390E"/>
    <w:rsid w:val="54B22C54"/>
    <w:rsid w:val="54B7600C"/>
    <w:rsid w:val="54B94751"/>
    <w:rsid w:val="54D20DDE"/>
    <w:rsid w:val="54E06F6F"/>
    <w:rsid w:val="54E37F89"/>
    <w:rsid w:val="54F3795C"/>
    <w:rsid w:val="54F52ADA"/>
    <w:rsid w:val="54F57EA7"/>
    <w:rsid w:val="54FD25E1"/>
    <w:rsid w:val="5502011D"/>
    <w:rsid w:val="55063441"/>
    <w:rsid w:val="550A2161"/>
    <w:rsid w:val="551243DE"/>
    <w:rsid w:val="552A1D56"/>
    <w:rsid w:val="553815A7"/>
    <w:rsid w:val="55407FB0"/>
    <w:rsid w:val="554713A5"/>
    <w:rsid w:val="554902AD"/>
    <w:rsid w:val="554961DB"/>
    <w:rsid w:val="554F4858"/>
    <w:rsid w:val="554F5EAA"/>
    <w:rsid w:val="555267FD"/>
    <w:rsid w:val="555767E6"/>
    <w:rsid w:val="555C7DD9"/>
    <w:rsid w:val="55610A21"/>
    <w:rsid w:val="55612DB0"/>
    <w:rsid w:val="55633103"/>
    <w:rsid w:val="55670D59"/>
    <w:rsid w:val="55674D6B"/>
    <w:rsid w:val="55802B99"/>
    <w:rsid w:val="55845DB9"/>
    <w:rsid w:val="5586557F"/>
    <w:rsid w:val="55916139"/>
    <w:rsid w:val="55973236"/>
    <w:rsid w:val="559B0DFC"/>
    <w:rsid w:val="559D472B"/>
    <w:rsid w:val="55AB6BF9"/>
    <w:rsid w:val="55AE7244"/>
    <w:rsid w:val="55CA05CD"/>
    <w:rsid w:val="55CD750A"/>
    <w:rsid w:val="55D3106B"/>
    <w:rsid w:val="55D60121"/>
    <w:rsid w:val="55D862C8"/>
    <w:rsid w:val="55DC4C65"/>
    <w:rsid w:val="55DE3EE8"/>
    <w:rsid w:val="55DE4B29"/>
    <w:rsid w:val="55E036F8"/>
    <w:rsid w:val="55E8293D"/>
    <w:rsid w:val="55E925F2"/>
    <w:rsid w:val="55ED44C1"/>
    <w:rsid w:val="55F20FE5"/>
    <w:rsid w:val="55F55B38"/>
    <w:rsid w:val="55FA6E3E"/>
    <w:rsid w:val="55FC46AE"/>
    <w:rsid w:val="56033689"/>
    <w:rsid w:val="5605666A"/>
    <w:rsid w:val="56125C2D"/>
    <w:rsid w:val="5613654B"/>
    <w:rsid w:val="56173FCD"/>
    <w:rsid w:val="56191810"/>
    <w:rsid w:val="5619342A"/>
    <w:rsid w:val="562B4256"/>
    <w:rsid w:val="563208A7"/>
    <w:rsid w:val="5636716D"/>
    <w:rsid w:val="563A014C"/>
    <w:rsid w:val="56404489"/>
    <w:rsid w:val="564C6CC7"/>
    <w:rsid w:val="564D57E5"/>
    <w:rsid w:val="565028E8"/>
    <w:rsid w:val="565520B1"/>
    <w:rsid w:val="565E70F3"/>
    <w:rsid w:val="566C4DCE"/>
    <w:rsid w:val="56780CBC"/>
    <w:rsid w:val="567C018B"/>
    <w:rsid w:val="56833A16"/>
    <w:rsid w:val="569424DF"/>
    <w:rsid w:val="56967967"/>
    <w:rsid w:val="569A3F3F"/>
    <w:rsid w:val="569B558F"/>
    <w:rsid w:val="56AB61AF"/>
    <w:rsid w:val="56B25003"/>
    <w:rsid w:val="56BD6F7A"/>
    <w:rsid w:val="56BF381B"/>
    <w:rsid w:val="56C01608"/>
    <w:rsid w:val="56C45ABF"/>
    <w:rsid w:val="56C635B0"/>
    <w:rsid w:val="56C716AB"/>
    <w:rsid w:val="56D156F2"/>
    <w:rsid w:val="56DE09A7"/>
    <w:rsid w:val="56DF5074"/>
    <w:rsid w:val="56ED27ED"/>
    <w:rsid w:val="56F0460C"/>
    <w:rsid w:val="56F52961"/>
    <w:rsid w:val="56F73876"/>
    <w:rsid w:val="56FE25F0"/>
    <w:rsid w:val="57042834"/>
    <w:rsid w:val="57052A37"/>
    <w:rsid w:val="570D2FAF"/>
    <w:rsid w:val="570E0991"/>
    <w:rsid w:val="570F0AD4"/>
    <w:rsid w:val="5716477B"/>
    <w:rsid w:val="57174912"/>
    <w:rsid w:val="572600DC"/>
    <w:rsid w:val="57262539"/>
    <w:rsid w:val="57272B72"/>
    <w:rsid w:val="572747C8"/>
    <w:rsid w:val="572E33A8"/>
    <w:rsid w:val="572E5501"/>
    <w:rsid w:val="57311F53"/>
    <w:rsid w:val="57362D20"/>
    <w:rsid w:val="57363BE5"/>
    <w:rsid w:val="57374423"/>
    <w:rsid w:val="57381968"/>
    <w:rsid w:val="573A1129"/>
    <w:rsid w:val="573B080F"/>
    <w:rsid w:val="573B6F60"/>
    <w:rsid w:val="57513842"/>
    <w:rsid w:val="57591215"/>
    <w:rsid w:val="57671583"/>
    <w:rsid w:val="57694B21"/>
    <w:rsid w:val="577A0EBE"/>
    <w:rsid w:val="577A55CD"/>
    <w:rsid w:val="57803FED"/>
    <w:rsid w:val="5781472A"/>
    <w:rsid w:val="57854F06"/>
    <w:rsid w:val="57882950"/>
    <w:rsid w:val="578A003C"/>
    <w:rsid w:val="57A16352"/>
    <w:rsid w:val="57AD164B"/>
    <w:rsid w:val="57AD3A54"/>
    <w:rsid w:val="57B56EB9"/>
    <w:rsid w:val="57B92A66"/>
    <w:rsid w:val="57BC1404"/>
    <w:rsid w:val="57C27083"/>
    <w:rsid w:val="57D230E2"/>
    <w:rsid w:val="57DF2F76"/>
    <w:rsid w:val="57E40BCB"/>
    <w:rsid w:val="57E61B43"/>
    <w:rsid w:val="57EC2B5F"/>
    <w:rsid w:val="57F146E7"/>
    <w:rsid w:val="57F209C6"/>
    <w:rsid w:val="57F662F9"/>
    <w:rsid w:val="58012E33"/>
    <w:rsid w:val="580F269B"/>
    <w:rsid w:val="581D7025"/>
    <w:rsid w:val="58265C3D"/>
    <w:rsid w:val="582F172F"/>
    <w:rsid w:val="583049DD"/>
    <w:rsid w:val="583E2142"/>
    <w:rsid w:val="5840588A"/>
    <w:rsid w:val="58462A3C"/>
    <w:rsid w:val="5856656E"/>
    <w:rsid w:val="58586B5D"/>
    <w:rsid w:val="586A5A6E"/>
    <w:rsid w:val="587E1725"/>
    <w:rsid w:val="58841AF6"/>
    <w:rsid w:val="588D720B"/>
    <w:rsid w:val="58A03607"/>
    <w:rsid w:val="58AE1A08"/>
    <w:rsid w:val="58B3266F"/>
    <w:rsid w:val="58C06EB6"/>
    <w:rsid w:val="58C73D2B"/>
    <w:rsid w:val="58C82205"/>
    <w:rsid w:val="58D776CB"/>
    <w:rsid w:val="58DD06FB"/>
    <w:rsid w:val="58DE3FB3"/>
    <w:rsid w:val="58DF12AD"/>
    <w:rsid w:val="58DF297B"/>
    <w:rsid w:val="58E142A2"/>
    <w:rsid w:val="58E14F84"/>
    <w:rsid w:val="58E25458"/>
    <w:rsid w:val="58EB1DD3"/>
    <w:rsid w:val="58EB4E0A"/>
    <w:rsid w:val="58F25754"/>
    <w:rsid w:val="58F25EB2"/>
    <w:rsid w:val="58F41BC7"/>
    <w:rsid w:val="58F729F0"/>
    <w:rsid w:val="58F73BA2"/>
    <w:rsid w:val="58F91827"/>
    <w:rsid w:val="5909588E"/>
    <w:rsid w:val="5917024A"/>
    <w:rsid w:val="59176FA8"/>
    <w:rsid w:val="591912F5"/>
    <w:rsid w:val="592371EC"/>
    <w:rsid w:val="59263577"/>
    <w:rsid w:val="59311929"/>
    <w:rsid w:val="59325938"/>
    <w:rsid w:val="5933381E"/>
    <w:rsid w:val="593858AE"/>
    <w:rsid w:val="593C2CB6"/>
    <w:rsid w:val="593C7DD5"/>
    <w:rsid w:val="593F4915"/>
    <w:rsid w:val="594713E2"/>
    <w:rsid w:val="594B128F"/>
    <w:rsid w:val="5958499C"/>
    <w:rsid w:val="59641C93"/>
    <w:rsid w:val="596A2F2D"/>
    <w:rsid w:val="59732BF2"/>
    <w:rsid w:val="59790CAD"/>
    <w:rsid w:val="597A18D8"/>
    <w:rsid w:val="59816957"/>
    <w:rsid w:val="598D7899"/>
    <w:rsid w:val="5995631A"/>
    <w:rsid w:val="599F6673"/>
    <w:rsid w:val="59A92790"/>
    <w:rsid w:val="59A95CB0"/>
    <w:rsid w:val="59BB56BE"/>
    <w:rsid w:val="59CA0298"/>
    <w:rsid w:val="59CE1795"/>
    <w:rsid w:val="59DB6E0B"/>
    <w:rsid w:val="59ED6FDB"/>
    <w:rsid w:val="59F315E2"/>
    <w:rsid w:val="59F70AB4"/>
    <w:rsid w:val="59FA2BD7"/>
    <w:rsid w:val="59FB3E84"/>
    <w:rsid w:val="59FE6E8A"/>
    <w:rsid w:val="5A024C6A"/>
    <w:rsid w:val="5A102A90"/>
    <w:rsid w:val="5A24295A"/>
    <w:rsid w:val="5A267BEA"/>
    <w:rsid w:val="5A2D1CE5"/>
    <w:rsid w:val="5A2D24DC"/>
    <w:rsid w:val="5A2E3C40"/>
    <w:rsid w:val="5A4171AD"/>
    <w:rsid w:val="5A516035"/>
    <w:rsid w:val="5A565B83"/>
    <w:rsid w:val="5A571F20"/>
    <w:rsid w:val="5A594852"/>
    <w:rsid w:val="5A5E5663"/>
    <w:rsid w:val="5A614394"/>
    <w:rsid w:val="5A6817E3"/>
    <w:rsid w:val="5A6A29C0"/>
    <w:rsid w:val="5A6E10D0"/>
    <w:rsid w:val="5A7B040C"/>
    <w:rsid w:val="5A802998"/>
    <w:rsid w:val="5A990100"/>
    <w:rsid w:val="5A9B019A"/>
    <w:rsid w:val="5AA35606"/>
    <w:rsid w:val="5AA709E6"/>
    <w:rsid w:val="5AAA69D0"/>
    <w:rsid w:val="5AB34EDF"/>
    <w:rsid w:val="5AB37ACF"/>
    <w:rsid w:val="5AB63055"/>
    <w:rsid w:val="5AB83F23"/>
    <w:rsid w:val="5AB94538"/>
    <w:rsid w:val="5ACE2362"/>
    <w:rsid w:val="5AD01F77"/>
    <w:rsid w:val="5AD32BA5"/>
    <w:rsid w:val="5AE17BDC"/>
    <w:rsid w:val="5AE7419B"/>
    <w:rsid w:val="5B0559DC"/>
    <w:rsid w:val="5B0B74F9"/>
    <w:rsid w:val="5B1B4356"/>
    <w:rsid w:val="5B1C10F6"/>
    <w:rsid w:val="5B1E0CE9"/>
    <w:rsid w:val="5B1F2396"/>
    <w:rsid w:val="5B282AE1"/>
    <w:rsid w:val="5B2F074D"/>
    <w:rsid w:val="5B365C93"/>
    <w:rsid w:val="5B3F3F8B"/>
    <w:rsid w:val="5B433170"/>
    <w:rsid w:val="5B454E59"/>
    <w:rsid w:val="5B564CB8"/>
    <w:rsid w:val="5B565C6A"/>
    <w:rsid w:val="5B581D86"/>
    <w:rsid w:val="5B5A46F0"/>
    <w:rsid w:val="5B61635C"/>
    <w:rsid w:val="5B6345C4"/>
    <w:rsid w:val="5B694969"/>
    <w:rsid w:val="5B726A32"/>
    <w:rsid w:val="5B760B02"/>
    <w:rsid w:val="5B773BBC"/>
    <w:rsid w:val="5B7808F6"/>
    <w:rsid w:val="5B852AF2"/>
    <w:rsid w:val="5B8A3523"/>
    <w:rsid w:val="5B8B34B8"/>
    <w:rsid w:val="5B962799"/>
    <w:rsid w:val="5B9D46AE"/>
    <w:rsid w:val="5B9F289F"/>
    <w:rsid w:val="5BA135F4"/>
    <w:rsid w:val="5BA20012"/>
    <w:rsid w:val="5BA650E9"/>
    <w:rsid w:val="5BAA1F6A"/>
    <w:rsid w:val="5BAD01EC"/>
    <w:rsid w:val="5BAF4D36"/>
    <w:rsid w:val="5BB24252"/>
    <w:rsid w:val="5BB43D1D"/>
    <w:rsid w:val="5BB97460"/>
    <w:rsid w:val="5BB977D1"/>
    <w:rsid w:val="5BC17FFF"/>
    <w:rsid w:val="5BD867C7"/>
    <w:rsid w:val="5BD9294F"/>
    <w:rsid w:val="5BEC1ACF"/>
    <w:rsid w:val="5C023827"/>
    <w:rsid w:val="5C052A04"/>
    <w:rsid w:val="5C096858"/>
    <w:rsid w:val="5C0A4328"/>
    <w:rsid w:val="5C0A7448"/>
    <w:rsid w:val="5C0C53B4"/>
    <w:rsid w:val="5C13781A"/>
    <w:rsid w:val="5C191FC5"/>
    <w:rsid w:val="5C280690"/>
    <w:rsid w:val="5C3C208E"/>
    <w:rsid w:val="5C3C57E9"/>
    <w:rsid w:val="5C400642"/>
    <w:rsid w:val="5C4006F6"/>
    <w:rsid w:val="5C417C90"/>
    <w:rsid w:val="5C436C0C"/>
    <w:rsid w:val="5C4E4BE2"/>
    <w:rsid w:val="5C525E67"/>
    <w:rsid w:val="5C5D4170"/>
    <w:rsid w:val="5C6122EA"/>
    <w:rsid w:val="5C62151D"/>
    <w:rsid w:val="5C690F7A"/>
    <w:rsid w:val="5C700BF3"/>
    <w:rsid w:val="5C74712D"/>
    <w:rsid w:val="5C774085"/>
    <w:rsid w:val="5C81790A"/>
    <w:rsid w:val="5C8452C1"/>
    <w:rsid w:val="5C8978EB"/>
    <w:rsid w:val="5C8B3E05"/>
    <w:rsid w:val="5C912A62"/>
    <w:rsid w:val="5C94342A"/>
    <w:rsid w:val="5C9A78C6"/>
    <w:rsid w:val="5CA80DD7"/>
    <w:rsid w:val="5CB6325A"/>
    <w:rsid w:val="5CB63678"/>
    <w:rsid w:val="5CC03B13"/>
    <w:rsid w:val="5CD14F44"/>
    <w:rsid w:val="5CD95364"/>
    <w:rsid w:val="5CE15B5F"/>
    <w:rsid w:val="5CE26051"/>
    <w:rsid w:val="5CF55F73"/>
    <w:rsid w:val="5D003B9E"/>
    <w:rsid w:val="5D0433A7"/>
    <w:rsid w:val="5D053AA5"/>
    <w:rsid w:val="5D0568C6"/>
    <w:rsid w:val="5D097FDA"/>
    <w:rsid w:val="5D0B129F"/>
    <w:rsid w:val="5D0F3700"/>
    <w:rsid w:val="5D177E53"/>
    <w:rsid w:val="5D1D20C1"/>
    <w:rsid w:val="5D24022A"/>
    <w:rsid w:val="5D272EA3"/>
    <w:rsid w:val="5D2D78D4"/>
    <w:rsid w:val="5D341CC2"/>
    <w:rsid w:val="5D3C610A"/>
    <w:rsid w:val="5D5078D2"/>
    <w:rsid w:val="5D6243CB"/>
    <w:rsid w:val="5D625DA6"/>
    <w:rsid w:val="5D645AE4"/>
    <w:rsid w:val="5D69465F"/>
    <w:rsid w:val="5D6A32A6"/>
    <w:rsid w:val="5D786DAE"/>
    <w:rsid w:val="5D787612"/>
    <w:rsid w:val="5D7B4941"/>
    <w:rsid w:val="5D844E75"/>
    <w:rsid w:val="5D846AB7"/>
    <w:rsid w:val="5D880EDF"/>
    <w:rsid w:val="5D8C4380"/>
    <w:rsid w:val="5D987769"/>
    <w:rsid w:val="5D99074E"/>
    <w:rsid w:val="5D990BA1"/>
    <w:rsid w:val="5D9C50E2"/>
    <w:rsid w:val="5D9C7F22"/>
    <w:rsid w:val="5DB67292"/>
    <w:rsid w:val="5DC24512"/>
    <w:rsid w:val="5DC86E2A"/>
    <w:rsid w:val="5DCB1B79"/>
    <w:rsid w:val="5DCE4A0E"/>
    <w:rsid w:val="5DD8243E"/>
    <w:rsid w:val="5DD9159E"/>
    <w:rsid w:val="5DDA4464"/>
    <w:rsid w:val="5DDC256A"/>
    <w:rsid w:val="5DDF631F"/>
    <w:rsid w:val="5DE141DD"/>
    <w:rsid w:val="5DE971C5"/>
    <w:rsid w:val="5DED34F2"/>
    <w:rsid w:val="5DF11774"/>
    <w:rsid w:val="5E087C08"/>
    <w:rsid w:val="5E0C6097"/>
    <w:rsid w:val="5E165596"/>
    <w:rsid w:val="5E177386"/>
    <w:rsid w:val="5E215240"/>
    <w:rsid w:val="5E275A40"/>
    <w:rsid w:val="5E3512D6"/>
    <w:rsid w:val="5E380327"/>
    <w:rsid w:val="5E38283E"/>
    <w:rsid w:val="5E396476"/>
    <w:rsid w:val="5E3F1023"/>
    <w:rsid w:val="5E453A24"/>
    <w:rsid w:val="5E484FCA"/>
    <w:rsid w:val="5E5028CE"/>
    <w:rsid w:val="5E532DB9"/>
    <w:rsid w:val="5E575414"/>
    <w:rsid w:val="5E5F128B"/>
    <w:rsid w:val="5E5F1A91"/>
    <w:rsid w:val="5E603E2D"/>
    <w:rsid w:val="5E610551"/>
    <w:rsid w:val="5E625BE7"/>
    <w:rsid w:val="5E6E0C0A"/>
    <w:rsid w:val="5E6F4495"/>
    <w:rsid w:val="5E7941AF"/>
    <w:rsid w:val="5E865ED7"/>
    <w:rsid w:val="5E8B3797"/>
    <w:rsid w:val="5E8C5504"/>
    <w:rsid w:val="5E94045D"/>
    <w:rsid w:val="5E957156"/>
    <w:rsid w:val="5E9B3F2C"/>
    <w:rsid w:val="5E9E1513"/>
    <w:rsid w:val="5EA3053D"/>
    <w:rsid w:val="5EA52A3E"/>
    <w:rsid w:val="5EA71748"/>
    <w:rsid w:val="5EA94306"/>
    <w:rsid w:val="5EA97FF0"/>
    <w:rsid w:val="5EAD2E70"/>
    <w:rsid w:val="5EB240C6"/>
    <w:rsid w:val="5EB24A8D"/>
    <w:rsid w:val="5EBB253D"/>
    <w:rsid w:val="5EBB30E1"/>
    <w:rsid w:val="5EBB6B59"/>
    <w:rsid w:val="5EBD61FE"/>
    <w:rsid w:val="5EC23D29"/>
    <w:rsid w:val="5ECA6085"/>
    <w:rsid w:val="5ECB286C"/>
    <w:rsid w:val="5ED73F99"/>
    <w:rsid w:val="5EE132DF"/>
    <w:rsid w:val="5EE31C71"/>
    <w:rsid w:val="5EEB540B"/>
    <w:rsid w:val="5EEC6D03"/>
    <w:rsid w:val="5EEF3DD7"/>
    <w:rsid w:val="5EF3776B"/>
    <w:rsid w:val="5EF47884"/>
    <w:rsid w:val="5F021163"/>
    <w:rsid w:val="5F06045A"/>
    <w:rsid w:val="5F0957EA"/>
    <w:rsid w:val="5F0A1374"/>
    <w:rsid w:val="5F13532E"/>
    <w:rsid w:val="5F1B16B2"/>
    <w:rsid w:val="5F20227F"/>
    <w:rsid w:val="5F206759"/>
    <w:rsid w:val="5F251A63"/>
    <w:rsid w:val="5F282E0A"/>
    <w:rsid w:val="5F2B5B2C"/>
    <w:rsid w:val="5F2F23F6"/>
    <w:rsid w:val="5F3B4F99"/>
    <w:rsid w:val="5F450064"/>
    <w:rsid w:val="5F580F23"/>
    <w:rsid w:val="5F5A5079"/>
    <w:rsid w:val="5F5F25E2"/>
    <w:rsid w:val="5F5F4531"/>
    <w:rsid w:val="5F621CAD"/>
    <w:rsid w:val="5F675784"/>
    <w:rsid w:val="5F6A5203"/>
    <w:rsid w:val="5F6A7AE4"/>
    <w:rsid w:val="5F6C193A"/>
    <w:rsid w:val="5F7C28A3"/>
    <w:rsid w:val="5F7D6EFC"/>
    <w:rsid w:val="5F9153D7"/>
    <w:rsid w:val="5F9779BF"/>
    <w:rsid w:val="5FA05683"/>
    <w:rsid w:val="5FA51ADF"/>
    <w:rsid w:val="5FA53DFB"/>
    <w:rsid w:val="5FA858AE"/>
    <w:rsid w:val="5FAC77F1"/>
    <w:rsid w:val="5FAF154F"/>
    <w:rsid w:val="5FB72A38"/>
    <w:rsid w:val="5FBA722C"/>
    <w:rsid w:val="5FC0149F"/>
    <w:rsid w:val="5FC3621F"/>
    <w:rsid w:val="5FCB72C4"/>
    <w:rsid w:val="5FDB50CC"/>
    <w:rsid w:val="5FE76AC9"/>
    <w:rsid w:val="5FEB7354"/>
    <w:rsid w:val="5FEC6653"/>
    <w:rsid w:val="5FF51AF7"/>
    <w:rsid w:val="5FFA000C"/>
    <w:rsid w:val="5FFC64AB"/>
    <w:rsid w:val="600C46C2"/>
    <w:rsid w:val="600F3527"/>
    <w:rsid w:val="600F7B09"/>
    <w:rsid w:val="601530CD"/>
    <w:rsid w:val="601F4BC4"/>
    <w:rsid w:val="6020568B"/>
    <w:rsid w:val="602616BC"/>
    <w:rsid w:val="602B73A6"/>
    <w:rsid w:val="60353358"/>
    <w:rsid w:val="603762EA"/>
    <w:rsid w:val="60401190"/>
    <w:rsid w:val="60410F2C"/>
    <w:rsid w:val="6043279C"/>
    <w:rsid w:val="604C0C1D"/>
    <w:rsid w:val="60624B92"/>
    <w:rsid w:val="606759A5"/>
    <w:rsid w:val="606C7176"/>
    <w:rsid w:val="60704B6C"/>
    <w:rsid w:val="60735710"/>
    <w:rsid w:val="60760557"/>
    <w:rsid w:val="60850D72"/>
    <w:rsid w:val="608762D7"/>
    <w:rsid w:val="608A35BD"/>
    <w:rsid w:val="608B2E33"/>
    <w:rsid w:val="608E5194"/>
    <w:rsid w:val="608F3BE5"/>
    <w:rsid w:val="60925707"/>
    <w:rsid w:val="609529A9"/>
    <w:rsid w:val="609D0946"/>
    <w:rsid w:val="60AF28D2"/>
    <w:rsid w:val="60BC3E20"/>
    <w:rsid w:val="60CC429D"/>
    <w:rsid w:val="60D23868"/>
    <w:rsid w:val="60D77A66"/>
    <w:rsid w:val="60D801CA"/>
    <w:rsid w:val="60DB3A8C"/>
    <w:rsid w:val="60E37CB4"/>
    <w:rsid w:val="60E82759"/>
    <w:rsid w:val="60F32C80"/>
    <w:rsid w:val="60F74C00"/>
    <w:rsid w:val="61036B12"/>
    <w:rsid w:val="610F5FB1"/>
    <w:rsid w:val="61136A61"/>
    <w:rsid w:val="611E49D5"/>
    <w:rsid w:val="61205CC1"/>
    <w:rsid w:val="6128702F"/>
    <w:rsid w:val="612C63A0"/>
    <w:rsid w:val="613260BA"/>
    <w:rsid w:val="613B70C0"/>
    <w:rsid w:val="6143028B"/>
    <w:rsid w:val="614C5C14"/>
    <w:rsid w:val="61692875"/>
    <w:rsid w:val="616D1214"/>
    <w:rsid w:val="61722E2C"/>
    <w:rsid w:val="61771D19"/>
    <w:rsid w:val="617B5D1B"/>
    <w:rsid w:val="61840F78"/>
    <w:rsid w:val="6187733B"/>
    <w:rsid w:val="618B0B87"/>
    <w:rsid w:val="618B7596"/>
    <w:rsid w:val="61943858"/>
    <w:rsid w:val="61990B98"/>
    <w:rsid w:val="619A2588"/>
    <w:rsid w:val="619B058F"/>
    <w:rsid w:val="619D35CF"/>
    <w:rsid w:val="619F31FE"/>
    <w:rsid w:val="61A05C0F"/>
    <w:rsid w:val="61A22766"/>
    <w:rsid w:val="61A407C5"/>
    <w:rsid w:val="61B6042F"/>
    <w:rsid w:val="61B720F4"/>
    <w:rsid w:val="61BD3D2F"/>
    <w:rsid w:val="61BF046F"/>
    <w:rsid w:val="61BF1FFF"/>
    <w:rsid w:val="61C36638"/>
    <w:rsid w:val="61D7653F"/>
    <w:rsid w:val="61DB3A19"/>
    <w:rsid w:val="61DE1191"/>
    <w:rsid w:val="61ED23D5"/>
    <w:rsid w:val="61EF0ECD"/>
    <w:rsid w:val="61F26F42"/>
    <w:rsid w:val="61F91C17"/>
    <w:rsid w:val="620643AB"/>
    <w:rsid w:val="62082A2F"/>
    <w:rsid w:val="62097515"/>
    <w:rsid w:val="6210729B"/>
    <w:rsid w:val="62116F98"/>
    <w:rsid w:val="621E6AE3"/>
    <w:rsid w:val="62200932"/>
    <w:rsid w:val="6224450C"/>
    <w:rsid w:val="623F0996"/>
    <w:rsid w:val="62434EDC"/>
    <w:rsid w:val="62446DF1"/>
    <w:rsid w:val="62584404"/>
    <w:rsid w:val="625C328D"/>
    <w:rsid w:val="626D60B9"/>
    <w:rsid w:val="62775293"/>
    <w:rsid w:val="627938DC"/>
    <w:rsid w:val="628665D7"/>
    <w:rsid w:val="62904E26"/>
    <w:rsid w:val="62975023"/>
    <w:rsid w:val="629939E2"/>
    <w:rsid w:val="629E4022"/>
    <w:rsid w:val="62A8028B"/>
    <w:rsid w:val="62A904BF"/>
    <w:rsid w:val="62AA315B"/>
    <w:rsid w:val="62B54F29"/>
    <w:rsid w:val="62B641CE"/>
    <w:rsid w:val="62BE6A24"/>
    <w:rsid w:val="62CE631C"/>
    <w:rsid w:val="62D13935"/>
    <w:rsid w:val="62D71FAE"/>
    <w:rsid w:val="62E30C1B"/>
    <w:rsid w:val="62E65394"/>
    <w:rsid w:val="62F15FE8"/>
    <w:rsid w:val="62F31E13"/>
    <w:rsid w:val="62F75922"/>
    <w:rsid w:val="62F82FE1"/>
    <w:rsid w:val="62FB1B74"/>
    <w:rsid w:val="63010748"/>
    <w:rsid w:val="630F0E2E"/>
    <w:rsid w:val="63102DA9"/>
    <w:rsid w:val="63121DE5"/>
    <w:rsid w:val="63185F69"/>
    <w:rsid w:val="632705B4"/>
    <w:rsid w:val="6335712F"/>
    <w:rsid w:val="6338336D"/>
    <w:rsid w:val="633A6FD2"/>
    <w:rsid w:val="634516D6"/>
    <w:rsid w:val="63460FA4"/>
    <w:rsid w:val="63494A2A"/>
    <w:rsid w:val="634B4E44"/>
    <w:rsid w:val="634B7199"/>
    <w:rsid w:val="634D1F57"/>
    <w:rsid w:val="634D30BF"/>
    <w:rsid w:val="635007C6"/>
    <w:rsid w:val="6364191F"/>
    <w:rsid w:val="63641F83"/>
    <w:rsid w:val="6365229E"/>
    <w:rsid w:val="63717600"/>
    <w:rsid w:val="637B6F38"/>
    <w:rsid w:val="637D6348"/>
    <w:rsid w:val="637E7914"/>
    <w:rsid w:val="638849A2"/>
    <w:rsid w:val="63885157"/>
    <w:rsid w:val="638B597B"/>
    <w:rsid w:val="639707E6"/>
    <w:rsid w:val="639D1949"/>
    <w:rsid w:val="63A23F48"/>
    <w:rsid w:val="63A31EB4"/>
    <w:rsid w:val="63B16ED0"/>
    <w:rsid w:val="63B20D9B"/>
    <w:rsid w:val="63B94F18"/>
    <w:rsid w:val="63BA484F"/>
    <w:rsid w:val="63BB3118"/>
    <w:rsid w:val="63C47114"/>
    <w:rsid w:val="63CD7484"/>
    <w:rsid w:val="63CE7C55"/>
    <w:rsid w:val="63D06BB7"/>
    <w:rsid w:val="63D53221"/>
    <w:rsid w:val="63E36FF2"/>
    <w:rsid w:val="63EC2BA8"/>
    <w:rsid w:val="63F53709"/>
    <w:rsid w:val="63F702DC"/>
    <w:rsid w:val="63FB2D01"/>
    <w:rsid w:val="63FF5098"/>
    <w:rsid w:val="64066B40"/>
    <w:rsid w:val="640A7CFF"/>
    <w:rsid w:val="64100980"/>
    <w:rsid w:val="641A11E0"/>
    <w:rsid w:val="641E6B1E"/>
    <w:rsid w:val="641F316D"/>
    <w:rsid w:val="64202477"/>
    <w:rsid w:val="642E1225"/>
    <w:rsid w:val="642E7E6B"/>
    <w:rsid w:val="644E03D7"/>
    <w:rsid w:val="644F29EE"/>
    <w:rsid w:val="64581B32"/>
    <w:rsid w:val="64584691"/>
    <w:rsid w:val="64683238"/>
    <w:rsid w:val="646D5415"/>
    <w:rsid w:val="646F7AB3"/>
    <w:rsid w:val="647669FF"/>
    <w:rsid w:val="648026AB"/>
    <w:rsid w:val="6487233A"/>
    <w:rsid w:val="648A147F"/>
    <w:rsid w:val="648D48BF"/>
    <w:rsid w:val="648F3856"/>
    <w:rsid w:val="6495552F"/>
    <w:rsid w:val="649F3E0A"/>
    <w:rsid w:val="64A22404"/>
    <w:rsid w:val="64A506EC"/>
    <w:rsid w:val="64AD12CC"/>
    <w:rsid w:val="64AD7A97"/>
    <w:rsid w:val="64AF0990"/>
    <w:rsid w:val="64AF4120"/>
    <w:rsid w:val="64B058E0"/>
    <w:rsid w:val="64B4348D"/>
    <w:rsid w:val="64B9580D"/>
    <w:rsid w:val="64C23E9B"/>
    <w:rsid w:val="64C81840"/>
    <w:rsid w:val="64CA2B88"/>
    <w:rsid w:val="64CC0A0E"/>
    <w:rsid w:val="64D27B8D"/>
    <w:rsid w:val="64D370D6"/>
    <w:rsid w:val="64D527E8"/>
    <w:rsid w:val="64D92DBE"/>
    <w:rsid w:val="64E32F3F"/>
    <w:rsid w:val="64E6172F"/>
    <w:rsid w:val="64E86FA9"/>
    <w:rsid w:val="64EF5299"/>
    <w:rsid w:val="64EF580D"/>
    <w:rsid w:val="64F0143E"/>
    <w:rsid w:val="64FF7EE0"/>
    <w:rsid w:val="6507187C"/>
    <w:rsid w:val="650E2FA8"/>
    <w:rsid w:val="653F5E6C"/>
    <w:rsid w:val="65423201"/>
    <w:rsid w:val="655B2B87"/>
    <w:rsid w:val="656731AB"/>
    <w:rsid w:val="65674F7C"/>
    <w:rsid w:val="65676008"/>
    <w:rsid w:val="65773727"/>
    <w:rsid w:val="65790FD3"/>
    <w:rsid w:val="657A0356"/>
    <w:rsid w:val="657B43D4"/>
    <w:rsid w:val="658D1C66"/>
    <w:rsid w:val="659257DC"/>
    <w:rsid w:val="659363F6"/>
    <w:rsid w:val="659821EE"/>
    <w:rsid w:val="65997273"/>
    <w:rsid w:val="65A2414A"/>
    <w:rsid w:val="65B250A0"/>
    <w:rsid w:val="65B85461"/>
    <w:rsid w:val="65BA6CAF"/>
    <w:rsid w:val="65C532ED"/>
    <w:rsid w:val="65C63AE3"/>
    <w:rsid w:val="65C97926"/>
    <w:rsid w:val="65CC1055"/>
    <w:rsid w:val="65CC3D8A"/>
    <w:rsid w:val="65CC77A6"/>
    <w:rsid w:val="65CF78B0"/>
    <w:rsid w:val="65D86766"/>
    <w:rsid w:val="65E114B3"/>
    <w:rsid w:val="65E5731B"/>
    <w:rsid w:val="65E73D67"/>
    <w:rsid w:val="65E94D0A"/>
    <w:rsid w:val="65F052E3"/>
    <w:rsid w:val="65F633BF"/>
    <w:rsid w:val="65F83B3B"/>
    <w:rsid w:val="65FB4947"/>
    <w:rsid w:val="66047635"/>
    <w:rsid w:val="660D0DEA"/>
    <w:rsid w:val="660F1EA8"/>
    <w:rsid w:val="660F2EC6"/>
    <w:rsid w:val="661243F2"/>
    <w:rsid w:val="66150ED4"/>
    <w:rsid w:val="66253465"/>
    <w:rsid w:val="662A2399"/>
    <w:rsid w:val="663536E9"/>
    <w:rsid w:val="66376D83"/>
    <w:rsid w:val="663B18D7"/>
    <w:rsid w:val="66403FF3"/>
    <w:rsid w:val="664917BD"/>
    <w:rsid w:val="664A0F9D"/>
    <w:rsid w:val="664D5C7F"/>
    <w:rsid w:val="664D76C0"/>
    <w:rsid w:val="665B77F3"/>
    <w:rsid w:val="666971C5"/>
    <w:rsid w:val="666E6F40"/>
    <w:rsid w:val="66737359"/>
    <w:rsid w:val="66814ECE"/>
    <w:rsid w:val="66884EA2"/>
    <w:rsid w:val="668E790E"/>
    <w:rsid w:val="66936AF1"/>
    <w:rsid w:val="66946997"/>
    <w:rsid w:val="66947844"/>
    <w:rsid w:val="669716F7"/>
    <w:rsid w:val="669D3CB1"/>
    <w:rsid w:val="669E0760"/>
    <w:rsid w:val="66A57339"/>
    <w:rsid w:val="66A64819"/>
    <w:rsid w:val="66AB4946"/>
    <w:rsid w:val="66AF2330"/>
    <w:rsid w:val="66C27D00"/>
    <w:rsid w:val="66C41AA4"/>
    <w:rsid w:val="66D20119"/>
    <w:rsid w:val="66D26855"/>
    <w:rsid w:val="66E4326F"/>
    <w:rsid w:val="66EC7D68"/>
    <w:rsid w:val="66F40766"/>
    <w:rsid w:val="66FC1377"/>
    <w:rsid w:val="66FE38F4"/>
    <w:rsid w:val="670B4A16"/>
    <w:rsid w:val="670F0CF4"/>
    <w:rsid w:val="67183051"/>
    <w:rsid w:val="672020E6"/>
    <w:rsid w:val="672459EB"/>
    <w:rsid w:val="672742A4"/>
    <w:rsid w:val="672D6F5B"/>
    <w:rsid w:val="673531EA"/>
    <w:rsid w:val="67357AB0"/>
    <w:rsid w:val="673A0D3B"/>
    <w:rsid w:val="673A7C6C"/>
    <w:rsid w:val="673B5233"/>
    <w:rsid w:val="673D23B0"/>
    <w:rsid w:val="6747733F"/>
    <w:rsid w:val="674A67F5"/>
    <w:rsid w:val="674C4184"/>
    <w:rsid w:val="675562D1"/>
    <w:rsid w:val="67566502"/>
    <w:rsid w:val="675A1EA3"/>
    <w:rsid w:val="6769166A"/>
    <w:rsid w:val="6773312C"/>
    <w:rsid w:val="67750237"/>
    <w:rsid w:val="677A4F6B"/>
    <w:rsid w:val="677D7738"/>
    <w:rsid w:val="67805F58"/>
    <w:rsid w:val="67856B9E"/>
    <w:rsid w:val="678B0CE6"/>
    <w:rsid w:val="678B2084"/>
    <w:rsid w:val="678B75EF"/>
    <w:rsid w:val="679A715C"/>
    <w:rsid w:val="67A7705F"/>
    <w:rsid w:val="67A9736D"/>
    <w:rsid w:val="67AA6681"/>
    <w:rsid w:val="67AE1208"/>
    <w:rsid w:val="67AF6B0F"/>
    <w:rsid w:val="67B3757C"/>
    <w:rsid w:val="67C029FF"/>
    <w:rsid w:val="67C1097F"/>
    <w:rsid w:val="67C22F25"/>
    <w:rsid w:val="67C93395"/>
    <w:rsid w:val="67CD3BBF"/>
    <w:rsid w:val="67D145C3"/>
    <w:rsid w:val="67E175A1"/>
    <w:rsid w:val="67E65243"/>
    <w:rsid w:val="67ED6EEB"/>
    <w:rsid w:val="67F15E56"/>
    <w:rsid w:val="67F22154"/>
    <w:rsid w:val="67F34CFC"/>
    <w:rsid w:val="67F96914"/>
    <w:rsid w:val="67FE4B5E"/>
    <w:rsid w:val="68062501"/>
    <w:rsid w:val="68070204"/>
    <w:rsid w:val="68073DD9"/>
    <w:rsid w:val="680D06FD"/>
    <w:rsid w:val="68107848"/>
    <w:rsid w:val="68121662"/>
    <w:rsid w:val="68155B5B"/>
    <w:rsid w:val="681910C6"/>
    <w:rsid w:val="681938D2"/>
    <w:rsid w:val="681E3BC7"/>
    <w:rsid w:val="681F7AC7"/>
    <w:rsid w:val="68207F5F"/>
    <w:rsid w:val="68244969"/>
    <w:rsid w:val="682E0A98"/>
    <w:rsid w:val="682E6253"/>
    <w:rsid w:val="68385B60"/>
    <w:rsid w:val="68400450"/>
    <w:rsid w:val="68414C08"/>
    <w:rsid w:val="684418D5"/>
    <w:rsid w:val="684D30E6"/>
    <w:rsid w:val="685C5285"/>
    <w:rsid w:val="68617557"/>
    <w:rsid w:val="68646F22"/>
    <w:rsid w:val="686A786C"/>
    <w:rsid w:val="686C56A1"/>
    <w:rsid w:val="686E05AE"/>
    <w:rsid w:val="687F2164"/>
    <w:rsid w:val="68822C0A"/>
    <w:rsid w:val="688344C7"/>
    <w:rsid w:val="6886329D"/>
    <w:rsid w:val="688E2CA7"/>
    <w:rsid w:val="6893341A"/>
    <w:rsid w:val="68940D9C"/>
    <w:rsid w:val="689705A5"/>
    <w:rsid w:val="689F6D79"/>
    <w:rsid w:val="68A4766D"/>
    <w:rsid w:val="68A711FD"/>
    <w:rsid w:val="68A7223F"/>
    <w:rsid w:val="68AB348C"/>
    <w:rsid w:val="68AD08CA"/>
    <w:rsid w:val="68AD54CE"/>
    <w:rsid w:val="68CA2DFA"/>
    <w:rsid w:val="68CC1584"/>
    <w:rsid w:val="68CE5B6F"/>
    <w:rsid w:val="68CF1A3B"/>
    <w:rsid w:val="68D1428C"/>
    <w:rsid w:val="68D51F5F"/>
    <w:rsid w:val="68E56CF3"/>
    <w:rsid w:val="68EA7973"/>
    <w:rsid w:val="68ED5E3F"/>
    <w:rsid w:val="68F0351C"/>
    <w:rsid w:val="68F71EA4"/>
    <w:rsid w:val="68FD3D2D"/>
    <w:rsid w:val="6900126F"/>
    <w:rsid w:val="69044874"/>
    <w:rsid w:val="690D7BC6"/>
    <w:rsid w:val="690F6293"/>
    <w:rsid w:val="691909FD"/>
    <w:rsid w:val="691B4EB4"/>
    <w:rsid w:val="691E52F0"/>
    <w:rsid w:val="691E788E"/>
    <w:rsid w:val="692D5F2E"/>
    <w:rsid w:val="692E2FE5"/>
    <w:rsid w:val="692F568E"/>
    <w:rsid w:val="69317FF0"/>
    <w:rsid w:val="69321FFD"/>
    <w:rsid w:val="69344A4E"/>
    <w:rsid w:val="693E6BC7"/>
    <w:rsid w:val="69451E5A"/>
    <w:rsid w:val="69466635"/>
    <w:rsid w:val="694E5B3B"/>
    <w:rsid w:val="69527D16"/>
    <w:rsid w:val="695D1F03"/>
    <w:rsid w:val="696504D2"/>
    <w:rsid w:val="697A53F8"/>
    <w:rsid w:val="697E27FC"/>
    <w:rsid w:val="697E7E86"/>
    <w:rsid w:val="698108AE"/>
    <w:rsid w:val="698C09C5"/>
    <w:rsid w:val="699329F6"/>
    <w:rsid w:val="69943848"/>
    <w:rsid w:val="699A713E"/>
    <w:rsid w:val="699B4CA3"/>
    <w:rsid w:val="69A10931"/>
    <w:rsid w:val="69AE5124"/>
    <w:rsid w:val="69B73E0C"/>
    <w:rsid w:val="69B93736"/>
    <w:rsid w:val="69C92D08"/>
    <w:rsid w:val="69E533E8"/>
    <w:rsid w:val="69F803FB"/>
    <w:rsid w:val="69F97171"/>
    <w:rsid w:val="69FC3345"/>
    <w:rsid w:val="6A03080C"/>
    <w:rsid w:val="6A0451E7"/>
    <w:rsid w:val="6A0A01F1"/>
    <w:rsid w:val="6A0A685B"/>
    <w:rsid w:val="6A0F1075"/>
    <w:rsid w:val="6A1840F6"/>
    <w:rsid w:val="6A1D6552"/>
    <w:rsid w:val="6A1E690D"/>
    <w:rsid w:val="6A217FBD"/>
    <w:rsid w:val="6A35656D"/>
    <w:rsid w:val="6A3B5ECC"/>
    <w:rsid w:val="6A3D79AE"/>
    <w:rsid w:val="6A4236C9"/>
    <w:rsid w:val="6A5D26C8"/>
    <w:rsid w:val="6A5D2CE4"/>
    <w:rsid w:val="6A6560C6"/>
    <w:rsid w:val="6A695165"/>
    <w:rsid w:val="6A782301"/>
    <w:rsid w:val="6A793123"/>
    <w:rsid w:val="6A7A6831"/>
    <w:rsid w:val="6A7A7AEF"/>
    <w:rsid w:val="6A846FA2"/>
    <w:rsid w:val="6A862D26"/>
    <w:rsid w:val="6A8B32BC"/>
    <w:rsid w:val="6A8E044C"/>
    <w:rsid w:val="6A9002A2"/>
    <w:rsid w:val="6A927616"/>
    <w:rsid w:val="6A941DBA"/>
    <w:rsid w:val="6A991473"/>
    <w:rsid w:val="6AA0031C"/>
    <w:rsid w:val="6AA560D1"/>
    <w:rsid w:val="6AAD512E"/>
    <w:rsid w:val="6AAF2BA9"/>
    <w:rsid w:val="6AB00E44"/>
    <w:rsid w:val="6AB50BA6"/>
    <w:rsid w:val="6AB87CA2"/>
    <w:rsid w:val="6ABF0F28"/>
    <w:rsid w:val="6AC303A6"/>
    <w:rsid w:val="6ACD4F82"/>
    <w:rsid w:val="6AD11CDB"/>
    <w:rsid w:val="6AD85B0C"/>
    <w:rsid w:val="6AE40625"/>
    <w:rsid w:val="6AE77883"/>
    <w:rsid w:val="6AEB6A8C"/>
    <w:rsid w:val="6AF175F5"/>
    <w:rsid w:val="6AF3169B"/>
    <w:rsid w:val="6B060C97"/>
    <w:rsid w:val="6B1160EA"/>
    <w:rsid w:val="6B121C58"/>
    <w:rsid w:val="6B1C67CF"/>
    <w:rsid w:val="6B2267B2"/>
    <w:rsid w:val="6B244B72"/>
    <w:rsid w:val="6B2B264C"/>
    <w:rsid w:val="6B2D4BAA"/>
    <w:rsid w:val="6B3B1038"/>
    <w:rsid w:val="6B4A3DE5"/>
    <w:rsid w:val="6B4B351E"/>
    <w:rsid w:val="6B4C7A28"/>
    <w:rsid w:val="6B502C52"/>
    <w:rsid w:val="6B526A2B"/>
    <w:rsid w:val="6B551D09"/>
    <w:rsid w:val="6B585D87"/>
    <w:rsid w:val="6B5C49C2"/>
    <w:rsid w:val="6B660D2B"/>
    <w:rsid w:val="6B68777D"/>
    <w:rsid w:val="6B6A4531"/>
    <w:rsid w:val="6B6B58FF"/>
    <w:rsid w:val="6B700255"/>
    <w:rsid w:val="6B722668"/>
    <w:rsid w:val="6B731AA8"/>
    <w:rsid w:val="6B7542BE"/>
    <w:rsid w:val="6B757AB9"/>
    <w:rsid w:val="6B7C0C6F"/>
    <w:rsid w:val="6B7D2AE4"/>
    <w:rsid w:val="6B8E66E4"/>
    <w:rsid w:val="6B9259C6"/>
    <w:rsid w:val="6B954C4D"/>
    <w:rsid w:val="6B984171"/>
    <w:rsid w:val="6B994D3E"/>
    <w:rsid w:val="6B9F797D"/>
    <w:rsid w:val="6BA260BD"/>
    <w:rsid w:val="6BAA5CA7"/>
    <w:rsid w:val="6BAB7270"/>
    <w:rsid w:val="6BAD7854"/>
    <w:rsid w:val="6BAE24E5"/>
    <w:rsid w:val="6BB10498"/>
    <w:rsid w:val="6BC05C14"/>
    <w:rsid w:val="6BC34A2C"/>
    <w:rsid w:val="6BCE46E7"/>
    <w:rsid w:val="6BD46073"/>
    <w:rsid w:val="6BDA540B"/>
    <w:rsid w:val="6BDB169E"/>
    <w:rsid w:val="6BDD64E7"/>
    <w:rsid w:val="6BE35AAA"/>
    <w:rsid w:val="6BE50141"/>
    <w:rsid w:val="6BE56022"/>
    <w:rsid w:val="6BE60141"/>
    <w:rsid w:val="6BE91303"/>
    <w:rsid w:val="6BF35000"/>
    <w:rsid w:val="6BFD7CC2"/>
    <w:rsid w:val="6BFF2A20"/>
    <w:rsid w:val="6C0E5AF8"/>
    <w:rsid w:val="6C0E780C"/>
    <w:rsid w:val="6C1121BE"/>
    <w:rsid w:val="6C1455AD"/>
    <w:rsid w:val="6C202FFF"/>
    <w:rsid w:val="6C2131DC"/>
    <w:rsid w:val="6C2A678A"/>
    <w:rsid w:val="6C382A9F"/>
    <w:rsid w:val="6C404AD6"/>
    <w:rsid w:val="6C41211F"/>
    <w:rsid w:val="6C52345D"/>
    <w:rsid w:val="6C5839F1"/>
    <w:rsid w:val="6C587807"/>
    <w:rsid w:val="6C6319AA"/>
    <w:rsid w:val="6C69724B"/>
    <w:rsid w:val="6C6A7A21"/>
    <w:rsid w:val="6C6D159A"/>
    <w:rsid w:val="6C742BBE"/>
    <w:rsid w:val="6C79732B"/>
    <w:rsid w:val="6C864BA0"/>
    <w:rsid w:val="6C8A39AF"/>
    <w:rsid w:val="6C9309D2"/>
    <w:rsid w:val="6CA128B4"/>
    <w:rsid w:val="6CA173AD"/>
    <w:rsid w:val="6CA3574A"/>
    <w:rsid w:val="6CA6550A"/>
    <w:rsid w:val="6CA82595"/>
    <w:rsid w:val="6CA90AF6"/>
    <w:rsid w:val="6CAF54B1"/>
    <w:rsid w:val="6CB1291D"/>
    <w:rsid w:val="6CB41A04"/>
    <w:rsid w:val="6CC531B9"/>
    <w:rsid w:val="6CC854E3"/>
    <w:rsid w:val="6CD153D3"/>
    <w:rsid w:val="6CD20C40"/>
    <w:rsid w:val="6CD87BED"/>
    <w:rsid w:val="6CDF3C53"/>
    <w:rsid w:val="6CED4A0E"/>
    <w:rsid w:val="6D011B72"/>
    <w:rsid w:val="6D020F07"/>
    <w:rsid w:val="6D0E3B4D"/>
    <w:rsid w:val="6D150E64"/>
    <w:rsid w:val="6D164616"/>
    <w:rsid w:val="6D182158"/>
    <w:rsid w:val="6D215676"/>
    <w:rsid w:val="6D242707"/>
    <w:rsid w:val="6D263DF1"/>
    <w:rsid w:val="6D271560"/>
    <w:rsid w:val="6D310140"/>
    <w:rsid w:val="6D312E2B"/>
    <w:rsid w:val="6D3512C5"/>
    <w:rsid w:val="6D3531D1"/>
    <w:rsid w:val="6D3935F1"/>
    <w:rsid w:val="6D487742"/>
    <w:rsid w:val="6D5150A2"/>
    <w:rsid w:val="6D5249F0"/>
    <w:rsid w:val="6D5B6273"/>
    <w:rsid w:val="6D65744F"/>
    <w:rsid w:val="6D6F29A6"/>
    <w:rsid w:val="6D8B6B20"/>
    <w:rsid w:val="6D925C42"/>
    <w:rsid w:val="6D9452B8"/>
    <w:rsid w:val="6D9D42FC"/>
    <w:rsid w:val="6DA01B83"/>
    <w:rsid w:val="6DAA00C2"/>
    <w:rsid w:val="6DAD6CA6"/>
    <w:rsid w:val="6DB17873"/>
    <w:rsid w:val="6DBF717D"/>
    <w:rsid w:val="6DC027F8"/>
    <w:rsid w:val="6DC30AF7"/>
    <w:rsid w:val="6DC422E0"/>
    <w:rsid w:val="6DD005A8"/>
    <w:rsid w:val="6DD65337"/>
    <w:rsid w:val="6DDA3872"/>
    <w:rsid w:val="6DDD7E1A"/>
    <w:rsid w:val="6DE05AAF"/>
    <w:rsid w:val="6DE340CC"/>
    <w:rsid w:val="6DE80E46"/>
    <w:rsid w:val="6DFC47E1"/>
    <w:rsid w:val="6E0A1F1F"/>
    <w:rsid w:val="6E0D06C6"/>
    <w:rsid w:val="6E0E1448"/>
    <w:rsid w:val="6E1063C0"/>
    <w:rsid w:val="6E153ED3"/>
    <w:rsid w:val="6E2A6565"/>
    <w:rsid w:val="6E2B45C3"/>
    <w:rsid w:val="6E3747DE"/>
    <w:rsid w:val="6E3E315A"/>
    <w:rsid w:val="6E3E38C7"/>
    <w:rsid w:val="6E4D1BB3"/>
    <w:rsid w:val="6E6475E7"/>
    <w:rsid w:val="6E690C14"/>
    <w:rsid w:val="6E6F67CF"/>
    <w:rsid w:val="6E717867"/>
    <w:rsid w:val="6E7B01A5"/>
    <w:rsid w:val="6E801957"/>
    <w:rsid w:val="6E915149"/>
    <w:rsid w:val="6E9746C1"/>
    <w:rsid w:val="6E9D5A4D"/>
    <w:rsid w:val="6EAA2C05"/>
    <w:rsid w:val="6EC172FF"/>
    <w:rsid w:val="6EC42575"/>
    <w:rsid w:val="6EC61E3C"/>
    <w:rsid w:val="6EC826AA"/>
    <w:rsid w:val="6EDC05BD"/>
    <w:rsid w:val="6EDD6D02"/>
    <w:rsid w:val="6EFC0B8B"/>
    <w:rsid w:val="6EFE7E21"/>
    <w:rsid w:val="6F0A0530"/>
    <w:rsid w:val="6F0C7D4A"/>
    <w:rsid w:val="6F223007"/>
    <w:rsid w:val="6F3E7621"/>
    <w:rsid w:val="6F4D6644"/>
    <w:rsid w:val="6F5131B5"/>
    <w:rsid w:val="6F51451F"/>
    <w:rsid w:val="6F551510"/>
    <w:rsid w:val="6F5F7808"/>
    <w:rsid w:val="6F6513D7"/>
    <w:rsid w:val="6F6C7EFA"/>
    <w:rsid w:val="6F757BE0"/>
    <w:rsid w:val="6F7B3B29"/>
    <w:rsid w:val="6F7D002F"/>
    <w:rsid w:val="6F7F4ED7"/>
    <w:rsid w:val="6F82615C"/>
    <w:rsid w:val="6F846693"/>
    <w:rsid w:val="6F883BBD"/>
    <w:rsid w:val="6F901BA7"/>
    <w:rsid w:val="6F9857AB"/>
    <w:rsid w:val="6F9C054E"/>
    <w:rsid w:val="6F9C366C"/>
    <w:rsid w:val="6F9F08F6"/>
    <w:rsid w:val="6FA30573"/>
    <w:rsid w:val="6FAD0D41"/>
    <w:rsid w:val="6FB065F5"/>
    <w:rsid w:val="6FB378CC"/>
    <w:rsid w:val="6FB441B0"/>
    <w:rsid w:val="6FB522D9"/>
    <w:rsid w:val="6FBF560E"/>
    <w:rsid w:val="6FC136B5"/>
    <w:rsid w:val="6FC70267"/>
    <w:rsid w:val="6FD33CDB"/>
    <w:rsid w:val="6FD547F0"/>
    <w:rsid w:val="6FD76722"/>
    <w:rsid w:val="6FDD3136"/>
    <w:rsid w:val="6FE645E6"/>
    <w:rsid w:val="6FFA27AE"/>
    <w:rsid w:val="70003D2A"/>
    <w:rsid w:val="70044E4C"/>
    <w:rsid w:val="7007414B"/>
    <w:rsid w:val="7008395F"/>
    <w:rsid w:val="700C360A"/>
    <w:rsid w:val="702036F6"/>
    <w:rsid w:val="702166AA"/>
    <w:rsid w:val="702275F4"/>
    <w:rsid w:val="702A1868"/>
    <w:rsid w:val="702F159B"/>
    <w:rsid w:val="70340CD0"/>
    <w:rsid w:val="70392228"/>
    <w:rsid w:val="703A7A36"/>
    <w:rsid w:val="70470A5A"/>
    <w:rsid w:val="704735CB"/>
    <w:rsid w:val="70481F9F"/>
    <w:rsid w:val="70483BD1"/>
    <w:rsid w:val="704B59CB"/>
    <w:rsid w:val="704F6F86"/>
    <w:rsid w:val="70593932"/>
    <w:rsid w:val="705B05DF"/>
    <w:rsid w:val="705B4C8F"/>
    <w:rsid w:val="70657D19"/>
    <w:rsid w:val="706E0460"/>
    <w:rsid w:val="70745923"/>
    <w:rsid w:val="707D6997"/>
    <w:rsid w:val="707E058E"/>
    <w:rsid w:val="707F5E9F"/>
    <w:rsid w:val="70825596"/>
    <w:rsid w:val="70846AA1"/>
    <w:rsid w:val="7089164F"/>
    <w:rsid w:val="708C2B1F"/>
    <w:rsid w:val="708D1DCC"/>
    <w:rsid w:val="70906793"/>
    <w:rsid w:val="70913862"/>
    <w:rsid w:val="709272E8"/>
    <w:rsid w:val="7094303A"/>
    <w:rsid w:val="7094685C"/>
    <w:rsid w:val="709746CE"/>
    <w:rsid w:val="70980A7C"/>
    <w:rsid w:val="709D41FC"/>
    <w:rsid w:val="709E42BF"/>
    <w:rsid w:val="709F3AC0"/>
    <w:rsid w:val="70B46E8E"/>
    <w:rsid w:val="70B83BBD"/>
    <w:rsid w:val="70B9672D"/>
    <w:rsid w:val="70C87938"/>
    <w:rsid w:val="70D93730"/>
    <w:rsid w:val="70D96D56"/>
    <w:rsid w:val="70E12DF2"/>
    <w:rsid w:val="70EB4404"/>
    <w:rsid w:val="70EC11CE"/>
    <w:rsid w:val="70ED67FE"/>
    <w:rsid w:val="70F8730C"/>
    <w:rsid w:val="70FF58BE"/>
    <w:rsid w:val="70FF72AC"/>
    <w:rsid w:val="712E135F"/>
    <w:rsid w:val="71326597"/>
    <w:rsid w:val="713B0921"/>
    <w:rsid w:val="714A2B0E"/>
    <w:rsid w:val="71575147"/>
    <w:rsid w:val="71620540"/>
    <w:rsid w:val="7163552A"/>
    <w:rsid w:val="716943BF"/>
    <w:rsid w:val="716D4AB8"/>
    <w:rsid w:val="71713F64"/>
    <w:rsid w:val="71721FB0"/>
    <w:rsid w:val="717A0D38"/>
    <w:rsid w:val="717B21EA"/>
    <w:rsid w:val="717E15D6"/>
    <w:rsid w:val="71844169"/>
    <w:rsid w:val="71846CD6"/>
    <w:rsid w:val="718575B0"/>
    <w:rsid w:val="71895FE3"/>
    <w:rsid w:val="71897B0C"/>
    <w:rsid w:val="718A1DFB"/>
    <w:rsid w:val="71B41020"/>
    <w:rsid w:val="71B908F5"/>
    <w:rsid w:val="71BA56D5"/>
    <w:rsid w:val="71BA6C85"/>
    <w:rsid w:val="71BD5F7F"/>
    <w:rsid w:val="71CD1778"/>
    <w:rsid w:val="71D26A5A"/>
    <w:rsid w:val="71D30BE6"/>
    <w:rsid w:val="71D73A97"/>
    <w:rsid w:val="71DD446B"/>
    <w:rsid w:val="71E509E7"/>
    <w:rsid w:val="71E61F91"/>
    <w:rsid w:val="71E945D8"/>
    <w:rsid w:val="71EB59B9"/>
    <w:rsid w:val="71F521CB"/>
    <w:rsid w:val="71FA6C60"/>
    <w:rsid w:val="71FC10BB"/>
    <w:rsid w:val="71FE2889"/>
    <w:rsid w:val="7204013C"/>
    <w:rsid w:val="7205669E"/>
    <w:rsid w:val="72093D99"/>
    <w:rsid w:val="720E04DE"/>
    <w:rsid w:val="720F7339"/>
    <w:rsid w:val="72114FE7"/>
    <w:rsid w:val="7212600E"/>
    <w:rsid w:val="72134ED5"/>
    <w:rsid w:val="722713CF"/>
    <w:rsid w:val="722E72DC"/>
    <w:rsid w:val="72317640"/>
    <w:rsid w:val="72391C4C"/>
    <w:rsid w:val="724D0AE8"/>
    <w:rsid w:val="72500B1E"/>
    <w:rsid w:val="72532F96"/>
    <w:rsid w:val="7257161F"/>
    <w:rsid w:val="725873ED"/>
    <w:rsid w:val="725C0EDC"/>
    <w:rsid w:val="725E11F3"/>
    <w:rsid w:val="72691556"/>
    <w:rsid w:val="72710DC5"/>
    <w:rsid w:val="72736DF1"/>
    <w:rsid w:val="72867856"/>
    <w:rsid w:val="72896BD6"/>
    <w:rsid w:val="728B729F"/>
    <w:rsid w:val="729D7FA3"/>
    <w:rsid w:val="72AE55C4"/>
    <w:rsid w:val="72B00F61"/>
    <w:rsid w:val="72B800A3"/>
    <w:rsid w:val="72C47E3F"/>
    <w:rsid w:val="72C652FB"/>
    <w:rsid w:val="72D5137C"/>
    <w:rsid w:val="72D65611"/>
    <w:rsid w:val="72DA2113"/>
    <w:rsid w:val="72DF1F4A"/>
    <w:rsid w:val="72E15A3F"/>
    <w:rsid w:val="72E57C2C"/>
    <w:rsid w:val="72E94C99"/>
    <w:rsid w:val="73077FD0"/>
    <w:rsid w:val="730906B9"/>
    <w:rsid w:val="73117380"/>
    <w:rsid w:val="731E4AA1"/>
    <w:rsid w:val="73283D62"/>
    <w:rsid w:val="73365DF0"/>
    <w:rsid w:val="733C293E"/>
    <w:rsid w:val="733F075F"/>
    <w:rsid w:val="73436DCC"/>
    <w:rsid w:val="73440D38"/>
    <w:rsid w:val="73442B35"/>
    <w:rsid w:val="734637C0"/>
    <w:rsid w:val="73472666"/>
    <w:rsid w:val="73574A09"/>
    <w:rsid w:val="735B753A"/>
    <w:rsid w:val="735B7CEA"/>
    <w:rsid w:val="735C6E7C"/>
    <w:rsid w:val="735D682A"/>
    <w:rsid w:val="736B5758"/>
    <w:rsid w:val="736D415E"/>
    <w:rsid w:val="736F06DA"/>
    <w:rsid w:val="73724734"/>
    <w:rsid w:val="7373670C"/>
    <w:rsid w:val="737459E1"/>
    <w:rsid w:val="73762E31"/>
    <w:rsid w:val="73765D04"/>
    <w:rsid w:val="737C44A3"/>
    <w:rsid w:val="738E6040"/>
    <w:rsid w:val="73922911"/>
    <w:rsid w:val="73947F78"/>
    <w:rsid w:val="73955D18"/>
    <w:rsid w:val="73965DC9"/>
    <w:rsid w:val="73AC72C8"/>
    <w:rsid w:val="73AD36EC"/>
    <w:rsid w:val="73B35F1B"/>
    <w:rsid w:val="73B60B89"/>
    <w:rsid w:val="73B93A09"/>
    <w:rsid w:val="73BA3AB5"/>
    <w:rsid w:val="73C36B87"/>
    <w:rsid w:val="73C628F7"/>
    <w:rsid w:val="73D12FBE"/>
    <w:rsid w:val="73D472AE"/>
    <w:rsid w:val="73D7017A"/>
    <w:rsid w:val="73DA1ACD"/>
    <w:rsid w:val="73DB3EFC"/>
    <w:rsid w:val="73DB7DB7"/>
    <w:rsid w:val="73F47856"/>
    <w:rsid w:val="73F478A3"/>
    <w:rsid w:val="73F66304"/>
    <w:rsid w:val="73FF6571"/>
    <w:rsid w:val="74003083"/>
    <w:rsid w:val="74054C42"/>
    <w:rsid w:val="740D55BE"/>
    <w:rsid w:val="74125C44"/>
    <w:rsid w:val="741645F3"/>
    <w:rsid w:val="741905BA"/>
    <w:rsid w:val="74193740"/>
    <w:rsid w:val="741E11DB"/>
    <w:rsid w:val="741E6F8A"/>
    <w:rsid w:val="742059A1"/>
    <w:rsid w:val="74233C69"/>
    <w:rsid w:val="742E161B"/>
    <w:rsid w:val="74352946"/>
    <w:rsid w:val="743556C3"/>
    <w:rsid w:val="7437114C"/>
    <w:rsid w:val="743C303D"/>
    <w:rsid w:val="744243A4"/>
    <w:rsid w:val="74466B10"/>
    <w:rsid w:val="744864A5"/>
    <w:rsid w:val="745777ED"/>
    <w:rsid w:val="74604830"/>
    <w:rsid w:val="74671263"/>
    <w:rsid w:val="74697AF9"/>
    <w:rsid w:val="746F6EA7"/>
    <w:rsid w:val="74772F2B"/>
    <w:rsid w:val="747C72A9"/>
    <w:rsid w:val="748518A1"/>
    <w:rsid w:val="748676C5"/>
    <w:rsid w:val="74874717"/>
    <w:rsid w:val="748D5E7E"/>
    <w:rsid w:val="748E00AD"/>
    <w:rsid w:val="74B1481B"/>
    <w:rsid w:val="74B16D79"/>
    <w:rsid w:val="74B279AD"/>
    <w:rsid w:val="74B357F8"/>
    <w:rsid w:val="74B46A13"/>
    <w:rsid w:val="74B95BD4"/>
    <w:rsid w:val="74BB65AB"/>
    <w:rsid w:val="74CB0A1C"/>
    <w:rsid w:val="74CB50E2"/>
    <w:rsid w:val="74DA6BCA"/>
    <w:rsid w:val="74EE5612"/>
    <w:rsid w:val="74F31AC8"/>
    <w:rsid w:val="74FA0F92"/>
    <w:rsid w:val="74FA312C"/>
    <w:rsid w:val="74FA74EB"/>
    <w:rsid w:val="750174AD"/>
    <w:rsid w:val="750560A9"/>
    <w:rsid w:val="750F4869"/>
    <w:rsid w:val="75104E11"/>
    <w:rsid w:val="75312523"/>
    <w:rsid w:val="75362DC9"/>
    <w:rsid w:val="75374B5D"/>
    <w:rsid w:val="753F3635"/>
    <w:rsid w:val="75403DD6"/>
    <w:rsid w:val="754123CA"/>
    <w:rsid w:val="75462D3E"/>
    <w:rsid w:val="754F4411"/>
    <w:rsid w:val="7561057F"/>
    <w:rsid w:val="756D5B81"/>
    <w:rsid w:val="757337FB"/>
    <w:rsid w:val="758013F6"/>
    <w:rsid w:val="758105DF"/>
    <w:rsid w:val="75830A4B"/>
    <w:rsid w:val="759164C6"/>
    <w:rsid w:val="759B4B71"/>
    <w:rsid w:val="75A04280"/>
    <w:rsid w:val="75A6101B"/>
    <w:rsid w:val="75A84444"/>
    <w:rsid w:val="75AA2392"/>
    <w:rsid w:val="75AC2D74"/>
    <w:rsid w:val="75AD2C91"/>
    <w:rsid w:val="75B00EF5"/>
    <w:rsid w:val="75B374B6"/>
    <w:rsid w:val="75B464FF"/>
    <w:rsid w:val="75B909B6"/>
    <w:rsid w:val="75C90FC2"/>
    <w:rsid w:val="75D32612"/>
    <w:rsid w:val="75DE7884"/>
    <w:rsid w:val="75F90966"/>
    <w:rsid w:val="75FB430F"/>
    <w:rsid w:val="7617028A"/>
    <w:rsid w:val="76286C12"/>
    <w:rsid w:val="76433D89"/>
    <w:rsid w:val="764428BF"/>
    <w:rsid w:val="764A0304"/>
    <w:rsid w:val="76570F28"/>
    <w:rsid w:val="765931BF"/>
    <w:rsid w:val="76671E92"/>
    <w:rsid w:val="766E25FA"/>
    <w:rsid w:val="7679523A"/>
    <w:rsid w:val="768600F9"/>
    <w:rsid w:val="768604AE"/>
    <w:rsid w:val="76881499"/>
    <w:rsid w:val="769E27B1"/>
    <w:rsid w:val="769F1EA8"/>
    <w:rsid w:val="76A403AB"/>
    <w:rsid w:val="76A45896"/>
    <w:rsid w:val="76A62B60"/>
    <w:rsid w:val="76B21BE0"/>
    <w:rsid w:val="76B37FBB"/>
    <w:rsid w:val="76B7222A"/>
    <w:rsid w:val="76BA575E"/>
    <w:rsid w:val="76BB66C2"/>
    <w:rsid w:val="76C24A13"/>
    <w:rsid w:val="76DF7D94"/>
    <w:rsid w:val="76E123C5"/>
    <w:rsid w:val="76EB546E"/>
    <w:rsid w:val="76F0501E"/>
    <w:rsid w:val="76F371C9"/>
    <w:rsid w:val="770352E1"/>
    <w:rsid w:val="770A01CA"/>
    <w:rsid w:val="770F0CAD"/>
    <w:rsid w:val="77106C57"/>
    <w:rsid w:val="77173070"/>
    <w:rsid w:val="77181A85"/>
    <w:rsid w:val="771B7F88"/>
    <w:rsid w:val="771E3648"/>
    <w:rsid w:val="772143C2"/>
    <w:rsid w:val="773347AA"/>
    <w:rsid w:val="7734341B"/>
    <w:rsid w:val="773916B7"/>
    <w:rsid w:val="77403A15"/>
    <w:rsid w:val="77421578"/>
    <w:rsid w:val="77444826"/>
    <w:rsid w:val="774623E9"/>
    <w:rsid w:val="774B69D0"/>
    <w:rsid w:val="774C2830"/>
    <w:rsid w:val="77526F8F"/>
    <w:rsid w:val="775320A9"/>
    <w:rsid w:val="775D56D6"/>
    <w:rsid w:val="775F1442"/>
    <w:rsid w:val="77643816"/>
    <w:rsid w:val="77666B29"/>
    <w:rsid w:val="7767374D"/>
    <w:rsid w:val="777042CC"/>
    <w:rsid w:val="777B6468"/>
    <w:rsid w:val="778014DF"/>
    <w:rsid w:val="778F5AD6"/>
    <w:rsid w:val="77904FC9"/>
    <w:rsid w:val="7791437F"/>
    <w:rsid w:val="7799094A"/>
    <w:rsid w:val="779937D1"/>
    <w:rsid w:val="77A03EAD"/>
    <w:rsid w:val="77A622BD"/>
    <w:rsid w:val="77A95CBE"/>
    <w:rsid w:val="77AB7E89"/>
    <w:rsid w:val="77B32AAB"/>
    <w:rsid w:val="77B86FEA"/>
    <w:rsid w:val="77BA37C3"/>
    <w:rsid w:val="77BE7767"/>
    <w:rsid w:val="77C357AB"/>
    <w:rsid w:val="77C73C29"/>
    <w:rsid w:val="77CA6D8B"/>
    <w:rsid w:val="77D960E5"/>
    <w:rsid w:val="77DA0062"/>
    <w:rsid w:val="77DA184E"/>
    <w:rsid w:val="77DB409E"/>
    <w:rsid w:val="77E03771"/>
    <w:rsid w:val="77E70CB3"/>
    <w:rsid w:val="77F7571F"/>
    <w:rsid w:val="77F85BBE"/>
    <w:rsid w:val="77FD0F31"/>
    <w:rsid w:val="77FD2FA6"/>
    <w:rsid w:val="78054BBA"/>
    <w:rsid w:val="78062CFD"/>
    <w:rsid w:val="78092727"/>
    <w:rsid w:val="780D7482"/>
    <w:rsid w:val="781A4188"/>
    <w:rsid w:val="781E375E"/>
    <w:rsid w:val="78207506"/>
    <w:rsid w:val="782D6375"/>
    <w:rsid w:val="782F4B28"/>
    <w:rsid w:val="783412D4"/>
    <w:rsid w:val="7836766C"/>
    <w:rsid w:val="78440392"/>
    <w:rsid w:val="784629E5"/>
    <w:rsid w:val="784C3F61"/>
    <w:rsid w:val="784F5FBB"/>
    <w:rsid w:val="785054BD"/>
    <w:rsid w:val="78597E08"/>
    <w:rsid w:val="7864685B"/>
    <w:rsid w:val="786D7880"/>
    <w:rsid w:val="787020E7"/>
    <w:rsid w:val="78863804"/>
    <w:rsid w:val="78864A05"/>
    <w:rsid w:val="788B58B9"/>
    <w:rsid w:val="78932690"/>
    <w:rsid w:val="7899330E"/>
    <w:rsid w:val="78A066F8"/>
    <w:rsid w:val="78A233CB"/>
    <w:rsid w:val="78AB1BCD"/>
    <w:rsid w:val="78BF3A6A"/>
    <w:rsid w:val="78C64BB0"/>
    <w:rsid w:val="78CE72C4"/>
    <w:rsid w:val="78D478FB"/>
    <w:rsid w:val="78D83A0E"/>
    <w:rsid w:val="78DD4E9B"/>
    <w:rsid w:val="78E45C13"/>
    <w:rsid w:val="78E5688F"/>
    <w:rsid w:val="78E6418C"/>
    <w:rsid w:val="78E95AD1"/>
    <w:rsid w:val="78F1702B"/>
    <w:rsid w:val="78F56FFE"/>
    <w:rsid w:val="78FC452F"/>
    <w:rsid w:val="79034CEA"/>
    <w:rsid w:val="790A439B"/>
    <w:rsid w:val="790C0BDA"/>
    <w:rsid w:val="7920629F"/>
    <w:rsid w:val="792B56AF"/>
    <w:rsid w:val="792D66E0"/>
    <w:rsid w:val="79334536"/>
    <w:rsid w:val="795F545A"/>
    <w:rsid w:val="7962607D"/>
    <w:rsid w:val="79636DEC"/>
    <w:rsid w:val="797701F7"/>
    <w:rsid w:val="797A69DD"/>
    <w:rsid w:val="79824B61"/>
    <w:rsid w:val="7984176E"/>
    <w:rsid w:val="798425F7"/>
    <w:rsid w:val="79886DF4"/>
    <w:rsid w:val="798A64B0"/>
    <w:rsid w:val="799D694E"/>
    <w:rsid w:val="79A4029F"/>
    <w:rsid w:val="79AA13CA"/>
    <w:rsid w:val="79AD230A"/>
    <w:rsid w:val="79AD7CED"/>
    <w:rsid w:val="79AE3344"/>
    <w:rsid w:val="79AF35BA"/>
    <w:rsid w:val="79C26BF9"/>
    <w:rsid w:val="79C404E5"/>
    <w:rsid w:val="79D31296"/>
    <w:rsid w:val="79D413E8"/>
    <w:rsid w:val="79D70977"/>
    <w:rsid w:val="79D91DA6"/>
    <w:rsid w:val="79DA4B64"/>
    <w:rsid w:val="79DA6EE8"/>
    <w:rsid w:val="79DF37C2"/>
    <w:rsid w:val="79E007AE"/>
    <w:rsid w:val="79EE1516"/>
    <w:rsid w:val="79F04F41"/>
    <w:rsid w:val="79FD7B49"/>
    <w:rsid w:val="7A023D5D"/>
    <w:rsid w:val="7A056E5B"/>
    <w:rsid w:val="7A0A3862"/>
    <w:rsid w:val="7A176B47"/>
    <w:rsid w:val="7A195490"/>
    <w:rsid w:val="7A1E4836"/>
    <w:rsid w:val="7A204072"/>
    <w:rsid w:val="7A282272"/>
    <w:rsid w:val="7A357667"/>
    <w:rsid w:val="7A403AF7"/>
    <w:rsid w:val="7A452E92"/>
    <w:rsid w:val="7A49060E"/>
    <w:rsid w:val="7A49493E"/>
    <w:rsid w:val="7A4D1F16"/>
    <w:rsid w:val="7A52077A"/>
    <w:rsid w:val="7A5A424D"/>
    <w:rsid w:val="7A661E96"/>
    <w:rsid w:val="7A7352A1"/>
    <w:rsid w:val="7A7915C4"/>
    <w:rsid w:val="7A7E4590"/>
    <w:rsid w:val="7A864661"/>
    <w:rsid w:val="7A892987"/>
    <w:rsid w:val="7A894653"/>
    <w:rsid w:val="7A8B2687"/>
    <w:rsid w:val="7A8F5498"/>
    <w:rsid w:val="7A9C1475"/>
    <w:rsid w:val="7A9F4ADB"/>
    <w:rsid w:val="7AA32FE3"/>
    <w:rsid w:val="7AAA26A5"/>
    <w:rsid w:val="7ABE5562"/>
    <w:rsid w:val="7AC31970"/>
    <w:rsid w:val="7AC50B37"/>
    <w:rsid w:val="7AC553E7"/>
    <w:rsid w:val="7ACE2273"/>
    <w:rsid w:val="7ACF4119"/>
    <w:rsid w:val="7AD943C1"/>
    <w:rsid w:val="7AE55C4D"/>
    <w:rsid w:val="7AE61C3A"/>
    <w:rsid w:val="7AF05102"/>
    <w:rsid w:val="7AF2550C"/>
    <w:rsid w:val="7AFF3DA9"/>
    <w:rsid w:val="7B0302E3"/>
    <w:rsid w:val="7B0E5BD1"/>
    <w:rsid w:val="7B1055EB"/>
    <w:rsid w:val="7B1777D7"/>
    <w:rsid w:val="7B1931CE"/>
    <w:rsid w:val="7B1B412B"/>
    <w:rsid w:val="7B1E10F3"/>
    <w:rsid w:val="7B211732"/>
    <w:rsid w:val="7B2C77BB"/>
    <w:rsid w:val="7B327DED"/>
    <w:rsid w:val="7B335600"/>
    <w:rsid w:val="7B35389F"/>
    <w:rsid w:val="7B4221F9"/>
    <w:rsid w:val="7B500227"/>
    <w:rsid w:val="7B516004"/>
    <w:rsid w:val="7B5E63EC"/>
    <w:rsid w:val="7B600532"/>
    <w:rsid w:val="7B654028"/>
    <w:rsid w:val="7B66773B"/>
    <w:rsid w:val="7B683245"/>
    <w:rsid w:val="7B7E30C3"/>
    <w:rsid w:val="7B810054"/>
    <w:rsid w:val="7B8304B6"/>
    <w:rsid w:val="7B860404"/>
    <w:rsid w:val="7B890FB2"/>
    <w:rsid w:val="7B8A3D1E"/>
    <w:rsid w:val="7B9B05DC"/>
    <w:rsid w:val="7B9D0521"/>
    <w:rsid w:val="7B9F70DA"/>
    <w:rsid w:val="7BA2591F"/>
    <w:rsid w:val="7BA54219"/>
    <w:rsid w:val="7BAD5E3F"/>
    <w:rsid w:val="7BB04478"/>
    <w:rsid w:val="7BB072BA"/>
    <w:rsid w:val="7BB958F8"/>
    <w:rsid w:val="7BB95978"/>
    <w:rsid w:val="7BBF6155"/>
    <w:rsid w:val="7BC30313"/>
    <w:rsid w:val="7BD43EC8"/>
    <w:rsid w:val="7BD45A0E"/>
    <w:rsid w:val="7BDB7086"/>
    <w:rsid w:val="7BDD5587"/>
    <w:rsid w:val="7BDE7A9F"/>
    <w:rsid w:val="7BDF28F7"/>
    <w:rsid w:val="7BED3793"/>
    <w:rsid w:val="7BED5ABD"/>
    <w:rsid w:val="7BEE1753"/>
    <w:rsid w:val="7BFB405E"/>
    <w:rsid w:val="7BFE5FE1"/>
    <w:rsid w:val="7C0038FA"/>
    <w:rsid w:val="7C0067CB"/>
    <w:rsid w:val="7C030FA4"/>
    <w:rsid w:val="7C0F2E62"/>
    <w:rsid w:val="7C124C63"/>
    <w:rsid w:val="7C147A44"/>
    <w:rsid w:val="7C163016"/>
    <w:rsid w:val="7C1716A9"/>
    <w:rsid w:val="7C1C65FF"/>
    <w:rsid w:val="7C2433FB"/>
    <w:rsid w:val="7C2B3E20"/>
    <w:rsid w:val="7C2D44BB"/>
    <w:rsid w:val="7C2D4E87"/>
    <w:rsid w:val="7C30686A"/>
    <w:rsid w:val="7C3936C3"/>
    <w:rsid w:val="7C3D486A"/>
    <w:rsid w:val="7C61158D"/>
    <w:rsid w:val="7C6800E7"/>
    <w:rsid w:val="7C6D4642"/>
    <w:rsid w:val="7C755D05"/>
    <w:rsid w:val="7C77228A"/>
    <w:rsid w:val="7C86125B"/>
    <w:rsid w:val="7C870210"/>
    <w:rsid w:val="7C87237D"/>
    <w:rsid w:val="7C875B36"/>
    <w:rsid w:val="7C8C379B"/>
    <w:rsid w:val="7C923789"/>
    <w:rsid w:val="7C965B05"/>
    <w:rsid w:val="7C9B2AC4"/>
    <w:rsid w:val="7C9E5377"/>
    <w:rsid w:val="7C9F7F06"/>
    <w:rsid w:val="7CA104BD"/>
    <w:rsid w:val="7CA92545"/>
    <w:rsid w:val="7CB0643F"/>
    <w:rsid w:val="7CB272DE"/>
    <w:rsid w:val="7CC317BC"/>
    <w:rsid w:val="7CC43C6E"/>
    <w:rsid w:val="7CCA154B"/>
    <w:rsid w:val="7CD3320B"/>
    <w:rsid w:val="7CD76883"/>
    <w:rsid w:val="7CDF0C1D"/>
    <w:rsid w:val="7CE0455E"/>
    <w:rsid w:val="7CE42818"/>
    <w:rsid w:val="7CE949BB"/>
    <w:rsid w:val="7CED0DB6"/>
    <w:rsid w:val="7CEF38D8"/>
    <w:rsid w:val="7CF740E8"/>
    <w:rsid w:val="7CFF61DC"/>
    <w:rsid w:val="7D0470EC"/>
    <w:rsid w:val="7D18748C"/>
    <w:rsid w:val="7D2160EB"/>
    <w:rsid w:val="7D2D742B"/>
    <w:rsid w:val="7D2E0111"/>
    <w:rsid w:val="7D4707FC"/>
    <w:rsid w:val="7D4D78F8"/>
    <w:rsid w:val="7D554357"/>
    <w:rsid w:val="7D5A5C00"/>
    <w:rsid w:val="7D6560E6"/>
    <w:rsid w:val="7D6C7CF4"/>
    <w:rsid w:val="7D736652"/>
    <w:rsid w:val="7D7B3A24"/>
    <w:rsid w:val="7D826E76"/>
    <w:rsid w:val="7D844FEB"/>
    <w:rsid w:val="7D845E4E"/>
    <w:rsid w:val="7D850086"/>
    <w:rsid w:val="7D850D0E"/>
    <w:rsid w:val="7D9277F7"/>
    <w:rsid w:val="7DA00666"/>
    <w:rsid w:val="7DA357C3"/>
    <w:rsid w:val="7DA56A3E"/>
    <w:rsid w:val="7DB34064"/>
    <w:rsid w:val="7DB6681A"/>
    <w:rsid w:val="7DBE023E"/>
    <w:rsid w:val="7DC02D00"/>
    <w:rsid w:val="7DCF1844"/>
    <w:rsid w:val="7DD21A77"/>
    <w:rsid w:val="7DD41408"/>
    <w:rsid w:val="7DD91074"/>
    <w:rsid w:val="7DDE30FB"/>
    <w:rsid w:val="7DE02DAE"/>
    <w:rsid w:val="7DE16037"/>
    <w:rsid w:val="7DEB0215"/>
    <w:rsid w:val="7DEE6F9D"/>
    <w:rsid w:val="7DF3F317"/>
    <w:rsid w:val="7DF53971"/>
    <w:rsid w:val="7DFF4A4C"/>
    <w:rsid w:val="7E026B8A"/>
    <w:rsid w:val="7E0C0F0B"/>
    <w:rsid w:val="7E0F69AB"/>
    <w:rsid w:val="7E130ED1"/>
    <w:rsid w:val="7E1B482C"/>
    <w:rsid w:val="7E1D4F1F"/>
    <w:rsid w:val="7E206F7E"/>
    <w:rsid w:val="7E2770A8"/>
    <w:rsid w:val="7E294CF4"/>
    <w:rsid w:val="7E3514D0"/>
    <w:rsid w:val="7E356BEA"/>
    <w:rsid w:val="7E49529F"/>
    <w:rsid w:val="7E56378B"/>
    <w:rsid w:val="7E687B07"/>
    <w:rsid w:val="7E7B5A55"/>
    <w:rsid w:val="7E8E046B"/>
    <w:rsid w:val="7E8F39E1"/>
    <w:rsid w:val="7E913CCC"/>
    <w:rsid w:val="7E9F74E0"/>
    <w:rsid w:val="7EAA3C11"/>
    <w:rsid w:val="7EB515D0"/>
    <w:rsid w:val="7EB622E4"/>
    <w:rsid w:val="7EB93122"/>
    <w:rsid w:val="7EBA6623"/>
    <w:rsid w:val="7EBD5CCD"/>
    <w:rsid w:val="7EBE6A65"/>
    <w:rsid w:val="7EBF4DD7"/>
    <w:rsid w:val="7EC31A7E"/>
    <w:rsid w:val="7EC75497"/>
    <w:rsid w:val="7ED3678D"/>
    <w:rsid w:val="7EDA5112"/>
    <w:rsid w:val="7EDA5286"/>
    <w:rsid w:val="7EE5790A"/>
    <w:rsid w:val="7EEA1B49"/>
    <w:rsid w:val="7EED0B2F"/>
    <w:rsid w:val="7F01433E"/>
    <w:rsid w:val="7F015692"/>
    <w:rsid w:val="7F08561A"/>
    <w:rsid w:val="7F0B2F20"/>
    <w:rsid w:val="7F0D0622"/>
    <w:rsid w:val="7F0D3F24"/>
    <w:rsid w:val="7F130F27"/>
    <w:rsid w:val="7F286013"/>
    <w:rsid w:val="7F2D27E9"/>
    <w:rsid w:val="7F3200CE"/>
    <w:rsid w:val="7F352CE1"/>
    <w:rsid w:val="7F390999"/>
    <w:rsid w:val="7F4E6622"/>
    <w:rsid w:val="7F527B4B"/>
    <w:rsid w:val="7F6463DC"/>
    <w:rsid w:val="7F6D4EAF"/>
    <w:rsid w:val="7F70432F"/>
    <w:rsid w:val="7F742DA0"/>
    <w:rsid w:val="7F771787"/>
    <w:rsid w:val="7F881F61"/>
    <w:rsid w:val="7F940B50"/>
    <w:rsid w:val="7FA51EE9"/>
    <w:rsid w:val="7FA721A0"/>
    <w:rsid w:val="7FA75005"/>
    <w:rsid w:val="7FA80C8F"/>
    <w:rsid w:val="7FAD43F0"/>
    <w:rsid w:val="7FB144C9"/>
    <w:rsid w:val="7FB163B0"/>
    <w:rsid w:val="7FB7126B"/>
    <w:rsid w:val="7FC1796A"/>
    <w:rsid w:val="7FCD4530"/>
    <w:rsid w:val="7FCD65E6"/>
    <w:rsid w:val="7FD67D4B"/>
    <w:rsid w:val="7FDF71A6"/>
    <w:rsid w:val="7FF00272"/>
    <w:rsid w:val="7FF31C8D"/>
    <w:rsid w:val="7FFE5FB7"/>
    <w:rsid w:val="FF7A3004"/>
    <w:rsid w:val="FFFD935F"/>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5">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6">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20">
    <w:name w:val="Default Paragraph Font"/>
    <w:semiHidden/>
    <w:qFormat/>
    <w:uiPriority w:val="0"/>
  </w:style>
  <w:style w:type="table" w:default="1" w:styleId="19">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1"/>
    <w:qFormat/>
    <w:uiPriority w:val="0"/>
    <w:pPr>
      <w:spacing w:line="360" w:lineRule="auto"/>
      <w:ind w:firstLine="420"/>
    </w:pPr>
    <w:rPr>
      <w:rFonts w:ascii="宋体" w:hAnsi="宋体"/>
      <w:sz w:val="24"/>
    </w:rPr>
  </w:style>
  <w:style w:type="paragraph" w:styleId="3">
    <w:name w:val="Body Text"/>
    <w:basedOn w:val="1"/>
    <w:next w:val="1"/>
    <w:qFormat/>
    <w:uiPriority w:val="0"/>
    <w:rPr>
      <w:rFonts w:ascii="仿宋_GB2312" w:eastAsia="仿宋_GB2312"/>
      <w:sz w:val="32"/>
    </w:rPr>
  </w:style>
  <w:style w:type="paragraph" w:styleId="7">
    <w:name w:val="Normal Indent"/>
    <w:basedOn w:val="1"/>
    <w:qFormat/>
    <w:uiPriority w:val="0"/>
    <w:pPr>
      <w:adjustRightInd w:val="0"/>
      <w:snapToGrid w:val="0"/>
      <w:spacing w:line="360" w:lineRule="auto"/>
      <w:ind w:firstLine="420"/>
    </w:pPr>
    <w:rPr>
      <w:sz w:val="24"/>
    </w:rPr>
  </w:style>
  <w:style w:type="paragraph" w:styleId="8">
    <w:name w:val="Body Text Indent"/>
    <w:basedOn w:val="1"/>
    <w:qFormat/>
    <w:uiPriority w:val="0"/>
    <w:pPr>
      <w:spacing w:line="700" w:lineRule="exact"/>
      <w:ind w:left="960"/>
    </w:pPr>
    <w:rPr>
      <w:sz w:val="44"/>
    </w:rPr>
  </w:style>
  <w:style w:type="paragraph" w:styleId="9">
    <w:name w:val="toc 3"/>
    <w:basedOn w:val="1"/>
    <w:next w:val="1"/>
    <w:qFormat/>
    <w:uiPriority w:val="39"/>
    <w:pPr>
      <w:ind w:left="840" w:leftChars="400"/>
    </w:pPr>
  </w:style>
  <w:style w:type="paragraph" w:styleId="10">
    <w:name w:val="Plain Text"/>
    <w:basedOn w:val="1"/>
    <w:qFormat/>
    <w:uiPriority w:val="0"/>
    <w:rPr>
      <w:rFonts w:ascii="宋体" w:hAnsi="Courier New"/>
      <w:sz w:val="21"/>
    </w:rPr>
  </w:style>
  <w:style w:type="paragraph" w:styleId="11">
    <w:name w:val="Date"/>
    <w:basedOn w:val="1"/>
    <w:next w:val="1"/>
    <w:qFormat/>
    <w:uiPriority w:val="0"/>
  </w:style>
  <w:style w:type="paragraph" w:styleId="12">
    <w:name w:val="Body Text Indent 2"/>
    <w:basedOn w:val="1"/>
    <w:qFormat/>
    <w:uiPriority w:val="0"/>
    <w:pPr>
      <w:snapToGrid w:val="0"/>
      <w:spacing w:line="560" w:lineRule="atLeast"/>
      <w:ind w:firstLine="540"/>
    </w:pPr>
  </w:style>
  <w:style w:type="paragraph" w:styleId="13">
    <w:name w:val="footer"/>
    <w:basedOn w:val="1"/>
    <w:next w:val="14"/>
    <w:qFormat/>
    <w:uiPriority w:val="0"/>
    <w:pPr>
      <w:tabs>
        <w:tab w:val="center" w:pos="4153"/>
        <w:tab w:val="right" w:pos="8306"/>
      </w:tabs>
      <w:snapToGrid w:val="0"/>
      <w:jc w:val="left"/>
    </w:pPr>
    <w:rPr>
      <w:sz w:val="18"/>
    </w:rPr>
  </w:style>
  <w:style w:type="paragraph" w:customStyle="1" w:styleId="14">
    <w:name w:val="索引 51"/>
    <w:basedOn w:val="1"/>
    <w:next w:val="1"/>
    <w:qFormat/>
    <w:uiPriority w:val="0"/>
    <w:pPr>
      <w:ind w:left="1680"/>
    </w:pPr>
  </w:style>
  <w:style w:type="paragraph" w:styleId="15">
    <w:name w:val="header"/>
    <w:basedOn w:val="1"/>
    <w:qFormat/>
    <w:uiPriority w:val="0"/>
    <w:pPr>
      <w:pBdr>
        <w:bottom w:val="single" w:color="auto" w:sz="6" w:space="1"/>
      </w:pBdr>
      <w:tabs>
        <w:tab w:val="center" w:pos="4153"/>
        <w:tab w:val="right" w:pos="8306"/>
      </w:tabs>
      <w:snapToGrid w:val="0"/>
      <w:jc w:val="center"/>
    </w:pPr>
    <w:rPr>
      <w:sz w:val="18"/>
    </w:rPr>
  </w:style>
  <w:style w:type="paragraph" w:styleId="16">
    <w:name w:val="toc 1"/>
    <w:basedOn w:val="1"/>
    <w:next w:val="1"/>
    <w:qFormat/>
    <w:uiPriority w:val="0"/>
    <w:pPr>
      <w:spacing w:line="180" w:lineRule="auto"/>
      <w:jc w:val="center"/>
    </w:pPr>
    <w:rPr>
      <w:sz w:val="30"/>
    </w:rPr>
  </w:style>
  <w:style w:type="paragraph" w:styleId="17">
    <w:name w:val="toc 2"/>
    <w:basedOn w:val="1"/>
    <w:next w:val="1"/>
    <w:qFormat/>
    <w:uiPriority w:val="39"/>
    <w:pPr>
      <w:ind w:left="420" w:leftChars="200"/>
    </w:pPr>
  </w:style>
  <w:style w:type="paragraph" w:styleId="18">
    <w:name w:val="Normal (Web)"/>
    <w:basedOn w:val="1"/>
    <w:qFormat/>
    <w:uiPriority w:val="0"/>
    <w:pPr>
      <w:widowControl/>
      <w:spacing w:before="100" w:beforeLines="0" w:beforeAutospacing="1" w:after="100" w:afterLines="0" w:afterAutospacing="1"/>
      <w:jc w:val="left"/>
    </w:pPr>
    <w:rPr>
      <w:rFonts w:ascii="宋体" w:hAnsi="宋体"/>
      <w:kern w:val="0"/>
      <w:sz w:val="24"/>
    </w:rPr>
  </w:style>
  <w:style w:type="character" w:styleId="21">
    <w:name w:val="Strong"/>
    <w:basedOn w:val="20"/>
    <w:qFormat/>
    <w:uiPriority w:val="0"/>
    <w:rPr>
      <w:b/>
    </w:rPr>
  </w:style>
  <w:style w:type="character" w:styleId="22">
    <w:name w:val="page number"/>
    <w:basedOn w:val="20"/>
    <w:qFormat/>
    <w:uiPriority w:val="0"/>
  </w:style>
  <w:style w:type="paragraph" w:customStyle="1" w:styleId="23">
    <w:name w:val="1"/>
    <w:basedOn w:val="1"/>
    <w:next w:val="10"/>
    <w:qFormat/>
    <w:uiPriority w:val="0"/>
    <w:rPr>
      <w:rFonts w:ascii="宋体" w:hAnsi="Courier New"/>
      <w:sz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2.png"/><Relationship Id="rId16" Type="http://schemas.openxmlformats.org/officeDocument/2006/relationships/image" Target="media/image1.png"/><Relationship Id="rId15" Type="http://schemas.openxmlformats.org/officeDocument/2006/relationships/theme" Target="theme/theme1.xml"/><Relationship Id="rId14" Type="http://schemas.openxmlformats.org/officeDocument/2006/relationships/footer" Target="footer7.xml"/><Relationship Id="rId13" Type="http://schemas.openxmlformats.org/officeDocument/2006/relationships/header" Target="header5.xml"/><Relationship Id="rId12" Type="http://schemas.openxmlformats.org/officeDocument/2006/relationships/header" Target="header4.xml"/><Relationship Id="rId11" Type="http://schemas.openxmlformats.org/officeDocument/2006/relationships/header" Target="header3.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40</Pages>
  <Words>18120</Words>
  <Characters>18952</Characters>
  <Lines>0</Lines>
  <Paragraphs>0</Paragraphs>
  <TotalTime>0</TotalTime>
  <ScaleCrop>false</ScaleCrop>
  <LinksUpToDate>false</LinksUpToDate>
  <CharactersWithSpaces>20276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2025-10-14T00:15:00Z</dcterms:created>
  <dc:creator>WPS_1478610647</dc:creator>
  <cp:lastModifiedBy>杜幽桥</cp:lastModifiedBy>
  <dcterms:modified xsi:type="dcterms:W3CDTF">2026-05-08T04:00:56Z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B7D607C585EA4A8AB2FF28A1908747BD_11</vt:lpwstr>
  </property>
  <property fmtid="{D5CDD505-2E9C-101B-9397-08002B2CF9AE}" pid="4" name="KSOTemplateDocerSaveRecord">
    <vt:lpwstr>eyJoZGlkIjoiMTE3YmZmMjM5NmI0ZGZkNDU1Mzk4NzUzYzMxNTBhZGIiLCJ1c2VySWQiOiIxNjU0MDI5MjYzIn0=</vt:lpwstr>
  </property>
</Properties>
</file>