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81C13E">
      <w:pPr>
        <w:pStyle w:val="3"/>
        <w:keepNext w:val="0"/>
        <w:keepLines w:val="0"/>
        <w:pageBreakBefore w:val="0"/>
        <w:widowControl w:val="0"/>
        <w:kinsoku/>
        <w:wordWrap/>
        <w:overflowPunct/>
        <w:topLinePunct w:val="0"/>
        <w:autoSpaceDE/>
        <w:autoSpaceDN/>
        <w:bidi w:val="0"/>
        <w:adjustRightInd/>
        <w:snapToGrid/>
        <w:spacing w:beforeAutospacing="0" w:afterAutospacing="0" w:line="500" w:lineRule="exact"/>
        <w:jc w:val="center"/>
        <w:textAlignment w:val="auto"/>
      </w:pPr>
      <w:r>
        <w:t>关于《</w:t>
      </w:r>
      <w:r>
        <w:rPr>
          <w:rFonts w:hint="eastAsia"/>
          <w:lang w:eastAsia="zh-CN"/>
        </w:rPr>
        <w:t>文旅集团职工食堂干鲜副食食材配送服务</w:t>
      </w:r>
      <w:r>
        <w:t>采购项目》</w:t>
      </w:r>
    </w:p>
    <w:p w14:paraId="253AB436">
      <w:pPr>
        <w:pStyle w:val="3"/>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482" w:firstLineChars="100"/>
        <w:jc w:val="center"/>
        <w:textAlignment w:val="auto"/>
      </w:pPr>
      <w:r>
        <w:t>公平竞争审查公开征求意见的通告</w:t>
      </w:r>
    </w:p>
    <w:p w14:paraId="4910A341">
      <w:pPr>
        <w:rPr>
          <w:rFonts w:hint="default"/>
          <w:lang w:val="en-US" w:eastAsia="zh-CN"/>
        </w:rPr>
      </w:pPr>
    </w:p>
    <w:p w14:paraId="33F5F415">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lang w:val="en-US" w:eastAsia="zh-CN"/>
        </w:rPr>
        <w:t>为贯彻落实《反垄断法》《公平竞争审查条例》等法律法规要求，构建统一开放、竞争有序的政府采购市场体系，保障各类市场主体平等参与市场竞争的权利，我单位组织开展《文旅集团职工食堂干鲜副食食材配送服务采购项目》（以下简称“本项目”）的公平竞争审查工作。根据《关于推进落实工程建设项目招标投标和采购领域公平竞争审查程序的通知》（大足双反办〔2025〕11号）等相关要求，现就本项目公平竞争审查有关内容向社会公开征求意见。有关事项通告如下：</w:t>
      </w:r>
    </w:p>
    <w:p w14:paraId="701288EF">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2" w:firstLineChars="200"/>
        <w:textAlignment w:val="auto"/>
        <w:rPr>
          <w:rFonts w:hint="eastAsia" w:ascii="仿宋" w:hAnsi="仿宋" w:eastAsia="仿宋" w:cs="仿宋"/>
          <w:b/>
          <w:bCs/>
          <w:sz w:val="30"/>
          <w:szCs w:val="30"/>
        </w:rPr>
      </w:pPr>
      <w:r>
        <w:rPr>
          <w:rFonts w:hint="eastAsia" w:ascii="仿宋" w:hAnsi="仿宋" w:eastAsia="仿宋" w:cs="仿宋"/>
          <w:b/>
          <w:bCs/>
          <w:sz w:val="30"/>
          <w:szCs w:val="30"/>
        </w:rPr>
        <w:t>一、项目基本情况</w:t>
      </w:r>
    </w:p>
    <w:p w14:paraId="01BA545D">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项目名称：</w:t>
      </w:r>
      <w:r>
        <w:rPr>
          <w:rFonts w:hint="eastAsia" w:ascii="仿宋" w:hAnsi="仿宋" w:eastAsia="仿宋" w:cs="仿宋"/>
          <w:sz w:val="30"/>
          <w:szCs w:val="30"/>
          <w:lang w:eastAsia="zh-CN"/>
        </w:rPr>
        <w:t>文旅集团职工食堂干鲜副食食材配送服务</w:t>
      </w:r>
    </w:p>
    <w:p w14:paraId="69DF1DC8">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eastAsia="zh-CN"/>
        </w:rPr>
        <w:t>招标单位</w:t>
      </w:r>
      <w:r>
        <w:rPr>
          <w:rFonts w:hint="eastAsia" w:ascii="仿宋" w:hAnsi="仿宋" w:eastAsia="仿宋" w:cs="仿宋"/>
          <w:sz w:val="30"/>
          <w:szCs w:val="30"/>
        </w:rPr>
        <w:t>：</w:t>
      </w:r>
      <w:r>
        <w:rPr>
          <w:rFonts w:hint="eastAsia" w:ascii="仿宋" w:hAnsi="仿宋" w:eastAsia="仿宋" w:cs="仿宋"/>
          <w:sz w:val="30"/>
          <w:szCs w:val="30"/>
          <w:lang w:eastAsia="zh-CN"/>
        </w:rPr>
        <w:t>重庆大足石刻国际文化旅游集团有限公司</w:t>
      </w:r>
    </w:p>
    <w:p w14:paraId="6C9308D9">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default" w:ascii="仿宋" w:hAnsi="仿宋" w:eastAsia="仿宋" w:cs="仿宋"/>
          <w:sz w:val="30"/>
          <w:szCs w:val="30"/>
          <w:lang w:eastAsia="zh-CN"/>
          <w:woUserID w:val="1"/>
        </w:rPr>
        <w:t>招标公告</w:t>
      </w:r>
      <w:r>
        <w:rPr>
          <w:rFonts w:hint="eastAsia" w:ascii="仿宋" w:hAnsi="仿宋" w:eastAsia="仿宋" w:cs="仿宋"/>
          <w:sz w:val="30"/>
          <w:szCs w:val="30"/>
          <w:lang w:eastAsia="zh-CN"/>
        </w:rPr>
        <w:t>主要</w:t>
      </w:r>
      <w:r>
        <w:rPr>
          <w:rFonts w:hint="eastAsia" w:ascii="仿宋" w:hAnsi="仿宋" w:eastAsia="仿宋" w:cs="仿宋"/>
          <w:sz w:val="30"/>
          <w:szCs w:val="30"/>
        </w:rPr>
        <w:t>内容：</w:t>
      </w:r>
      <w:bookmarkStart w:id="0" w:name="_Toc25865"/>
      <w:r>
        <w:rPr>
          <w:rFonts w:hint="eastAsia" w:ascii="仿宋" w:hAnsi="仿宋" w:eastAsia="仿宋" w:cs="仿宋"/>
          <w:sz w:val="30"/>
          <w:szCs w:val="30"/>
          <w:lang w:val="en-US" w:eastAsia="zh-CN"/>
        </w:rPr>
        <w:t>本次采购内容包括文旅集团职工食堂干鲜副食食材配送服务，含干鲜、蛋类、米面油、奶制品等；并按照采购人通知的时间(自然原因造成的人力不可抗拒因素除外)、数量、品种、品质要求准时送货到指定地点。</w:t>
      </w:r>
      <w:bookmarkEnd w:id="0"/>
    </w:p>
    <w:p w14:paraId="1FEFCCAF">
      <w:pPr>
        <w:keepNext w:val="0"/>
        <w:keepLines w:val="0"/>
        <w:widowControl/>
        <w:suppressLineNumbers w:val="0"/>
        <w:jc w:val="left"/>
        <w:rPr>
          <w:rFonts w:hint="default" w:ascii="仿宋" w:hAnsi="仿宋" w:eastAsia="仿宋" w:cs="仿宋"/>
          <w:sz w:val="30"/>
          <w:szCs w:val="30"/>
          <w:lang w:val="en-US" w:eastAsia="zh-CN"/>
        </w:rPr>
      </w:pPr>
      <w:r>
        <w:rPr>
          <w:rFonts w:hint="eastAsia" w:ascii="仿宋" w:hAnsi="仿宋" w:eastAsia="仿宋" w:cs="仿宋"/>
          <w:sz w:val="30"/>
          <w:szCs w:val="30"/>
        </w:rPr>
        <w:t>项目制定依据：</w:t>
      </w:r>
      <w:r>
        <w:rPr>
          <w:rFonts w:hint="eastAsia" w:ascii="仿宋" w:hAnsi="仿宋" w:eastAsia="仿宋" w:cs="仿宋"/>
          <w:sz w:val="30"/>
          <w:szCs w:val="30"/>
          <w:highlight w:val="none"/>
          <w:shd w:val="clear" w:color="auto" w:fill="auto"/>
          <w:lang w:val="en-US" w:eastAsia="zh-CN"/>
        </w:rPr>
        <w:t>文旅集团党委会纪要</w:t>
      </w:r>
      <w:r>
        <w:rPr>
          <w:rFonts w:ascii="方正仿宋_GBK" w:hAnsi="方正仿宋_GBK" w:eastAsia="方正仿宋_GBK" w:cs="方正仿宋_GBK"/>
          <w:color w:val="000000"/>
          <w:kern w:val="0"/>
          <w:sz w:val="31"/>
          <w:szCs w:val="31"/>
          <w:highlight w:val="none"/>
          <w:shd w:val="clear" w:color="auto" w:fill="auto"/>
          <w:lang w:val="en-US" w:eastAsia="zh-CN" w:bidi="ar"/>
        </w:rPr>
        <w:t>〔</w:t>
      </w:r>
      <w:r>
        <w:rPr>
          <w:rFonts w:hint="default" w:ascii="Times New Roman" w:hAnsi="Times New Roman" w:eastAsia="宋体" w:cs="Times New Roman"/>
          <w:color w:val="000000"/>
          <w:kern w:val="0"/>
          <w:sz w:val="31"/>
          <w:szCs w:val="31"/>
          <w:highlight w:val="none"/>
          <w:shd w:val="clear" w:color="auto" w:fill="auto"/>
          <w:lang w:val="en-US" w:eastAsia="zh-CN" w:bidi="ar"/>
        </w:rPr>
        <w:t>2026</w:t>
      </w:r>
      <w:r>
        <w:rPr>
          <w:rFonts w:hint="eastAsia" w:ascii="方正仿宋_GBK" w:hAnsi="方正仿宋_GBK" w:eastAsia="方正仿宋_GBK" w:cs="方正仿宋_GBK"/>
          <w:color w:val="000000"/>
          <w:kern w:val="0"/>
          <w:sz w:val="31"/>
          <w:szCs w:val="31"/>
          <w:highlight w:val="none"/>
          <w:shd w:val="clear" w:color="auto" w:fill="auto"/>
          <w:lang w:val="en-US" w:eastAsia="zh-CN" w:bidi="ar"/>
        </w:rPr>
        <w:t>〕第 6 期</w:t>
      </w:r>
    </w:p>
    <w:p w14:paraId="4CDACFDD">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2" w:firstLineChars="200"/>
        <w:textAlignment w:val="auto"/>
        <w:rPr>
          <w:rFonts w:hint="eastAsia" w:ascii="仿宋" w:hAnsi="仿宋" w:eastAsia="仿宋" w:cs="仿宋"/>
          <w:b/>
          <w:bCs/>
          <w:sz w:val="30"/>
          <w:szCs w:val="30"/>
        </w:rPr>
      </w:pPr>
      <w:r>
        <w:rPr>
          <w:rFonts w:hint="eastAsia" w:ascii="仿宋" w:hAnsi="仿宋" w:eastAsia="仿宋" w:cs="仿宋"/>
          <w:b/>
          <w:bCs/>
          <w:sz w:val="30"/>
          <w:szCs w:val="30"/>
        </w:rPr>
        <w:t>二、公平竞争审查重点内容</w:t>
      </w:r>
    </w:p>
    <w:p w14:paraId="7F14E150">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根据公平竞争审查相关标准，本次重点审查以下内容是否存在排除、限制市场竞争情形：</w:t>
      </w:r>
    </w:p>
    <w:p w14:paraId="3825F690">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1、是否以供应商的所有制形式、组织形式或者股权结构为由，实施差别待遇或歧视待遇；</w:t>
      </w:r>
    </w:p>
    <w:p w14:paraId="17C1F99D">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2、</w:t>
      </w:r>
      <w:r>
        <w:rPr>
          <w:rFonts w:hint="default" w:ascii="仿宋" w:hAnsi="仿宋" w:eastAsia="仿宋" w:cs="仿宋"/>
          <w:sz w:val="30"/>
          <w:szCs w:val="30"/>
          <w:lang w:val="en-US" w:eastAsia="zh-CN"/>
        </w:rPr>
        <w:t>是否通过设置备选库、名录库、资格库等入围方式，变相限制供应商进入市场；</w:t>
      </w:r>
    </w:p>
    <w:p w14:paraId="067A1EA1">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3、</w:t>
      </w:r>
      <w:r>
        <w:rPr>
          <w:rFonts w:hint="default" w:ascii="仿宋" w:hAnsi="仿宋" w:eastAsia="仿宋" w:cs="仿宋"/>
          <w:sz w:val="30"/>
          <w:szCs w:val="30"/>
          <w:lang w:val="en-US" w:eastAsia="zh-CN"/>
        </w:rPr>
        <w:t>是否要求供应商设立分支机构、满足特定规模或成立年限等不合理门槛；</w:t>
      </w:r>
    </w:p>
    <w:p w14:paraId="5C3CCAFE">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4、</w:t>
      </w:r>
      <w:r>
        <w:rPr>
          <w:rFonts w:hint="default" w:ascii="仿宋" w:hAnsi="仿宋" w:eastAsia="仿宋" w:cs="仿宋"/>
          <w:sz w:val="30"/>
          <w:szCs w:val="30"/>
          <w:lang w:val="en-US" w:eastAsia="zh-CN"/>
        </w:rPr>
        <w:t>是否强制要求供应商购买指定</w:t>
      </w:r>
      <w:r>
        <w:rPr>
          <w:rFonts w:hint="eastAsia" w:ascii="仿宋" w:hAnsi="仿宋" w:eastAsia="仿宋" w:cs="仿宋"/>
          <w:sz w:val="30"/>
          <w:szCs w:val="30"/>
          <w:lang w:val="en-US" w:eastAsia="zh-CN"/>
        </w:rPr>
        <w:t>品牌</w:t>
      </w:r>
      <w:r>
        <w:rPr>
          <w:rFonts w:hint="default" w:ascii="仿宋" w:hAnsi="仿宋" w:eastAsia="仿宋" w:cs="仿宋"/>
          <w:sz w:val="30"/>
          <w:szCs w:val="30"/>
          <w:lang w:val="en-US" w:eastAsia="zh-CN"/>
        </w:rPr>
        <w:t>或接受其他附加条件作为参与投标的前提；</w:t>
      </w:r>
    </w:p>
    <w:p w14:paraId="388656EB">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5、</w:t>
      </w:r>
      <w:r>
        <w:rPr>
          <w:rFonts w:hint="default" w:ascii="仿宋" w:hAnsi="仿宋" w:eastAsia="仿宋" w:cs="仿宋"/>
          <w:sz w:val="30"/>
          <w:szCs w:val="30"/>
          <w:lang w:val="en-US" w:eastAsia="zh-CN"/>
        </w:rPr>
        <w:t>是否存在不依法及时、完整公开采购信息，妨碍供应商参与竞争的情况；</w:t>
      </w:r>
    </w:p>
    <w:p w14:paraId="74F8E861">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6、</w:t>
      </w:r>
      <w:r>
        <w:rPr>
          <w:rFonts w:hint="default" w:ascii="仿宋" w:hAnsi="仿宋" w:eastAsia="仿宋" w:cs="仿宋"/>
          <w:sz w:val="30"/>
          <w:szCs w:val="30"/>
          <w:lang w:val="en-US" w:eastAsia="zh-CN"/>
        </w:rPr>
        <w:t>是否设置无法律法规依据的审批、备案或收费事项；</w:t>
      </w:r>
    </w:p>
    <w:p w14:paraId="6735BBC8">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7、</w:t>
      </w:r>
      <w:r>
        <w:rPr>
          <w:rFonts w:hint="default" w:ascii="仿宋" w:hAnsi="仿宋" w:eastAsia="仿宋" w:cs="仿宋"/>
          <w:sz w:val="30"/>
          <w:szCs w:val="30"/>
          <w:lang w:val="en-US" w:eastAsia="zh-CN"/>
        </w:rPr>
        <w:t>其他可能妨碍公平竞争的情形。</w:t>
      </w:r>
      <w:r>
        <w:rPr>
          <w:rFonts w:hint="eastAsia" w:ascii="仿宋" w:hAnsi="仿宋" w:eastAsia="仿宋" w:cs="仿宋"/>
          <w:sz w:val="30"/>
          <w:szCs w:val="30"/>
          <w:lang w:val="en-US" w:eastAsia="zh-CN"/>
        </w:rPr>
        <w:t xml:space="preserve">                        </w:t>
      </w:r>
    </w:p>
    <w:p w14:paraId="53282643">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2" w:firstLineChars="200"/>
        <w:textAlignment w:val="auto"/>
        <w:rPr>
          <w:rFonts w:hint="eastAsia" w:ascii="仿宋" w:hAnsi="仿宋" w:eastAsia="仿宋" w:cs="仿宋"/>
          <w:b/>
          <w:bCs/>
          <w:sz w:val="30"/>
          <w:szCs w:val="30"/>
          <w:lang w:val="en-US" w:eastAsia="zh-CN"/>
        </w:rPr>
      </w:pPr>
      <w:r>
        <w:rPr>
          <w:rFonts w:hint="eastAsia" w:ascii="仿宋" w:hAnsi="仿宋" w:eastAsia="仿宋" w:cs="仿宋"/>
          <w:b/>
          <w:bCs/>
          <w:sz w:val="30"/>
          <w:szCs w:val="30"/>
          <w:lang w:val="en-US" w:eastAsia="zh-CN"/>
        </w:rPr>
        <w:t>三、意见反馈方式及期限</w:t>
      </w:r>
    </w:p>
    <w:p w14:paraId="138E2475">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default" w:ascii="仿宋" w:hAnsi="仿宋" w:eastAsia="仿宋" w:cs="仿宋"/>
          <w:sz w:val="30"/>
          <w:szCs w:val="30"/>
          <w:lang w:val="en-US" w:eastAsia="zh-CN"/>
        </w:rPr>
      </w:pPr>
      <w:r>
        <w:rPr>
          <w:rFonts w:hint="eastAsia" w:ascii="仿宋" w:hAnsi="仿宋" w:eastAsia="仿宋" w:cs="仿宋"/>
          <w:sz w:val="30"/>
          <w:szCs w:val="30"/>
          <w:lang w:val="en-US" w:eastAsia="zh-CN"/>
        </w:rPr>
        <w:t>（一）反馈途径</w:t>
      </w:r>
    </w:p>
    <w:p w14:paraId="0EC8769A">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lang w:val="en-US" w:eastAsia="zh-CN"/>
        </w:rPr>
        <w:t>1、</w:t>
      </w:r>
      <w:r>
        <w:rPr>
          <w:rFonts w:hint="eastAsia" w:ascii="仿宋" w:hAnsi="仿宋" w:eastAsia="仿宋" w:cs="仿宋"/>
          <w:sz w:val="30"/>
          <w:szCs w:val="30"/>
        </w:rPr>
        <w:t>电子邮件：发送至[</w:t>
      </w:r>
      <w:r>
        <w:rPr>
          <w:rFonts w:hint="eastAsia" w:ascii="仿宋" w:hAnsi="仿宋" w:eastAsia="仿宋" w:cs="仿宋"/>
          <w:sz w:val="30"/>
          <w:szCs w:val="30"/>
          <w:lang w:val="en-US" w:eastAsia="zh-CN"/>
        </w:rPr>
        <w:t>3022181286@qq.com</w:t>
      </w:r>
      <w:r>
        <w:rPr>
          <w:rFonts w:hint="eastAsia" w:ascii="仿宋" w:hAnsi="仿宋" w:eastAsia="仿宋" w:cs="仿宋"/>
          <w:sz w:val="30"/>
          <w:szCs w:val="30"/>
        </w:rPr>
        <w:t>]，邮件主题请注明“《</w:t>
      </w:r>
      <w:r>
        <w:rPr>
          <w:rFonts w:hint="eastAsia" w:ascii="仿宋" w:hAnsi="仿宋" w:eastAsia="仿宋" w:cs="仿宋"/>
          <w:sz w:val="30"/>
          <w:szCs w:val="30"/>
          <w:lang w:val="en-US" w:eastAsia="zh-CN"/>
        </w:rPr>
        <w:t>文旅集团职工食堂干鲜副食食材配送服务</w:t>
      </w:r>
      <w:r>
        <w:rPr>
          <w:rFonts w:hint="eastAsia" w:ascii="仿宋" w:hAnsi="仿宋" w:eastAsia="仿宋" w:cs="仿宋"/>
          <w:sz w:val="30"/>
          <w:szCs w:val="30"/>
        </w:rPr>
        <w:t>采购项目》公平竞争审查反馈意见”。</w:t>
      </w:r>
    </w:p>
    <w:p w14:paraId="3C6BA627">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lang w:val="en-US" w:eastAsia="zh-CN"/>
        </w:rPr>
        <w:t>2、</w:t>
      </w:r>
      <w:r>
        <w:rPr>
          <w:rFonts w:hint="eastAsia" w:ascii="仿宋" w:hAnsi="仿宋" w:eastAsia="仿宋" w:cs="仿宋"/>
          <w:sz w:val="30"/>
          <w:szCs w:val="30"/>
        </w:rPr>
        <w:t>信函邮寄：寄送至[重庆市大足区棠香街道大铜路污水处理厂内]，收件人：[</w:t>
      </w:r>
      <w:r>
        <w:rPr>
          <w:rFonts w:hint="eastAsia" w:ascii="仿宋" w:hAnsi="仿宋" w:eastAsia="仿宋" w:cs="仿宋"/>
          <w:sz w:val="30"/>
          <w:szCs w:val="30"/>
          <w:lang w:eastAsia="zh-CN"/>
        </w:rPr>
        <w:t>杜幽桥</w:t>
      </w:r>
      <w:r>
        <w:rPr>
          <w:rFonts w:hint="eastAsia" w:ascii="仿宋" w:hAnsi="仿宋" w:eastAsia="仿宋" w:cs="仿宋"/>
          <w:sz w:val="30"/>
          <w:szCs w:val="30"/>
        </w:rPr>
        <w:t>]，邮政编码：[</w:t>
      </w:r>
      <w:r>
        <w:rPr>
          <w:rFonts w:hint="eastAsia" w:ascii="仿宋" w:hAnsi="仿宋" w:eastAsia="仿宋" w:cs="仿宋"/>
          <w:sz w:val="30"/>
          <w:szCs w:val="30"/>
          <w:lang w:val="en-US" w:eastAsia="zh-CN"/>
        </w:rPr>
        <w:t>402360</w:t>
      </w:r>
      <w:r>
        <w:rPr>
          <w:rFonts w:hint="eastAsia" w:ascii="仿宋" w:hAnsi="仿宋" w:eastAsia="仿宋" w:cs="仿宋"/>
          <w:sz w:val="30"/>
          <w:szCs w:val="30"/>
        </w:rPr>
        <w:t>]，信封上请注明 “《</w:t>
      </w:r>
      <w:r>
        <w:rPr>
          <w:rFonts w:hint="eastAsia" w:ascii="仿宋" w:hAnsi="仿宋" w:eastAsia="仿宋" w:cs="仿宋"/>
          <w:sz w:val="30"/>
          <w:szCs w:val="30"/>
          <w:lang w:val="en-US" w:eastAsia="zh-CN"/>
        </w:rPr>
        <w:t>文旅集团职工食堂干鲜副食食材配送服务</w:t>
      </w:r>
      <w:r>
        <w:rPr>
          <w:rFonts w:hint="eastAsia" w:ascii="仿宋" w:hAnsi="仿宋" w:eastAsia="仿宋" w:cs="仿宋"/>
          <w:sz w:val="30"/>
          <w:szCs w:val="30"/>
        </w:rPr>
        <w:t>采购项目》公平竞争审查反馈意见”字样。</w:t>
      </w:r>
    </w:p>
    <w:p w14:paraId="0DF49499">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lang w:val="en-US" w:eastAsia="zh-CN"/>
        </w:rPr>
        <w:t>3、</w:t>
      </w:r>
      <w:r>
        <w:rPr>
          <w:rFonts w:hint="eastAsia" w:ascii="仿宋" w:hAnsi="仿宋" w:eastAsia="仿宋" w:cs="仿宋"/>
          <w:sz w:val="30"/>
          <w:szCs w:val="30"/>
        </w:rPr>
        <w:t>现场提交：地址：[重庆市大足区棠香街道大铜路污水处理厂内]，联系电话：[</w:t>
      </w:r>
      <w:r>
        <w:rPr>
          <w:rFonts w:hint="eastAsia" w:ascii="仿宋" w:hAnsi="仿宋" w:eastAsia="仿宋" w:cs="仿宋"/>
          <w:sz w:val="30"/>
          <w:szCs w:val="30"/>
          <w:lang w:val="en-US" w:eastAsia="zh-CN"/>
        </w:rPr>
        <w:t>15856060343</w:t>
      </w:r>
      <w:r>
        <w:rPr>
          <w:rFonts w:hint="eastAsia" w:ascii="仿宋" w:hAnsi="仿宋" w:eastAsia="仿宋" w:cs="仿宋"/>
          <w:sz w:val="30"/>
          <w:szCs w:val="30"/>
        </w:rPr>
        <w:t>]，提交时间：工作日9:00-11:30、14:00-17:00。</w:t>
      </w:r>
    </w:p>
    <w:p w14:paraId="76275B18">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（二）反馈期限</w:t>
      </w:r>
    </w:p>
    <w:p w14:paraId="60FC48E7">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highlight w:val="none"/>
        </w:rPr>
      </w:pPr>
      <w:r>
        <w:rPr>
          <w:rFonts w:hint="eastAsia" w:ascii="仿宋" w:hAnsi="仿宋" w:eastAsia="仿宋" w:cs="仿宋"/>
          <w:sz w:val="30"/>
          <w:szCs w:val="30"/>
          <w:lang w:val="en-US" w:eastAsia="zh-CN"/>
        </w:rPr>
        <w:t>本次公开征求意见期限为自本通告发布之日起7天内，</w:t>
      </w:r>
      <w:r>
        <w:rPr>
          <w:rFonts w:hint="eastAsia" w:ascii="仿宋" w:hAnsi="仿宋" w:eastAsia="仿宋" w:cs="仿宋"/>
          <w:sz w:val="30"/>
          <w:szCs w:val="30"/>
          <w:highlight w:val="none"/>
          <w:lang w:eastAsia="zh-CN"/>
        </w:rPr>
        <w:t>于</w:t>
      </w:r>
      <w:r>
        <w:rPr>
          <w:rFonts w:hint="eastAsia" w:ascii="仿宋" w:hAnsi="仿宋" w:eastAsia="仿宋" w:cs="仿宋"/>
          <w:sz w:val="30"/>
          <w:szCs w:val="30"/>
          <w:highlight w:val="none"/>
          <w:lang w:val="en-US" w:eastAsia="zh-CN"/>
        </w:rPr>
        <w:t>2026</w:t>
      </w:r>
      <w:r>
        <w:rPr>
          <w:rFonts w:hint="eastAsia" w:ascii="仿宋" w:hAnsi="仿宋" w:eastAsia="仿宋" w:cs="仿宋"/>
          <w:sz w:val="30"/>
          <w:szCs w:val="30"/>
          <w:highlight w:val="none"/>
        </w:rPr>
        <w:t>年</w:t>
      </w:r>
      <w:r>
        <w:rPr>
          <w:rFonts w:hint="eastAsia" w:ascii="仿宋" w:hAnsi="仿宋" w:eastAsia="仿宋" w:cs="仿宋"/>
          <w:sz w:val="30"/>
          <w:szCs w:val="30"/>
          <w:highlight w:val="none"/>
          <w:lang w:val="en-US" w:eastAsia="zh-CN"/>
        </w:rPr>
        <w:t>5</w:t>
      </w:r>
      <w:r>
        <w:rPr>
          <w:rFonts w:hint="eastAsia" w:ascii="仿宋" w:hAnsi="仿宋" w:eastAsia="仿宋" w:cs="仿宋"/>
          <w:sz w:val="30"/>
          <w:szCs w:val="30"/>
          <w:highlight w:val="none"/>
        </w:rPr>
        <w:t>月</w:t>
      </w:r>
      <w:r>
        <w:rPr>
          <w:rFonts w:hint="eastAsia" w:ascii="仿宋" w:hAnsi="仿宋" w:eastAsia="仿宋" w:cs="仿宋"/>
          <w:sz w:val="30"/>
          <w:szCs w:val="30"/>
          <w:highlight w:val="none"/>
          <w:lang w:val="en-US" w:eastAsia="zh-CN"/>
        </w:rPr>
        <w:t>14</w:t>
      </w:r>
      <w:r>
        <w:rPr>
          <w:rFonts w:hint="eastAsia" w:ascii="仿宋" w:hAnsi="仿宋" w:eastAsia="仿宋" w:cs="仿宋"/>
          <w:sz w:val="30"/>
          <w:szCs w:val="30"/>
          <w:highlight w:val="none"/>
        </w:rPr>
        <w:t>日前</w:t>
      </w:r>
      <w:r>
        <w:rPr>
          <w:rFonts w:hint="eastAsia" w:ascii="仿宋" w:hAnsi="仿宋" w:eastAsia="仿宋" w:cs="仿宋"/>
          <w:sz w:val="30"/>
          <w:szCs w:val="30"/>
          <w:highlight w:val="none"/>
          <w:lang w:eastAsia="zh-CN"/>
        </w:rPr>
        <w:t>按</w:t>
      </w:r>
      <w:r>
        <w:rPr>
          <w:rFonts w:hint="default" w:ascii="仿宋" w:hAnsi="仿宋" w:eastAsia="仿宋" w:cs="仿宋"/>
          <w:sz w:val="30"/>
          <w:szCs w:val="30"/>
          <w:highlight w:val="none"/>
          <w:lang w:eastAsia="zh-CN"/>
          <w:woUserID w:val="2"/>
        </w:rPr>
        <w:t>上述</w:t>
      </w:r>
      <w:r>
        <w:rPr>
          <w:rFonts w:hint="eastAsia" w:ascii="仿宋" w:hAnsi="仿宋" w:eastAsia="仿宋" w:cs="仿宋"/>
          <w:sz w:val="30"/>
          <w:szCs w:val="30"/>
          <w:highlight w:val="none"/>
          <w:lang w:eastAsia="zh-CN"/>
        </w:rPr>
        <w:t>途径反馈。</w:t>
      </w:r>
    </w:p>
    <w:p w14:paraId="1BC6E9F7">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2" w:firstLineChars="200"/>
        <w:textAlignment w:val="auto"/>
        <w:rPr>
          <w:rFonts w:hint="eastAsia" w:ascii="仿宋" w:hAnsi="仿宋" w:eastAsia="仿宋" w:cs="仿宋"/>
          <w:b/>
          <w:bCs/>
          <w:sz w:val="30"/>
          <w:szCs w:val="30"/>
          <w:lang w:val="en-US" w:eastAsia="zh-CN"/>
        </w:rPr>
      </w:pPr>
      <w:r>
        <w:rPr>
          <w:rFonts w:hint="eastAsia" w:ascii="仿宋" w:hAnsi="仿宋" w:eastAsia="仿宋" w:cs="仿宋"/>
          <w:b/>
          <w:bCs/>
          <w:sz w:val="30"/>
          <w:szCs w:val="30"/>
          <w:lang w:val="en-US" w:eastAsia="zh-CN"/>
        </w:rPr>
        <w:t>四、其他事项</w:t>
      </w:r>
    </w:p>
    <w:p w14:paraId="0C71BEDB">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反馈意见需明确提出具体修改建议及理由，可附相关事实依据或政策支撑材料。</w:t>
      </w:r>
    </w:p>
    <w:p w14:paraId="7AA5ADDF">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为便于沟通交流，请在反馈意见中注明联系人姓名、单位（如适用）、联系电话及电子邮箱。</w:t>
      </w:r>
    </w:p>
    <w:p w14:paraId="4D86FC60">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我单位将对收到的意见建议进行汇总梳理和研究论证，对合理意见予以采纳，并在后续审查结论中说明意见采纳情况及理由。</w:t>
      </w:r>
    </w:p>
    <w:p w14:paraId="6FE03AAE">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0" w:firstLineChars="200"/>
        <w:textAlignment w:val="auto"/>
        <w:rPr>
          <w:rFonts w:hint="eastAsia" w:ascii="仿宋" w:hAnsi="仿宋" w:eastAsia="仿宋" w:cs="仿宋"/>
          <w:sz w:val="30"/>
          <w:szCs w:val="30"/>
        </w:rPr>
      </w:pPr>
      <w:r>
        <w:rPr>
          <w:rFonts w:hint="eastAsia" w:ascii="仿宋" w:hAnsi="仿宋" w:eastAsia="仿宋" w:cs="仿宋"/>
          <w:sz w:val="30"/>
          <w:szCs w:val="30"/>
        </w:rPr>
        <w:t>有关本项目公平竞争审查的疑问，可致电[联系电话]咨询，咨询时间：工作日9:00-11:30、14:00-17:00。</w:t>
      </w:r>
    </w:p>
    <w:p w14:paraId="385DEC24">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602" w:firstLineChars="200"/>
        <w:textAlignment w:val="auto"/>
        <w:rPr>
          <w:rFonts w:hint="eastAsia" w:ascii="仿宋" w:hAnsi="仿宋" w:eastAsia="仿宋" w:cs="仿宋"/>
          <w:b/>
          <w:bCs/>
          <w:sz w:val="30"/>
          <w:szCs w:val="30"/>
          <w:lang w:val="en-US" w:eastAsia="zh-CN"/>
        </w:rPr>
      </w:pPr>
      <w:r>
        <w:rPr>
          <w:rFonts w:hint="eastAsia" w:ascii="仿宋" w:hAnsi="仿宋" w:eastAsia="仿宋" w:cs="仿宋"/>
          <w:b/>
          <w:bCs/>
          <w:sz w:val="30"/>
          <w:szCs w:val="30"/>
          <w:lang w:val="en-US" w:eastAsia="zh-CN"/>
        </w:rPr>
        <w:t>五、附件</w:t>
      </w:r>
    </w:p>
    <w:p w14:paraId="4A53E193">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900" w:firstLineChars="300"/>
        <w:textAlignment w:val="auto"/>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1、项目招标（采购）文件、招标（采购）公告；</w:t>
      </w:r>
    </w:p>
    <w:p w14:paraId="748690CE">
      <w:pPr>
        <w:keepNext w:val="0"/>
        <w:keepLines w:val="0"/>
        <w:pageBreakBefore w:val="0"/>
        <w:widowControl w:val="0"/>
        <w:kinsoku/>
        <w:wordWrap/>
        <w:overflowPunct/>
        <w:topLinePunct w:val="0"/>
        <w:autoSpaceDE/>
        <w:autoSpaceDN/>
        <w:bidi w:val="0"/>
        <w:adjustRightInd/>
        <w:snapToGrid/>
        <w:spacing w:beforeAutospacing="0" w:afterAutospacing="0" w:line="500" w:lineRule="exact"/>
        <w:ind w:firstLine="900" w:firstLineChars="300"/>
        <w:textAlignment w:val="auto"/>
        <w:rPr>
          <w:rFonts w:hint="eastAsia" w:ascii="仿宋" w:hAnsi="仿宋" w:eastAsia="仿宋" w:cs="仿宋"/>
          <w:sz w:val="30"/>
          <w:szCs w:val="30"/>
        </w:rPr>
      </w:pPr>
      <w:r>
        <w:rPr>
          <w:rFonts w:hint="eastAsia" w:ascii="仿宋" w:hAnsi="仿宋" w:eastAsia="仿宋" w:cs="仿宋"/>
          <w:sz w:val="30"/>
          <w:szCs w:val="30"/>
          <w:lang w:val="en-US" w:eastAsia="zh-CN"/>
        </w:rPr>
        <w:t>2、</w:t>
      </w:r>
      <w:r>
        <w:rPr>
          <w:rFonts w:hint="eastAsia" w:ascii="仿宋" w:hAnsi="仿宋" w:eastAsia="仿宋" w:cs="仿宋"/>
          <w:sz w:val="30"/>
          <w:szCs w:val="30"/>
        </w:rPr>
        <w:t>项目制定依据：</w:t>
      </w:r>
      <w:r>
        <w:rPr>
          <w:rFonts w:hint="eastAsia" w:ascii="仿宋" w:hAnsi="仿宋" w:eastAsia="仿宋" w:cs="仿宋"/>
          <w:sz w:val="30"/>
          <w:szCs w:val="30"/>
          <w:highlight w:val="none"/>
          <w:lang w:val="en-US" w:eastAsia="zh-CN"/>
        </w:rPr>
        <w:t>文旅集团党委会纪要</w:t>
      </w:r>
      <w:r>
        <w:rPr>
          <w:rFonts w:ascii="方正仿宋_GBK" w:hAnsi="方正仿宋_GBK" w:eastAsia="方正仿宋_GBK" w:cs="方正仿宋_GBK"/>
          <w:color w:val="000000"/>
          <w:kern w:val="0"/>
          <w:sz w:val="31"/>
          <w:szCs w:val="31"/>
          <w:highlight w:val="none"/>
          <w:lang w:val="en-US" w:eastAsia="zh-CN" w:bidi="ar"/>
        </w:rPr>
        <w:t>〔</w:t>
      </w:r>
      <w:r>
        <w:rPr>
          <w:rFonts w:hint="default" w:ascii="Times New Roman" w:hAnsi="Times New Roman" w:eastAsia="宋体" w:cs="Times New Roman"/>
          <w:color w:val="000000"/>
          <w:kern w:val="0"/>
          <w:sz w:val="31"/>
          <w:szCs w:val="31"/>
          <w:highlight w:val="none"/>
          <w:lang w:val="en-US" w:eastAsia="zh-CN" w:bidi="ar"/>
        </w:rPr>
        <w:t>20</w:t>
      </w:r>
      <w:r>
        <w:rPr>
          <w:rFonts w:hint="default" w:ascii="Times New Roman" w:hAnsi="Times New Roman" w:eastAsia="宋体" w:cs="Times New Roman"/>
          <w:color w:val="000000"/>
          <w:kern w:val="0"/>
          <w:sz w:val="31"/>
          <w:szCs w:val="31"/>
          <w:lang w:val="en-US" w:eastAsia="zh-CN" w:bidi="ar"/>
        </w:rPr>
        <w:t>26</w:t>
      </w:r>
      <w:r>
        <w:rPr>
          <w:rFonts w:hint="eastAsia" w:ascii="方正仿宋_GBK" w:hAnsi="方正仿宋_GBK" w:eastAsia="方正仿宋_GBK" w:cs="方正仿宋_GBK"/>
          <w:color w:val="000000"/>
          <w:kern w:val="0"/>
          <w:sz w:val="31"/>
          <w:szCs w:val="31"/>
          <w:lang w:val="en-US" w:eastAsia="zh-CN" w:bidi="ar"/>
        </w:rPr>
        <w:t>〕第 6 期</w:t>
      </w:r>
    </w:p>
    <w:p w14:paraId="3A25912E">
      <w:pPr>
        <w:keepNext w:val="0"/>
        <w:keepLines w:val="0"/>
        <w:pageBreakBefore w:val="0"/>
        <w:widowControl w:val="0"/>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30"/>
          <w:szCs w:val="30"/>
          <w:lang w:val="en-US" w:eastAsia="zh-CN"/>
        </w:rPr>
      </w:pPr>
    </w:p>
    <w:p w14:paraId="6ABF43AE">
      <w:pPr>
        <w:keepNext w:val="0"/>
        <w:keepLines w:val="0"/>
        <w:pageBreakBefore w:val="0"/>
        <w:widowControl w:val="0"/>
        <w:kinsoku/>
        <w:wordWrap/>
        <w:overflowPunct/>
        <w:topLinePunct w:val="0"/>
        <w:autoSpaceDE/>
        <w:autoSpaceDN/>
        <w:bidi w:val="0"/>
        <w:adjustRightInd/>
        <w:snapToGrid/>
        <w:spacing w:beforeAutospacing="0" w:afterAutospacing="0" w:line="500" w:lineRule="exact"/>
        <w:textAlignment w:val="auto"/>
        <w:rPr>
          <w:rFonts w:hint="eastAsia" w:ascii="仿宋" w:hAnsi="仿宋" w:eastAsia="仿宋" w:cs="仿宋"/>
          <w:sz w:val="30"/>
          <w:szCs w:val="30"/>
          <w:lang w:val="en-US" w:eastAsia="zh-CN"/>
        </w:rPr>
      </w:pPr>
    </w:p>
    <w:p w14:paraId="6E34B134">
      <w:pPr>
        <w:keepNext w:val="0"/>
        <w:keepLines w:val="0"/>
        <w:pageBreakBefore w:val="0"/>
        <w:widowControl w:val="0"/>
        <w:kinsoku/>
        <w:wordWrap/>
        <w:overflowPunct/>
        <w:topLinePunct w:val="0"/>
        <w:autoSpaceDE/>
        <w:autoSpaceDN/>
        <w:bidi w:val="0"/>
        <w:adjustRightInd/>
        <w:snapToGrid/>
        <w:spacing w:beforeAutospacing="0" w:afterAutospacing="0" w:line="500" w:lineRule="exact"/>
        <w:jc w:val="right"/>
        <w:textAlignment w:val="auto"/>
        <w:rPr>
          <w:rFonts w:hint="default" w:ascii="仿宋" w:hAnsi="仿宋" w:eastAsia="仿宋" w:cs="仿宋"/>
          <w:sz w:val="30"/>
          <w:szCs w:val="30"/>
          <w:woUserID w:val="2"/>
        </w:rPr>
      </w:pPr>
      <w:r>
        <w:rPr>
          <w:rFonts w:hint="default" w:ascii="仿宋" w:hAnsi="仿宋" w:eastAsia="仿宋" w:cs="仿宋"/>
          <w:sz w:val="30"/>
          <w:szCs w:val="30"/>
          <w:woUserID w:val="1"/>
        </w:rPr>
        <w:t xml:space="preserve">  </w:t>
      </w:r>
      <w:r>
        <w:rPr>
          <w:rFonts w:hint="default" w:ascii="仿宋" w:hAnsi="仿宋" w:eastAsia="仿宋" w:cs="仿宋"/>
          <w:sz w:val="30"/>
          <w:szCs w:val="30"/>
          <w:lang w:eastAsia="zh-CN"/>
          <w:woUserID w:val="1"/>
        </w:rPr>
        <w:t>重庆大足石刻国际文化旅游集团有限公司</w:t>
      </w:r>
      <w:r>
        <w:rPr>
          <w:rFonts w:hint="default" w:ascii="仿宋" w:hAnsi="仿宋" w:eastAsia="仿宋" w:cs="仿宋"/>
          <w:sz w:val="30"/>
          <w:szCs w:val="30"/>
          <w:woUserID w:val="1"/>
        </w:rPr>
        <w:t xml:space="preserve">                                      </w:t>
      </w:r>
      <w:r>
        <w:rPr>
          <w:rFonts w:hint="eastAsia" w:ascii="仿宋" w:hAnsi="仿宋" w:eastAsia="仿宋" w:cs="仿宋"/>
          <w:sz w:val="30"/>
          <w:szCs w:val="30"/>
          <w:lang w:val="en-US" w:eastAsia="zh-CN"/>
          <w:woUserID w:val="1"/>
        </w:rPr>
        <w:t>2026</w:t>
      </w:r>
      <w:r>
        <w:rPr>
          <w:rFonts w:hint="default" w:ascii="仿宋" w:hAnsi="仿宋" w:eastAsia="仿宋" w:cs="仿宋"/>
          <w:sz w:val="30"/>
          <w:szCs w:val="30"/>
          <w:woUserID w:val="1"/>
        </w:rPr>
        <w:t xml:space="preserve">年 </w:t>
      </w:r>
      <w:r>
        <w:rPr>
          <w:rFonts w:hint="eastAsia" w:ascii="仿宋" w:hAnsi="仿宋" w:eastAsia="仿宋" w:cs="仿宋"/>
          <w:sz w:val="30"/>
          <w:szCs w:val="30"/>
          <w:lang w:val="en-US" w:eastAsia="zh-CN"/>
          <w:woUserID w:val="1"/>
        </w:rPr>
        <w:t>5</w:t>
      </w:r>
      <w:r>
        <w:rPr>
          <w:rFonts w:hint="default" w:ascii="仿宋" w:hAnsi="仿宋" w:eastAsia="仿宋" w:cs="仿宋"/>
          <w:sz w:val="30"/>
          <w:szCs w:val="30"/>
          <w:woUserID w:val="1"/>
        </w:rPr>
        <w:t>月</w:t>
      </w:r>
      <w:r>
        <w:rPr>
          <w:rFonts w:hint="eastAsia" w:ascii="仿宋" w:hAnsi="仿宋" w:eastAsia="仿宋" w:cs="仿宋"/>
          <w:sz w:val="30"/>
          <w:szCs w:val="30"/>
          <w:lang w:val="en-US" w:eastAsia="zh-CN"/>
          <w:woUserID w:val="1"/>
        </w:rPr>
        <w:t>8</w:t>
      </w:r>
      <w:r>
        <w:rPr>
          <w:rFonts w:hint="default" w:ascii="仿宋" w:hAnsi="仿宋" w:eastAsia="仿宋" w:cs="仿宋"/>
          <w:sz w:val="30"/>
          <w:szCs w:val="30"/>
          <w:woUserID w:val="1"/>
        </w:rPr>
        <w:t xml:space="preserve"> 日</w:t>
      </w:r>
      <w:r>
        <w:rPr>
          <w:rFonts w:hint="default" w:ascii="仿宋" w:hAnsi="仿宋" w:eastAsia="仿宋" w:cs="仿宋"/>
          <w:sz w:val="30"/>
          <w:szCs w:val="30"/>
          <w:woUserID w:val="2"/>
        </w:rPr>
        <w:t xml:space="preserve">  </w:t>
      </w:r>
      <w:r>
        <w:rPr>
          <w:rFonts w:hint="default" w:ascii="仿宋" w:hAnsi="仿宋" w:eastAsia="仿宋" w:cs="仿宋"/>
          <w:sz w:val="30"/>
          <w:szCs w:val="30"/>
          <w:woUserID w:val="2"/>
        </w:rPr>
        <w:br w:type="textWrapping"/>
      </w:r>
    </w:p>
    <w:p w14:paraId="64399583">
      <w:pPr>
        <w:pStyle w:val="2"/>
        <w:rPr>
          <w:rFonts w:hint="default" w:ascii="仿宋" w:hAnsi="仿宋" w:eastAsia="仿宋" w:cs="仿宋"/>
          <w:sz w:val="30"/>
          <w:szCs w:val="30"/>
          <w:woUserID w:val="2"/>
        </w:rPr>
      </w:pPr>
    </w:p>
    <w:p w14:paraId="207DB8FE">
      <w:pPr>
        <w:rPr>
          <w:rFonts w:hint="default" w:ascii="仿宋" w:hAnsi="仿宋" w:eastAsia="仿宋" w:cs="仿宋"/>
          <w:sz w:val="30"/>
          <w:szCs w:val="30"/>
          <w:woUserID w:val="2"/>
        </w:rPr>
      </w:pPr>
    </w:p>
    <w:p w14:paraId="39661A87">
      <w:pPr>
        <w:pStyle w:val="2"/>
        <w:rPr>
          <w:rFonts w:hint="default" w:ascii="仿宋" w:hAnsi="仿宋" w:eastAsia="仿宋" w:cs="仿宋"/>
          <w:sz w:val="30"/>
          <w:szCs w:val="30"/>
          <w:woUserID w:val="2"/>
        </w:rPr>
      </w:pPr>
    </w:p>
    <w:p w14:paraId="4A546E0F">
      <w:pPr>
        <w:rPr>
          <w:rFonts w:hint="default" w:ascii="仿宋" w:hAnsi="仿宋" w:eastAsia="仿宋" w:cs="仿宋"/>
          <w:sz w:val="30"/>
          <w:szCs w:val="30"/>
          <w:woUserID w:val="2"/>
        </w:rPr>
      </w:pPr>
    </w:p>
    <w:p w14:paraId="3A9EDC14">
      <w:pPr>
        <w:pStyle w:val="2"/>
        <w:rPr>
          <w:rFonts w:hint="default" w:ascii="仿宋" w:hAnsi="仿宋" w:eastAsia="仿宋" w:cs="仿宋"/>
          <w:sz w:val="30"/>
          <w:szCs w:val="30"/>
          <w:woUserID w:val="2"/>
        </w:rPr>
      </w:pPr>
    </w:p>
    <w:p w14:paraId="4FD7C152">
      <w:pPr>
        <w:rPr>
          <w:rFonts w:hint="default" w:ascii="仿宋" w:hAnsi="仿宋" w:eastAsia="仿宋" w:cs="仿宋"/>
          <w:sz w:val="30"/>
          <w:szCs w:val="30"/>
          <w:woUserID w:val="2"/>
        </w:rPr>
      </w:pPr>
    </w:p>
    <w:p w14:paraId="52B79B83">
      <w:pPr>
        <w:pStyle w:val="2"/>
        <w:rPr>
          <w:rFonts w:hint="default" w:ascii="仿宋" w:hAnsi="仿宋" w:eastAsia="仿宋" w:cs="仿宋"/>
          <w:sz w:val="30"/>
          <w:szCs w:val="30"/>
          <w:woUserID w:val="2"/>
        </w:rPr>
      </w:pPr>
    </w:p>
    <w:p w14:paraId="12EBA24A">
      <w:pPr>
        <w:rPr>
          <w:rFonts w:hint="default" w:ascii="仿宋" w:hAnsi="仿宋" w:eastAsia="仿宋" w:cs="仿宋"/>
          <w:sz w:val="30"/>
          <w:szCs w:val="30"/>
          <w:woUserID w:val="2"/>
        </w:rPr>
      </w:pPr>
    </w:p>
    <w:p w14:paraId="6765FA22">
      <w:pPr>
        <w:pStyle w:val="2"/>
        <w:rPr>
          <w:rFonts w:hint="default" w:ascii="仿宋" w:hAnsi="仿宋" w:eastAsia="仿宋" w:cs="仿宋"/>
          <w:sz w:val="30"/>
          <w:szCs w:val="30"/>
          <w:woUserID w:val="2"/>
        </w:rPr>
      </w:pPr>
    </w:p>
    <w:p w14:paraId="19EFBDD1">
      <w:pPr>
        <w:rPr>
          <w:rFonts w:hint="default" w:ascii="仿宋" w:hAnsi="仿宋" w:eastAsia="仿宋" w:cs="仿宋"/>
          <w:sz w:val="30"/>
          <w:szCs w:val="30"/>
          <w:woUserID w:val="2"/>
        </w:rPr>
      </w:pPr>
    </w:p>
    <w:p w14:paraId="5DDE3171">
      <w:pPr>
        <w:pStyle w:val="2"/>
        <w:rPr>
          <w:rFonts w:hint="default" w:ascii="仿宋" w:hAnsi="仿宋" w:eastAsia="仿宋" w:cs="仿宋"/>
          <w:sz w:val="30"/>
          <w:szCs w:val="30"/>
          <w:woUserID w:val="2"/>
        </w:rPr>
      </w:pPr>
    </w:p>
    <w:p w14:paraId="18EB851B">
      <w:pPr>
        <w:rPr>
          <w:rFonts w:hint="default" w:ascii="仿宋" w:hAnsi="仿宋" w:eastAsia="仿宋" w:cs="仿宋"/>
          <w:sz w:val="30"/>
          <w:szCs w:val="30"/>
          <w:woUserID w:val="2"/>
        </w:rPr>
      </w:pPr>
    </w:p>
    <w:p w14:paraId="12CAE263">
      <w:pPr>
        <w:pStyle w:val="2"/>
        <w:rPr>
          <w:rFonts w:hint="default" w:ascii="仿宋" w:hAnsi="仿宋" w:eastAsia="仿宋" w:cs="仿宋"/>
          <w:sz w:val="30"/>
          <w:szCs w:val="30"/>
          <w:woUserID w:val="2"/>
        </w:rPr>
      </w:pPr>
    </w:p>
    <w:p w14:paraId="79734A22">
      <w:pPr>
        <w:rPr>
          <w:rFonts w:hint="default" w:ascii="仿宋" w:hAnsi="仿宋" w:eastAsia="仿宋" w:cs="仿宋"/>
          <w:sz w:val="30"/>
          <w:szCs w:val="30"/>
          <w:woUserID w:val="2"/>
        </w:rPr>
      </w:pPr>
    </w:p>
    <w:p w14:paraId="34258859">
      <w:pPr>
        <w:pStyle w:val="2"/>
        <w:rPr>
          <w:rFonts w:hint="default" w:ascii="仿宋" w:hAnsi="仿宋" w:eastAsia="仿宋" w:cs="仿宋"/>
          <w:sz w:val="30"/>
          <w:szCs w:val="30"/>
          <w:woUserID w:val="2"/>
        </w:rPr>
      </w:pPr>
    </w:p>
    <w:p w14:paraId="6779C24C">
      <w:pPr>
        <w:rPr>
          <w:rFonts w:hint="default" w:ascii="仿宋" w:hAnsi="仿宋" w:eastAsia="仿宋" w:cs="仿宋"/>
          <w:sz w:val="30"/>
          <w:szCs w:val="30"/>
          <w:woUserID w:val="2"/>
        </w:rPr>
      </w:pPr>
    </w:p>
    <w:p w14:paraId="1F80023C">
      <w:pPr>
        <w:pStyle w:val="2"/>
        <w:rPr>
          <w:rFonts w:hint="default" w:ascii="仿宋" w:hAnsi="仿宋" w:eastAsia="仿宋" w:cs="仿宋"/>
          <w:sz w:val="30"/>
          <w:szCs w:val="30"/>
          <w:woUserID w:val="2"/>
        </w:rPr>
      </w:pPr>
    </w:p>
    <w:p w14:paraId="236A10CA">
      <w:pPr>
        <w:rPr>
          <w:rFonts w:hint="default" w:ascii="仿宋" w:hAnsi="仿宋" w:eastAsia="仿宋" w:cs="仿宋"/>
          <w:sz w:val="30"/>
          <w:szCs w:val="30"/>
          <w:woUserID w:val="2"/>
        </w:rPr>
      </w:pPr>
    </w:p>
    <w:p w14:paraId="5BD5D4E9">
      <w:pPr>
        <w:pStyle w:val="2"/>
        <w:rPr>
          <w:rFonts w:hint="default" w:ascii="仿宋" w:hAnsi="仿宋" w:eastAsia="仿宋" w:cs="仿宋"/>
          <w:sz w:val="30"/>
          <w:szCs w:val="30"/>
          <w:woUserID w:val="2"/>
        </w:rPr>
      </w:pPr>
    </w:p>
    <w:p w14:paraId="77B82793">
      <w:pPr>
        <w:rPr>
          <w:rFonts w:hint="default" w:ascii="仿宋" w:hAnsi="仿宋" w:eastAsia="仿宋" w:cs="仿宋"/>
          <w:sz w:val="30"/>
          <w:szCs w:val="30"/>
          <w:woUserID w:val="2"/>
        </w:rPr>
      </w:pPr>
    </w:p>
    <w:p w14:paraId="1C3BC24E">
      <w:pPr>
        <w:pStyle w:val="2"/>
        <w:rPr>
          <w:rFonts w:hint="default" w:ascii="仿宋" w:hAnsi="仿宋" w:eastAsia="仿宋" w:cs="仿宋"/>
          <w:sz w:val="30"/>
          <w:szCs w:val="30"/>
          <w:woUserID w:val="2"/>
        </w:rPr>
      </w:pPr>
    </w:p>
    <w:p w14:paraId="4A5DA5B5">
      <w:pPr>
        <w:rPr>
          <w:rFonts w:hint="default" w:ascii="仿宋" w:hAnsi="仿宋" w:eastAsia="仿宋" w:cs="仿宋"/>
          <w:sz w:val="30"/>
          <w:szCs w:val="30"/>
          <w:woUserID w:val="2"/>
        </w:rPr>
      </w:pPr>
    </w:p>
    <w:p w14:paraId="5BF50197">
      <w:pPr>
        <w:pStyle w:val="2"/>
        <w:rPr>
          <w:rFonts w:hint="default" w:ascii="仿宋" w:hAnsi="仿宋" w:eastAsia="仿宋" w:cs="仿宋"/>
          <w:sz w:val="30"/>
          <w:szCs w:val="30"/>
          <w:woUserID w:val="2"/>
        </w:rPr>
      </w:pPr>
    </w:p>
    <w:p w14:paraId="36A1F454">
      <w:pPr>
        <w:rPr>
          <w:rFonts w:hint="default" w:ascii="仿宋" w:hAnsi="仿宋" w:eastAsia="仿宋" w:cs="仿宋"/>
          <w:sz w:val="30"/>
          <w:szCs w:val="30"/>
          <w:woUserID w:val="2"/>
        </w:rPr>
      </w:pPr>
    </w:p>
    <w:p w14:paraId="7F00B991">
      <w:pPr>
        <w:pStyle w:val="2"/>
        <w:rPr>
          <w:rFonts w:hint="default"/>
        </w:rPr>
      </w:pPr>
    </w:p>
    <w:p w14:paraId="442A378E">
      <w:pPr>
        <w:rPr>
          <w:rFonts w:hint="default" w:ascii="仿宋" w:hAnsi="仿宋" w:eastAsia="仿宋" w:cs="仿宋"/>
          <w:sz w:val="30"/>
          <w:szCs w:val="30"/>
          <w:lang w:val="en-US" w:eastAsia="zh-CN"/>
          <w:woUserID w:val="2"/>
        </w:rPr>
      </w:pPr>
      <w:r>
        <w:rPr>
          <w:rFonts w:hint="eastAsia" w:ascii="仿宋" w:hAnsi="仿宋" w:eastAsia="仿宋" w:cs="仿宋"/>
          <w:sz w:val="30"/>
          <w:szCs w:val="30"/>
          <w:lang w:val="en-US" w:eastAsia="zh-CN"/>
          <w:woUserID w:val="2"/>
        </w:rPr>
        <w:t>附件1：</w:t>
      </w:r>
    </w:p>
    <w:p w14:paraId="3072D516">
      <w:pPr>
        <w:suppressAutoHyphens/>
        <w:jc w:val="center"/>
        <w:rPr>
          <w:rFonts w:hint="eastAsia" w:ascii="仿宋" w:hAnsi="仿宋" w:eastAsia="仿宋" w:cs="仿宋"/>
          <w:b/>
          <w:bCs/>
          <w:color w:val="auto"/>
          <w:sz w:val="40"/>
          <w:szCs w:val="40"/>
          <w:highlight w:val="none"/>
          <w:lang w:eastAsia="zh-CN"/>
        </w:rPr>
      </w:pPr>
      <w:r>
        <w:rPr>
          <w:rFonts w:hint="eastAsia" w:ascii="仿宋" w:hAnsi="仿宋" w:eastAsia="仿宋" w:cs="仿宋"/>
          <w:b/>
          <w:bCs/>
          <w:color w:val="auto"/>
          <w:sz w:val="40"/>
          <w:szCs w:val="40"/>
          <w:highlight w:val="none"/>
          <w:lang w:eastAsia="zh-CN"/>
        </w:rPr>
        <w:t>项目名称：文旅集团职工食堂干鲜副食食材配送服务</w:t>
      </w:r>
    </w:p>
    <w:p w14:paraId="7836909F">
      <w:pPr>
        <w:spacing w:line="360" w:lineRule="auto"/>
        <w:jc w:val="center"/>
        <w:rPr>
          <w:rFonts w:hint="eastAsia" w:ascii="仿宋" w:hAnsi="仿宋" w:eastAsia="仿宋" w:cs="仿宋"/>
          <w:color w:val="auto"/>
          <w:sz w:val="22"/>
          <w:szCs w:val="16"/>
        </w:rPr>
      </w:pPr>
    </w:p>
    <w:p w14:paraId="10D1F035">
      <w:pPr>
        <w:spacing w:line="360" w:lineRule="auto"/>
        <w:jc w:val="center"/>
        <w:rPr>
          <w:rFonts w:hint="eastAsia" w:ascii="仿宋" w:hAnsi="仿宋" w:eastAsia="仿宋" w:cs="仿宋"/>
          <w:color w:val="auto"/>
          <w:sz w:val="22"/>
          <w:szCs w:val="16"/>
        </w:rPr>
      </w:pPr>
    </w:p>
    <w:p w14:paraId="2CC4FF1D">
      <w:pPr>
        <w:spacing w:line="360" w:lineRule="auto"/>
        <w:jc w:val="center"/>
        <w:outlineLvl w:val="0"/>
        <w:rPr>
          <w:rFonts w:hint="eastAsia" w:ascii="仿宋" w:hAnsi="仿宋" w:eastAsia="仿宋" w:cs="仿宋"/>
          <w:color w:val="auto"/>
          <w:spacing w:val="80"/>
          <w:sz w:val="72"/>
          <w:szCs w:val="72"/>
        </w:rPr>
      </w:pPr>
    </w:p>
    <w:p w14:paraId="25C673B6">
      <w:pPr>
        <w:pStyle w:val="2"/>
        <w:rPr>
          <w:rFonts w:hint="eastAsia" w:ascii="仿宋" w:hAnsi="仿宋" w:eastAsia="仿宋" w:cs="仿宋"/>
          <w:color w:val="auto"/>
          <w:spacing w:val="80"/>
          <w:sz w:val="72"/>
          <w:szCs w:val="72"/>
        </w:rPr>
      </w:pPr>
    </w:p>
    <w:p w14:paraId="455296C4">
      <w:pPr>
        <w:rPr>
          <w:rFonts w:hint="eastAsia"/>
          <w:color w:val="auto"/>
        </w:rPr>
      </w:pPr>
    </w:p>
    <w:p w14:paraId="04A714FD">
      <w:pPr>
        <w:pStyle w:val="2"/>
        <w:rPr>
          <w:rFonts w:hint="eastAsia" w:ascii="仿宋" w:hAnsi="仿宋" w:eastAsia="仿宋" w:cs="仿宋"/>
          <w:color w:val="auto"/>
        </w:rPr>
      </w:pPr>
    </w:p>
    <w:p w14:paraId="30916945">
      <w:pPr>
        <w:spacing w:line="360" w:lineRule="auto"/>
        <w:jc w:val="center"/>
        <w:outlineLvl w:val="0"/>
        <w:rPr>
          <w:rFonts w:hint="eastAsia" w:ascii="仿宋" w:hAnsi="仿宋" w:eastAsia="仿宋" w:cs="仿宋"/>
          <w:b/>
          <w:bCs/>
          <w:color w:val="auto"/>
          <w:spacing w:val="80"/>
          <w:sz w:val="72"/>
          <w:szCs w:val="72"/>
        </w:rPr>
      </w:pPr>
      <w:r>
        <w:rPr>
          <w:rFonts w:hint="eastAsia" w:ascii="仿宋" w:hAnsi="仿宋" w:eastAsia="仿宋" w:cs="仿宋"/>
          <w:b/>
          <w:bCs/>
          <w:color w:val="auto"/>
          <w:spacing w:val="80"/>
          <w:sz w:val="72"/>
          <w:szCs w:val="72"/>
          <w:lang w:eastAsia="zh-CN"/>
        </w:rPr>
        <w:t>询比采购</w:t>
      </w:r>
      <w:r>
        <w:rPr>
          <w:rFonts w:hint="eastAsia" w:ascii="仿宋" w:hAnsi="仿宋" w:eastAsia="仿宋" w:cs="仿宋"/>
          <w:b/>
          <w:bCs/>
          <w:color w:val="auto"/>
          <w:spacing w:val="80"/>
          <w:sz w:val="72"/>
          <w:szCs w:val="72"/>
        </w:rPr>
        <w:t>文件</w:t>
      </w:r>
    </w:p>
    <w:p w14:paraId="356EFB95">
      <w:pPr>
        <w:spacing w:line="360" w:lineRule="auto"/>
        <w:jc w:val="center"/>
        <w:rPr>
          <w:rFonts w:hint="eastAsia" w:ascii="仿宋" w:hAnsi="仿宋" w:eastAsia="仿宋" w:cs="仿宋"/>
          <w:color w:val="auto"/>
          <w:sz w:val="24"/>
          <w:szCs w:val="16"/>
        </w:rPr>
      </w:pPr>
    </w:p>
    <w:p w14:paraId="2FB37A41">
      <w:pPr>
        <w:spacing w:line="360" w:lineRule="auto"/>
        <w:rPr>
          <w:rFonts w:hint="eastAsia" w:ascii="仿宋" w:hAnsi="仿宋" w:eastAsia="仿宋" w:cs="仿宋"/>
          <w:color w:val="auto"/>
          <w:sz w:val="24"/>
          <w:szCs w:val="16"/>
        </w:rPr>
      </w:pPr>
    </w:p>
    <w:p w14:paraId="55ACCBE0">
      <w:pPr>
        <w:spacing w:line="360" w:lineRule="auto"/>
        <w:jc w:val="center"/>
        <w:rPr>
          <w:rFonts w:hint="eastAsia" w:ascii="仿宋" w:hAnsi="仿宋" w:eastAsia="仿宋" w:cs="仿宋"/>
          <w:color w:val="auto"/>
          <w:sz w:val="24"/>
          <w:szCs w:val="16"/>
        </w:rPr>
      </w:pPr>
    </w:p>
    <w:p w14:paraId="33488B44">
      <w:pPr>
        <w:spacing w:line="360" w:lineRule="auto"/>
        <w:jc w:val="center"/>
        <w:rPr>
          <w:rFonts w:hint="eastAsia" w:ascii="仿宋" w:hAnsi="仿宋" w:eastAsia="仿宋" w:cs="仿宋"/>
          <w:color w:val="auto"/>
          <w:sz w:val="24"/>
          <w:szCs w:val="16"/>
        </w:rPr>
      </w:pPr>
    </w:p>
    <w:p w14:paraId="19B45A82">
      <w:pPr>
        <w:pStyle w:val="2"/>
        <w:spacing w:line="360" w:lineRule="auto"/>
        <w:rPr>
          <w:rFonts w:hint="eastAsia" w:ascii="仿宋" w:hAnsi="仿宋" w:eastAsia="仿宋" w:cs="仿宋"/>
          <w:color w:val="auto"/>
          <w:kern w:val="2"/>
          <w:sz w:val="28"/>
          <w:szCs w:val="24"/>
          <w:lang w:val="en-US" w:eastAsia="zh-CN" w:bidi="ar-SA"/>
        </w:rPr>
      </w:pPr>
      <w:r>
        <w:rPr>
          <w:rFonts w:hint="eastAsia" w:ascii="仿宋" w:hAnsi="仿宋" w:eastAsia="仿宋" w:cs="仿宋"/>
          <w:color w:val="auto"/>
        </w:rPr>
        <w:t xml:space="preserve"> </w:t>
      </w:r>
    </w:p>
    <w:p w14:paraId="47A46E2C">
      <w:pPr>
        <w:spacing w:line="360" w:lineRule="auto"/>
        <w:ind w:firstLine="1360" w:firstLineChars="486"/>
        <w:rPr>
          <w:rFonts w:hint="eastAsia" w:ascii="仿宋" w:hAnsi="仿宋" w:eastAsia="仿宋" w:cs="仿宋"/>
          <w:color w:val="auto"/>
          <w:kern w:val="2"/>
          <w:sz w:val="28"/>
          <w:szCs w:val="24"/>
          <w:lang w:val="en-US" w:eastAsia="zh-CN" w:bidi="ar-SA"/>
        </w:rPr>
      </w:pPr>
    </w:p>
    <w:p w14:paraId="79621B62">
      <w:pPr>
        <w:spacing w:line="360" w:lineRule="auto"/>
        <w:ind w:firstLine="1020" w:firstLineChars="486"/>
        <w:rPr>
          <w:rFonts w:hint="eastAsia" w:ascii="仿宋" w:hAnsi="仿宋" w:eastAsia="仿宋" w:cs="仿宋"/>
          <w:color w:val="auto"/>
          <w:szCs w:val="24"/>
        </w:rPr>
      </w:pPr>
    </w:p>
    <w:p w14:paraId="112DCA4A">
      <w:pPr>
        <w:spacing w:line="360" w:lineRule="auto"/>
        <w:jc w:val="center"/>
        <w:rPr>
          <w:rFonts w:hint="eastAsia" w:ascii="仿宋" w:hAnsi="仿宋" w:eastAsia="仿宋" w:cs="仿宋"/>
          <w:b/>
          <w:color w:val="auto"/>
          <w:sz w:val="24"/>
          <w:szCs w:val="24"/>
        </w:rPr>
      </w:pPr>
    </w:p>
    <w:p w14:paraId="6CEE4EAE">
      <w:pPr>
        <w:spacing w:line="700" w:lineRule="exact"/>
        <w:jc w:val="center"/>
        <w:rPr>
          <w:rFonts w:hint="eastAsia" w:ascii="仿宋" w:hAnsi="仿宋" w:eastAsia="仿宋" w:cs="仿宋"/>
          <w:b/>
          <w:bCs/>
          <w:color w:val="auto"/>
          <w:sz w:val="36"/>
          <w:szCs w:val="36"/>
          <w:highlight w:val="none"/>
        </w:rPr>
      </w:pPr>
      <w:r>
        <w:rPr>
          <w:rFonts w:hint="eastAsia" w:ascii="仿宋" w:hAnsi="仿宋" w:eastAsia="仿宋" w:cs="仿宋"/>
          <w:b/>
          <w:bCs/>
          <w:color w:val="auto"/>
          <w:sz w:val="36"/>
          <w:szCs w:val="36"/>
          <w:highlight w:val="none"/>
        </w:rPr>
        <w:t>采 购 人：</w:t>
      </w:r>
      <w:r>
        <w:rPr>
          <w:rFonts w:hint="eastAsia" w:ascii="仿宋" w:hAnsi="仿宋" w:eastAsia="仿宋" w:cs="仿宋"/>
          <w:b/>
          <w:bCs/>
          <w:color w:val="auto"/>
          <w:sz w:val="36"/>
          <w:szCs w:val="36"/>
          <w:highlight w:val="none"/>
          <w:lang w:eastAsia="zh-CN"/>
        </w:rPr>
        <w:t>重庆大足石刻国际文化旅游集团有限公司</w:t>
      </w:r>
    </w:p>
    <w:p w14:paraId="6F77A596">
      <w:pPr>
        <w:spacing w:line="700" w:lineRule="exact"/>
        <w:jc w:val="center"/>
        <w:rPr>
          <w:rFonts w:hint="eastAsia" w:ascii="仿宋" w:hAnsi="仿宋" w:eastAsia="仿宋" w:cs="仿宋"/>
          <w:b/>
          <w:bCs/>
          <w:color w:val="auto"/>
          <w:sz w:val="36"/>
          <w:szCs w:val="36"/>
          <w:highlight w:val="none"/>
        </w:rPr>
      </w:pPr>
      <w:r>
        <w:rPr>
          <w:rFonts w:hint="eastAsia" w:ascii="仿宋" w:hAnsi="仿宋" w:eastAsia="仿宋" w:cs="仿宋"/>
          <w:b/>
          <w:bCs/>
          <w:color w:val="auto"/>
          <w:sz w:val="36"/>
          <w:szCs w:val="36"/>
          <w:highlight w:val="none"/>
        </w:rPr>
        <w:t>采购代理机构：</w:t>
      </w:r>
      <w:r>
        <w:rPr>
          <w:rFonts w:hint="eastAsia" w:ascii="仿宋" w:hAnsi="仿宋" w:eastAsia="仿宋" w:cs="Times New Roman"/>
          <w:b/>
          <w:bCs/>
          <w:color w:val="auto"/>
          <w:sz w:val="36"/>
          <w:szCs w:val="36"/>
          <w:lang w:val="en-US" w:eastAsia="zh-CN"/>
        </w:rPr>
        <w:t>重庆修为工程咨询有限公司</w:t>
      </w:r>
    </w:p>
    <w:p w14:paraId="7ACD740E">
      <w:pPr>
        <w:spacing w:line="720" w:lineRule="exact"/>
        <w:jc w:val="center"/>
        <w:outlineLvl w:val="0"/>
        <w:rPr>
          <w:rFonts w:hint="eastAsia" w:ascii="仿宋" w:hAnsi="仿宋" w:eastAsia="仿宋" w:cs="仿宋"/>
          <w:b/>
          <w:bCs/>
          <w:color w:val="auto"/>
          <w:sz w:val="36"/>
          <w:szCs w:val="36"/>
          <w:highlight w:val="none"/>
        </w:rPr>
      </w:pPr>
      <w:r>
        <w:rPr>
          <w:rFonts w:hint="eastAsia" w:ascii="仿宋" w:hAnsi="仿宋" w:eastAsia="仿宋" w:cs="仿宋"/>
          <w:b/>
          <w:bCs/>
          <w:color w:val="auto"/>
          <w:sz w:val="36"/>
          <w:szCs w:val="36"/>
          <w:highlight w:val="none"/>
        </w:rPr>
        <w:t>二〇二</w:t>
      </w:r>
      <w:r>
        <w:rPr>
          <w:rFonts w:hint="eastAsia" w:ascii="仿宋" w:hAnsi="仿宋" w:eastAsia="仿宋" w:cs="仿宋"/>
          <w:b/>
          <w:bCs/>
          <w:color w:val="auto"/>
          <w:sz w:val="36"/>
          <w:szCs w:val="36"/>
          <w:highlight w:val="none"/>
          <w:lang w:eastAsia="zh-CN"/>
        </w:rPr>
        <w:t>六</w:t>
      </w:r>
      <w:r>
        <w:rPr>
          <w:rFonts w:hint="eastAsia" w:ascii="仿宋" w:hAnsi="仿宋" w:eastAsia="仿宋" w:cs="仿宋"/>
          <w:b/>
          <w:bCs/>
          <w:color w:val="auto"/>
          <w:sz w:val="36"/>
          <w:szCs w:val="36"/>
          <w:highlight w:val="none"/>
        </w:rPr>
        <w:t>年</w:t>
      </w:r>
      <w:r>
        <w:rPr>
          <w:rFonts w:hint="eastAsia" w:ascii="仿宋" w:hAnsi="仿宋" w:eastAsia="仿宋" w:cs="仿宋"/>
          <w:b/>
          <w:bCs/>
          <w:color w:val="auto"/>
          <w:sz w:val="36"/>
          <w:szCs w:val="36"/>
          <w:highlight w:val="none"/>
          <w:lang w:val="en-US" w:eastAsia="zh-CN"/>
        </w:rPr>
        <w:t>五</w:t>
      </w:r>
      <w:r>
        <w:rPr>
          <w:rFonts w:hint="eastAsia" w:ascii="仿宋" w:hAnsi="仿宋" w:eastAsia="仿宋" w:cs="仿宋"/>
          <w:b/>
          <w:bCs/>
          <w:color w:val="auto"/>
          <w:sz w:val="36"/>
          <w:szCs w:val="36"/>
          <w:highlight w:val="none"/>
        </w:rPr>
        <w:t>月</w:t>
      </w:r>
    </w:p>
    <w:p w14:paraId="2B62EBB0">
      <w:pPr>
        <w:spacing w:line="360" w:lineRule="auto"/>
        <w:jc w:val="center"/>
        <w:outlineLvl w:val="0"/>
        <w:rPr>
          <w:rFonts w:hint="eastAsia" w:ascii="仿宋" w:hAnsi="仿宋" w:eastAsia="仿宋" w:cs="仿宋"/>
          <w:color w:val="auto"/>
          <w:sz w:val="44"/>
          <w:szCs w:val="28"/>
        </w:rPr>
        <w:sectPr>
          <w:headerReference r:id="rId4" w:type="first"/>
          <w:footerReference r:id="rId6" w:type="first"/>
          <w:headerReference r:id="rId3" w:type="default"/>
          <w:footerReference r:id="rId5" w:type="even"/>
          <w:pgSz w:w="11907" w:h="16840"/>
          <w:pgMar w:top="1440" w:right="1080" w:bottom="1440" w:left="1080" w:header="851" w:footer="992" w:gutter="0"/>
          <w:pgNumType w:fmt="numberInDash" w:start="1"/>
          <w:cols w:space="720" w:num="1"/>
          <w:docGrid w:linePitch="380" w:charSpace="-5735"/>
        </w:sectPr>
      </w:pPr>
    </w:p>
    <w:p w14:paraId="6690DA8C">
      <w:pPr>
        <w:spacing w:line="360" w:lineRule="auto"/>
        <w:jc w:val="center"/>
        <w:outlineLvl w:val="0"/>
        <w:rPr>
          <w:rFonts w:hint="eastAsia" w:ascii="仿宋" w:hAnsi="仿宋" w:eastAsia="仿宋" w:cs="仿宋"/>
          <w:color w:val="auto"/>
          <w:sz w:val="44"/>
          <w:szCs w:val="28"/>
        </w:rPr>
      </w:pPr>
      <w:r>
        <w:rPr>
          <w:rFonts w:hint="eastAsia" w:ascii="仿宋" w:hAnsi="仿宋" w:eastAsia="仿宋" w:cs="仿宋"/>
          <w:color w:val="auto"/>
          <w:sz w:val="44"/>
          <w:szCs w:val="28"/>
        </w:rPr>
        <w:t>目   录</w:t>
      </w:r>
    </w:p>
    <w:p w14:paraId="5B8614B4">
      <w:pPr>
        <w:pStyle w:val="13"/>
        <w:tabs>
          <w:tab w:val="right" w:leader="dot" w:pos="9412"/>
        </w:tabs>
        <w:rPr>
          <w:color w:val="auto"/>
        </w:rPr>
      </w:pPr>
      <w:r>
        <w:rPr>
          <w:rFonts w:hint="eastAsia" w:ascii="仿宋" w:hAnsi="仿宋" w:eastAsia="仿宋" w:cs="仿宋"/>
          <w:color w:val="auto"/>
          <w:sz w:val="21"/>
          <w:szCs w:val="21"/>
        </w:rPr>
        <w:fldChar w:fldCharType="begin"/>
      </w:r>
      <w:r>
        <w:rPr>
          <w:rFonts w:hint="eastAsia" w:ascii="仿宋" w:hAnsi="仿宋" w:eastAsia="仿宋" w:cs="仿宋"/>
          <w:color w:val="auto"/>
          <w:sz w:val="21"/>
          <w:szCs w:val="21"/>
        </w:rPr>
        <w:instrText xml:space="preserve"> TOC \o "1-3" \h \z </w:instrText>
      </w:r>
      <w:r>
        <w:rPr>
          <w:rFonts w:hint="eastAsia" w:ascii="仿宋" w:hAnsi="仿宋" w:eastAsia="仿宋" w:cs="仿宋"/>
          <w:color w:val="auto"/>
          <w:sz w:val="21"/>
          <w:szCs w:val="21"/>
        </w:rPr>
        <w:fldChar w:fldCharType="separate"/>
      </w: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_Toc3773 </w:instrText>
      </w:r>
      <w:r>
        <w:rPr>
          <w:rFonts w:hint="eastAsia" w:ascii="仿宋" w:hAnsi="仿宋" w:eastAsia="仿宋" w:cs="仿宋"/>
          <w:color w:val="auto"/>
          <w:szCs w:val="21"/>
        </w:rPr>
        <w:fldChar w:fldCharType="separate"/>
      </w:r>
      <w:r>
        <w:rPr>
          <w:rFonts w:hint="eastAsia" w:ascii="仿宋" w:hAnsi="仿宋" w:eastAsia="仿宋" w:cs="仿宋"/>
          <w:color w:val="auto"/>
          <w:szCs w:val="30"/>
        </w:rPr>
        <w:t>第一篇  采购邀请书</w:t>
      </w:r>
      <w:r>
        <w:rPr>
          <w:color w:val="auto"/>
        </w:rPr>
        <w:tab/>
      </w:r>
      <w:r>
        <w:rPr>
          <w:color w:val="auto"/>
        </w:rPr>
        <w:fldChar w:fldCharType="begin"/>
      </w:r>
      <w:r>
        <w:rPr>
          <w:color w:val="auto"/>
        </w:rPr>
        <w:instrText xml:space="preserve"> PAGEREF _Toc3773 \h </w:instrText>
      </w:r>
      <w:r>
        <w:rPr>
          <w:color w:val="auto"/>
        </w:rPr>
        <w:fldChar w:fldCharType="separate"/>
      </w:r>
      <w:r>
        <w:rPr>
          <w:color w:val="auto"/>
        </w:rPr>
        <w:t>- 3 -</w:t>
      </w:r>
      <w:r>
        <w:rPr>
          <w:color w:val="auto"/>
        </w:rPr>
        <w:fldChar w:fldCharType="end"/>
      </w:r>
      <w:r>
        <w:rPr>
          <w:rFonts w:hint="eastAsia" w:ascii="仿宋" w:hAnsi="仿宋" w:eastAsia="仿宋" w:cs="仿宋"/>
          <w:color w:val="auto"/>
          <w:szCs w:val="21"/>
        </w:rPr>
        <w:fldChar w:fldCharType="end"/>
      </w:r>
    </w:p>
    <w:p w14:paraId="403271A0">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_Toc25139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一、</w:t>
      </w:r>
      <w:r>
        <w:rPr>
          <w:rFonts w:hint="eastAsia" w:ascii="仿宋" w:hAnsi="仿宋" w:eastAsia="仿宋" w:cs="仿宋"/>
          <w:color w:val="auto"/>
          <w:szCs w:val="24"/>
          <w:lang w:eastAsia="zh-CN"/>
        </w:rPr>
        <w:t>询比</w:t>
      </w:r>
      <w:r>
        <w:rPr>
          <w:rFonts w:hint="eastAsia" w:ascii="仿宋" w:hAnsi="仿宋" w:eastAsia="仿宋" w:cs="仿宋"/>
          <w:color w:val="auto"/>
          <w:szCs w:val="24"/>
        </w:rPr>
        <w:t>内容</w:t>
      </w:r>
      <w:r>
        <w:rPr>
          <w:color w:val="auto"/>
        </w:rPr>
        <w:tab/>
      </w:r>
      <w:r>
        <w:rPr>
          <w:color w:val="auto"/>
        </w:rPr>
        <w:fldChar w:fldCharType="begin"/>
      </w:r>
      <w:r>
        <w:rPr>
          <w:color w:val="auto"/>
        </w:rPr>
        <w:instrText xml:space="preserve"> PAGEREF _Toc25139 \h </w:instrText>
      </w:r>
      <w:r>
        <w:rPr>
          <w:color w:val="auto"/>
        </w:rPr>
        <w:fldChar w:fldCharType="separate"/>
      </w:r>
      <w:r>
        <w:rPr>
          <w:color w:val="auto"/>
        </w:rPr>
        <w:t>- 3 -</w:t>
      </w:r>
      <w:r>
        <w:rPr>
          <w:color w:val="auto"/>
        </w:rPr>
        <w:fldChar w:fldCharType="end"/>
      </w:r>
      <w:r>
        <w:rPr>
          <w:rFonts w:hint="eastAsia" w:ascii="仿宋" w:hAnsi="仿宋" w:eastAsia="仿宋" w:cs="仿宋"/>
          <w:color w:val="auto"/>
          <w:szCs w:val="21"/>
        </w:rPr>
        <w:fldChar w:fldCharType="end"/>
      </w:r>
    </w:p>
    <w:p w14:paraId="098BE730">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_Toc1837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二、资金来源</w:t>
      </w:r>
      <w:r>
        <w:rPr>
          <w:color w:val="auto"/>
        </w:rPr>
        <w:tab/>
      </w:r>
      <w:r>
        <w:rPr>
          <w:color w:val="auto"/>
        </w:rPr>
        <w:fldChar w:fldCharType="begin"/>
      </w:r>
      <w:r>
        <w:rPr>
          <w:color w:val="auto"/>
        </w:rPr>
        <w:instrText xml:space="preserve"> PAGEREF _Toc1837 \h </w:instrText>
      </w:r>
      <w:r>
        <w:rPr>
          <w:color w:val="auto"/>
        </w:rPr>
        <w:fldChar w:fldCharType="separate"/>
      </w:r>
      <w:r>
        <w:rPr>
          <w:color w:val="auto"/>
        </w:rPr>
        <w:t>- 3 -</w:t>
      </w:r>
      <w:r>
        <w:rPr>
          <w:color w:val="auto"/>
        </w:rPr>
        <w:fldChar w:fldCharType="end"/>
      </w:r>
      <w:r>
        <w:rPr>
          <w:rFonts w:hint="eastAsia" w:ascii="仿宋" w:hAnsi="仿宋" w:eastAsia="仿宋" w:cs="仿宋"/>
          <w:color w:val="auto"/>
          <w:szCs w:val="21"/>
        </w:rPr>
        <w:fldChar w:fldCharType="end"/>
      </w:r>
    </w:p>
    <w:p w14:paraId="3D10BCF9">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_Toc27098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三、供应商资格条件</w:t>
      </w:r>
      <w:r>
        <w:rPr>
          <w:color w:val="auto"/>
        </w:rPr>
        <w:tab/>
      </w:r>
      <w:r>
        <w:rPr>
          <w:color w:val="auto"/>
        </w:rPr>
        <w:fldChar w:fldCharType="begin"/>
      </w:r>
      <w:r>
        <w:rPr>
          <w:color w:val="auto"/>
        </w:rPr>
        <w:instrText xml:space="preserve"> PAGEREF _Toc27098 \h </w:instrText>
      </w:r>
      <w:r>
        <w:rPr>
          <w:color w:val="auto"/>
        </w:rPr>
        <w:fldChar w:fldCharType="separate"/>
      </w:r>
      <w:r>
        <w:rPr>
          <w:color w:val="auto"/>
        </w:rPr>
        <w:t>- 3 -</w:t>
      </w:r>
      <w:r>
        <w:rPr>
          <w:color w:val="auto"/>
        </w:rPr>
        <w:fldChar w:fldCharType="end"/>
      </w:r>
      <w:r>
        <w:rPr>
          <w:rFonts w:hint="eastAsia" w:ascii="仿宋" w:hAnsi="仿宋" w:eastAsia="仿宋" w:cs="仿宋"/>
          <w:color w:val="auto"/>
          <w:szCs w:val="21"/>
        </w:rPr>
        <w:fldChar w:fldCharType="end"/>
      </w:r>
    </w:p>
    <w:p w14:paraId="4FA5303C">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_Toc3556 </w:instrText>
      </w:r>
      <w:r>
        <w:rPr>
          <w:rFonts w:hint="eastAsia" w:ascii="仿宋" w:hAnsi="仿宋" w:eastAsia="仿宋" w:cs="仿宋"/>
          <w:color w:val="auto"/>
          <w:szCs w:val="21"/>
        </w:rPr>
        <w:fldChar w:fldCharType="separate"/>
      </w:r>
      <w:r>
        <w:rPr>
          <w:rFonts w:hint="eastAsia" w:ascii="仿宋" w:hAnsi="仿宋" w:eastAsia="仿宋" w:cs="仿宋"/>
          <w:color w:val="auto"/>
          <w:szCs w:val="24"/>
          <w:lang w:val="en-US" w:eastAsia="zh-CN"/>
        </w:rPr>
        <w:t>四、询比有关说明</w:t>
      </w:r>
      <w:r>
        <w:rPr>
          <w:color w:val="auto"/>
        </w:rPr>
        <w:tab/>
      </w:r>
      <w:r>
        <w:rPr>
          <w:color w:val="auto"/>
        </w:rPr>
        <w:fldChar w:fldCharType="begin"/>
      </w:r>
      <w:r>
        <w:rPr>
          <w:color w:val="auto"/>
        </w:rPr>
        <w:instrText xml:space="preserve"> PAGEREF _Toc3556 \h </w:instrText>
      </w:r>
      <w:r>
        <w:rPr>
          <w:color w:val="auto"/>
        </w:rPr>
        <w:fldChar w:fldCharType="separate"/>
      </w:r>
      <w:r>
        <w:rPr>
          <w:color w:val="auto"/>
        </w:rPr>
        <w:t>- 3 -</w:t>
      </w:r>
      <w:r>
        <w:rPr>
          <w:color w:val="auto"/>
        </w:rPr>
        <w:fldChar w:fldCharType="end"/>
      </w:r>
      <w:r>
        <w:rPr>
          <w:rFonts w:hint="eastAsia" w:ascii="仿宋" w:hAnsi="仿宋" w:eastAsia="仿宋" w:cs="仿宋"/>
          <w:color w:val="auto"/>
          <w:szCs w:val="21"/>
        </w:rPr>
        <w:fldChar w:fldCharType="end"/>
      </w:r>
    </w:p>
    <w:p w14:paraId="308E927C">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_Toc8514 </w:instrText>
      </w:r>
      <w:r>
        <w:rPr>
          <w:rFonts w:hint="eastAsia" w:ascii="仿宋" w:hAnsi="仿宋" w:eastAsia="仿宋" w:cs="仿宋"/>
          <w:color w:val="auto"/>
          <w:szCs w:val="21"/>
        </w:rPr>
        <w:fldChar w:fldCharType="separate"/>
      </w:r>
      <w:r>
        <w:rPr>
          <w:rFonts w:hint="eastAsia" w:ascii="仿宋" w:hAnsi="仿宋" w:eastAsia="仿宋" w:cs="仿宋"/>
          <w:color w:val="auto"/>
          <w:szCs w:val="24"/>
          <w:lang w:val="en-US" w:eastAsia="zh-CN"/>
        </w:rPr>
        <w:t>五、询比保证金</w:t>
      </w:r>
      <w:r>
        <w:rPr>
          <w:color w:val="auto"/>
        </w:rPr>
        <w:tab/>
      </w:r>
      <w:r>
        <w:rPr>
          <w:color w:val="auto"/>
        </w:rPr>
        <w:fldChar w:fldCharType="begin"/>
      </w:r>
      <w:r>
        <w:rPr>
          <w:color w:val="auto"/>
        </w:rPr>
        <w:instrText xml:space="preserve"> PAGEREF _Toc8514 \h </w:instrText>
      </w:r>
      <w:r>
        <w:rPr>
          <w:color w:val="auto"/>
        </w:rPr>
        <w:fldChar w:fldCharType="separate"/>
      </w:r>
      <w:r>
        <w:rPr>
          <w:color w:val="auto"/>
        </w:rPr>
        <w:t>- 4 -</w:t>
      </w:r>
      <w:r>
        <w:rPr>
          <w:color w:val="auto"/>
        </w:rPr>
        <w:fldChar w:fldCharType="end"/>
      </w:r>
      <w:r>
        <w:rPr>
          <w:rFonts w:hint="eastAsia" w:ascii="仿宋" w:hAnsi="仿宋" w:eastAsia="仿宋" w:cs="仿宋"/>
          <w:color w:val="auto"/>
          <w:szCs w:val="21"/>
        </w:rPr>
        <w:fldChar w:fldCharType="end"/>
      </w:r>
    </w:p>
    <w:p w14:paraId="2BF928A0">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_Toc6633 </w:instrText>
      </w:r>
      <w:r>
        <w:rPr>
          <w:rFonts w:hint="eastAsia" w:ascii="仿宋" w:hAnsi="仿宋" w:eastAsia="仿宋" w:cs="仿宋"/>
          <w:color w:val="auto"/>
          <w:szCs w:val="21"/>
        </w:rPr>
        <w:fldChar w:fldCharType="separate"/>
      </w:r>
      <w:r>
        <w:rPr>
          <w:rFonts w:hint="eastAsia" w:ascii="仿宋" w:hAnsi="仿宋" w:eastAsia="仿宋" w:cs="仿宋"/>
          <w:color w:val="auto"/>
          <w:kern w:val="2"/>
          <w:szCs w:val="24"/>
          <w:lang w:val="en-US" w:eastAsia="zh-CN" w:bidi="ar-SA"/>
        </w:rPr>
        <w:t>六、投标有关规定</w:t>
      </w:r>
      <w:r>
        <w:rPr>
          <w:color w:val="auto"/>
        </w:rPr>
        <w:tab/>
      </w:r>
      <w:r>
        <w:rPr>
          <w:color w:val="auto"/>
        </w:rPr>
        <w:fldChar w:fldCharType="begin"/>
      </w:r>
      <w:r>
        <w:rPr>
          <w:color w:val="auto"/>
        </w:rPr>
        <w:instrText xml:space="preserve"> PAGEREF _Toc6633 \h </w:instrText>
      </w:r>
      <w:r>
        <w:rPr>
          <w:color w:val="auto"/>
        </w:rPr>
        <w:fldChar w:fldCharType="separate"/>
      </w:r>
      <w:r>
        <w:rPr>
          <w:color w:val="auto"/>
        </w:rPr>
        <w:t>- 4 -</w:t>
      </w:r>
      <w:r>
        <w:rPr>
          <w:color w:val="auto"/>
        </w:rPr>
        <w:fldChar w:fldCharType="end"/>
      </w:r>
      <w:r>
        <w:rPr>
          <w:rFonts w:hint="eastAsia" w:ascii="仿宋" w:hAnsi="仿宋" w:eastAsia="仿宋" w:cs="仿宋"/>
          <w:color w:val="auto"/>
          <w:szCs w:val="21"/>
        </w:rPr>
        <w:fldChar w:fldCharType="end"/>
      </w:r>
    </w:p>
    <w:p w14:paraId="6AB4B401">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_Toc17442 </w:instrText>
      </w:r>
      <w:r>
        <w:rPr>
          <w:rFonts w:hint="eastAsia" w:ascii="仿宋" w:hAnsi="仿宋" w:eastAsia="仿宋" w:cs="仿宋"/>
          <w:color w:val="auto"/>
          <w:szCs w:val="21"/>
        </w:rPr>
        <w:fldChar w:fldCharType="separate"/>
      </w:r>
      <w:r>
        <w:rPr>
          <w:rFonts w:hint="eastAsia" w:ascii="仿宋" w:hAnsi="仿宋" w:eastAsia="仿宋" w:cs="仿宋"/>
          <w:color w:val="auto"/>
          <w:szCs w:val="24"/>
          <w:lang w:eastAsia="zh-CN"/>
        </w:rPr>
        <w:t>七</w:t>
      </w:r>
      <w:r>
        <w:rPr>
          <w:rFonts w:hint="eastAsia" w:ascii="仿宋" w:hAnsi="仿宋" w:eastAsia="仿宋" w:cs="仿宋"/>
          <w:color w:val="auto"/>
          <w:szCs w:val="24"/>
        </w:rPr>
        <w:t>、联系方式</w:t>
      </w:r>
      <w:r>
        <w:rPr>
          <w:color w:val="auto"/>
        </w:rPr>
        <w:tab/>
      </w:r>
      <w:r>
        <w:rPr>
          <w:color w:val="auto"/>
        </w:rPr>
        <w:fldChar w:fldCharType="begin"/>
      </w:r>
      <w:r>
        <w:rPr>
          <w:color w:val="auto"/>
        </w:rPr>
        <w:instrText xml:space="preserve"> PAGEREF _Toc17442 \h </w:instrText>
      </w:r>
      <w:r>
        <w:rPr>
          <w:color w:val="auto"/>
        </w:rPr>
        <w:fldChar w:fldCharType="separate"/>
      </w:r>
      <w:r>
        <w:rPr>
          <w:color w:val="auto"/>
        </w:rPr>
        <w:t>- 5 -</w:t>
      </w:r>
      <w:r>
        <w:rPr>
          <w:color w:val="auto"/>
        </w:rPr>
        <w:fldChar w:fldCharType="end"/>
      </w:r>
      <w:r>
        <w:rPr>
          <w:rFonts w:hint="eastAsia" w:ascii="仿宋" w:hAnsi="仿宋" w:eastAsia="仿宋" w:cs="仿宋"/>
          <w:color w:val="auto"/>
          <w:szCs w:val="21"/>
        </w:rPr>
        <w:fldChar w:fldCharType="end"/>
      </w:r>
    </w:p>
    <w:p w14:paraId="2D439CAD">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_Toc17308 </w:instrText>
      </w:r>
      <w:r>
        <w:rPr>
          <w:rFonts w:hint="eastAsia" w:ascii="仿宋" w:hAnsi="仿宋" w:eastAsia="仿宋" w:cs="仿宋"/>
          <w:color w:val="auto"/>
          <w:szCs w:val="21"/>
        </w:rPr>
        <w:fldChar w:fldCharType="separate"/>
      </w:r>
      <w:r>
        <w:rPr>
          <w:rFonts w:hint="eastAsia" w:ascii="仿宋" w:hAnsi="仿宋" w:eastAsia="仿宋" w:cs="仿宋"/>
          <w:color w:val="auto"/>
          <w:szCs w:val="30"/>
          <w:lang w:val="en-US" w:eastAsia="zh-CN"/>
        </w:rPr>
        <w:t>第二篇  项目服务需求</w:t>
      </w:r>
      <w:r>
        <w:rPr>
          <w:color w:val="auto"/>
        </w:rPr>
        <w:tab/>
      </w:r>
      <w:r>
        <w:rPr>
          <w:color w:val="auto"/>
        </w:rPr>
        <w:fldChar w:fldCharType="begin"/>
      </w:r>
      <w:r>
        <w:rPr>
          <w:color w:val="auto"/>
        </w:rPr>
        <w:instrText xml:space="preserve"> PAGEREF _Toc17308 \h </w:instrText>
      </w:r>
      <w:r>
        <w:rPr>
          <w:color w:val="auto"/>
        </w:rPr>
        <w:fldChar w:fldCharType="separate"/>
      </w:r>
      <w:r>
        <w:rPr>
          <w:color w:val="auto"/>
        </w:rPr>
        <w:t>- 6 -</w:t>
      </w:r>
      <w:r>
        <w:rPr>
          <w:color w:val="auto"/>
        </w:rPr>
        <w:fldChar w:fldCharType="end"/>
      </w:r>
      <w:r>
        <w:rPr>
          <w:rFonts w:hint="eastAsia" w:ascii="仿宋" w:hAnsi="仿宋" w:eastAsia="仿宋" w:cs="仿宋"/>
          <w:color w:val="auto"/>
          <w:szCs w:val="21"/>
        </w:rPr>
        <w:fldChar w:fldCharType="end"/>
      </w:r>
    </w:p>
    <w:p w14:paraId="7191942A">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_Toc23219 </w:instrText>
      </w:r>
      <w:r>
        <w:rPr>
          <w:rFonts w:hint="eastAsia" w:ascii="仿宋" w:hAnsi="仿宋" w:eastAsia="仿宋" w:cs="仿宋"/>
          <w:color w:val="auto"/>
          <w:szCs w:val="21"/>
        </w:rPr>
        <w:fldChar w:fldCharType="separate"/>
      </w:r>
      <w:r>
        <w:rPr>
          <w:rFonts w:hint="eastAsia" w:ascii="仿宋" w:hAnsi="仿宋" w:eastAsia="仿宋" w:cs="仿宋"/>
          <w:color w:val="auto"/>
        </w:rPr>
        <w:t>一、采购内容</w:t>
      </w:r>
      <w:r>
        <w:rPr>
          <w:color w:val="auto"/>
        </w:rPr>
        <w:tab/>
      </w:r>
      <w:r>
        <w:rPr>
          <w:color w:val="auto"/>
        </w:rPr>
        <w:fldChar w:fldCharType="begin"/>
      </w:r>
      <w:r>
        <w:rPr>
          <w:color w:val="auto"/>
        </w:rPr>
        <w:instrText xml:space="preserve"> PAGEREF _Toc23219 \h </w:instrText>
      </w:r>
      <w:r>
        <w:rPr>
          <w:color w:val="auto"/>
        </w:rPr>
        <w:fldChar w:fldCharType="separate"/>
      </w:r>
      <w:r>
        <w:rPr>
          <w:color w:val="auto"/>
        </w:rPr>
        <w:t>- 6 -</w:t>
      </w:r>
      <w:r>
        <w:rPr>
          <w:color w:val="auto"/>
        </w:rPr>
        <w:fldChar w:fldCharType="end"/>
      </w:r>
      <w:r>
        <w:rPr>
          <w:rFonts w:hint="eastAsia" w:ascii="仿宋" w:hAnsi="仿宋" w:eastAsia="仿宋" w:cs="仿宋"/>
          <w:color w:val="auto"/>
          <w:szCs w:val="21"/>
        </w:rPr>
        <w:fldChar w:fldCharType="end"/>
      </w:r>
    </w:p>
    <w:p w14:paraId="19221EC6">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_Toc26272 </w:instrText>
      </w:r>
      <w:r>
        <w:rPr>
          <w:rFonts w:hint="eastAsia" w:ascii="仿宋" w:hAnsi="仿宋" w:eastAsia="仿宋" w:cs="仿宋"/>
          <w:color w:val="auto"/>
          <w:szCs w:val="21"/>
        </w:rPr>
        <w:fldChar w:fldCharType="separate"/>
      </w:r>
      <w:r>
        <w:rPr>
          <w:rFonts w:hint="eastAsia" w:ascii="仿宋" w:hAnsi="仿宋" w:eastAsia="仿宋" w:cs="仿宋"/>
          <w:color w:val="auto"/>
          <w:lang w:eastAsia="zh-CN"/>
        </w:rPr>
        <w:t>二、</w:t>
      </w:r>
      <w:r>
        <w:rPr>
          <w:rFonts w:hint="eastAsia" w:ascii="仿宋" w:hAnsi="仿宋" w:eastAsia="仿宋" w:cs="仿宋"/>
          <w:color w:val="auto"/>
        </w:rPr>
        <w:t>服务</w:t>
      </w:r>
      <w:r>
        <w:rPr>
          <w:rFonts w:hint="eastAsia" w:ascii="仿宋" w:hAnsi="仿宋" w:eastAsia="仿宋" w:cs="仿宋"/>
          <w:color w:val="auto"/>
          <w:lang w:eastAsia="zh-CN"/>
        </w:rPr>
        <w:t>要求</w:t>
      </w:r>
      <w:r>
        <w:rPr>
          <w:color w:val="auto"/>
        </w:rPr>
        <w:tab/>
      </w:r>
      <w:r>
        <w:rPr>
          <w:color w:val="auto"/>
        </w:rPr>
        <w:fldChar w:fldCharType="begin"/>
      </w:r>
      <w:r>
        <w:rPr>
          <w:color w:val="auto"/>
        </w:rPr>
        <w:instrText xml:space="preserve"> PAGEREF _Toc26272 \h </w:instrText>
      </w:r>
      <w:r>
        <w:rPr>
          <w:color w:val="auto"/>
        </w:rPr>
        <w:fldChar w:fldCharType="separate"/>
      </w:r>
      <w:r>
        <w:rPr>
          <w:color w:val="auto"/>
        </w:rPr>
        <w:t>- 6 -</w:t>
      </w:r>
      <w:r>
        <w:rPr>
          <w:color w:val="auto"/>
        </w:rPr>
        <w:fldChar w:fldCharType="end"/>
      </w:r>
      <w:r>
        <w:rPr>
          <w:rFonts w:hint="eastAsia" w:ascii="仿宋" w:hAnsi="仿宋" w:eastAsia="仿宋" w:cs="仿宋"/>
          <w:color w:val="auto"/>
          <w:szCs w:val="21"/>
        </w:rPr>
        <w:fldChar w:fldCharType="end"/>
      </w:r>
    </w:p>
    <w:p w14:paraId="6E44368E">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_Toc4547 </w:instrText>
      </w:r>
      <w:r>
        <w:rPr>
          <w:rFonts w:hint="eastAsia" w:ascii="仿宋" w:hAnsi="仿宋" w:eastAsia="仿宋" w:cs="仿宋"/>
          <w:color w:val="auto"/>
          <w:szCs w:val="21"/>
        </w:rPr>
        <w:fldChar w:fldCharType="separate"/>
      </w:r>
      <w:r>
        <w:rPr>
          <w:rFonts w:hint="eastAsia" w:ascii="仿宋" w:hAnsi="仿宋" w:eastAsia="仿宋" w:cs="仿宋"/>
          <w:color w:val="auto"/>
          <w:lang w:eastAsia="zh-CN"/>
        </w:rPr>
        <w:t>三、其他要求</w:t>
      </w:r>
      <w:r>
        <w:rPr>
          <w:color w:val="auto"/>
        </w:rPr>
        <w:tab/>
      </w:r>
      <w:r>
        <w:rPr>
          <w:color w:val="auto"/>
        </w:rPr>
        <w:fldChar w:fldCharType="begin"/>
      </w:r>
      <w:r>
        <w:rPr>
          <w:color w:val="auto"/>
        </w:rPr>
        <w:instrText xml:space="preserve"> PAGEREF _Toc4547 \h </w:instrText>
      </w:r>
      <w:r>
        <w:rPr>
          <w:color w:val="auto"/>
        </w:rPr>
        <w:fldChar w:fldCharType="separate"/>
      </w:r>
      <w:r>
        <w:rPr>
          <w:color w:val="auto"/>
        </w:rPr>
        <w:t>- 7 -</w:t>
      </w:r>
      <w:r>
        <w:rPr>
          <w:color w:val="auto"/>
        </w:rPr>
        <w:fldChar w:fldCharType="end"/>
      </w:r>
      <w:r>
        <w:rPr>
          <w:rFonts w:hint="eastAsia" w:ascii="仿宋" w:hAnsi="仿宋" w:eastAsia="仿宋" w:cs="仿宋"/>
          <w:color w:val="auto"/>
          <w:szCs w:val="21"/>
        </w:rPr>
        <w:fldChar w:fldCharType="end"/>
      </w:r>
    </w:p>
    <w:p w14:paraId="27FD4011">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_Toc2968 </w:instrText>
      </w:r>
      <w:r>
        <w:rPr>
          <w:rFonts w:hint="eastAsia" w:ascii="仿宋" w:hAnsi="仿宋" w:eastAsia="仿宋" w:cs="仿宋"/>
          <w:color w:val="auto"/>
          <w:szCs w:val="21"/>
        </w:rPr>
        <w:fldChar w:fldCharType="separate"/>
      </w:r>
      <w:r>
        <w:rPr>
          <w:rFonts w:hint="eastAsia" w:ascii="仿宋" w:hAnsi="仿宋" w:eastAsia="仿宋" w:cs="仿宋"/>
          <w:color w:val="auto"/>
          <w:szCs w:val="30"/>
        </w:rPr>
        <w:t>第三篇  项目商务需求</w:t>
      </w:r>
      <w:r>
        <w:rPr>
          <w:color w:val="auto"/>
        </w:rPr>
        <w:tab/>
      </w:r>
      <w:r>
        <w:rPr>
          <w:color w:val="auto"/>
        </w:rPr>
        <w:fldChar w:fldCharType="begin"/>
      </w:r>
      <w:r>
        <w:rPr>
          <w:color w:val="auto"/>
        </w:rPr>
        <w:instrText xml:space="preserve"> PAGEREF _Toc2968 \h </w:instrText>
      </w:r>
      <w:r>
        <w:rPr>
          <w:color w:val="auto"/>
        </w:rPr>
        <w:fldChar w:fldCharType="separate"/>
      </w:r>
      <w:r>
        <w:rPr>
          <w:color w:val="auto"/>
        </w:rPr>
        <w:t>- 9 -</w:t>
      </w:r>
      <w:r>
        <w:rPr>
          <w:color w:val="auto"/>
        </w:rPr>
        <w:fldChar w:fldCharType="end"/>
      </w:r>
      <w:r>
        <w:rPr>
          <w:rFonts w:hint="eastAsia" w:ascii="仿宋" w:hAnsi="仿宋" w:eastAsia="仿宋" w:cs="仿宋"/>
          <w:color w:val="auto"/>
          <w:szCs w:val="21"/>
        </w:rPr>
        <w:fldChar w:fldCharType="end"/>
      </w:r>
    </w:p>
    <w:p w14:paraId="1CD9BBDC">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_Toc19341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一、服务期、地点及验收方式</w:t>
      </w:r>
      <w:r>
        <w:rPr>
          <w:color w:val="auto"/>
        </w:rPr>
        <w:tab/>
      </w:r>
      <w:r>
        <w:rPr>
          <w:color w:val="auto"/>
        </w:rPr>
        <w:fldChar w:fldCharType="begin"/>
      </w:r>
      <w:r>
        <w:rPr>
          <w:color w:val="auto"/>
        </w:rPr>
        <w:instrText xml:space="preserve"> PAGEREF _Toc19341 \h </w:instrText>
      </w:r>
      <w:r>
        <w:rPr>
          <w:color w:val="auto"/>
        </w:rPr>
        <w:fldChar w:fldCharType="separate"/>
      </w:r>
      <w:r>
        <w:rPr>
          <w:color w:val="auto"/>
        </w:rPr>
        <w:t>- 9 -</w:t>
      </w:r>
      <w:r>
        <w:rPr>
          <w:color w:val="auto"/>
        </w:rPr>
        <w:fldChar w:fldCharType="end"/>
      </w:r>
      <w:r>
        <w:rPr>
          <w:rFonts w:hint="eastAsia" w:ascii="仿宋" w:hAnsi="仿宋" w:eastAsia="仿宋" w:cs="仿宋"/>
          <w:color w:val="auto"/>
          <w:szCs w:val="21"/>
        </w:rPr>
        <w:fldChar w:fldCharType="end"/>
      </w:r>
    </w:p>
    <w:p w14:paraId="3F9AC979">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_Toc26046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二、报价要求</w:t>
      </w:r>
      <w:r>
        <w:rPr>
          <w:color w:val="auto"/>
        </w:rPr>
        <w:tab/>
      </w:r>
      <w:r>
        <w:rPr>
          <w:color w:val="auto"/>
        </w:rPr>
        <w:fldChar w:fldCharType="begin"/>
      </w:r>
      <w:r>
        <w:rPr>
          <w:color w:val="auto"/>
        </w:rPr>
        <w:instrText xml:space="preserve"> PAGEREF _Toc26046 \h </w:instrText>
      </w:r>
      <w:r>
        <w:rPr>
          <w:color w:val="auto"/>
        </w:rPr>
        <w:fldChar w:fldCharType="separate"/>
      </w:r>
      <w:r>
        <w:rPr>
          <w:color w:val="auto"/>
        </w:rPr>
        <w:t>- 9 -</w:t>
      </w:r>
      <w:r>
        <w:rPr>
          <w:color w:val="auto"/>
        </w:rPr>
        <w:fldChar w:fldCharType="end"/>
      </w:r>
      <w:r>
        <w:rPr>
          <w:rFonts w:hint="eastAsia" w:ascii="仿宋" w:hAnsi="仿宋" w:eastAsia="仿宋" w:cs="仿宋"/>
          <w:color w:val="auto"/>
          <w:szCs w:val="21"/>
        </w:rPr>
        <w:fldChar w:fldCharType="end"/>
      </w:r>
    </w:p>
    <w:p w14:paraId="6AF8E59C">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_Toc8624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三、质量保证及售后服务</w:t>
      </w:r>
      <w:r>
        <w:rPr>
          <w:color w:val="auto"/>
        </w:rPr>
        <w:tab/>
      </w:r>
      <w:r>
        <w:rPr>
          <w:color w:val="auto"/>
        </w:rPr>
        <w:fldChar w:fldCharType="begin"/>
      </w:r>
      <w:r>
        <w:rPr>
          <w:color w:val="auto"/>
        </w:rPr>
        <w:instrText xml:space="preserve"> PAGEREF _Toc8624 \h </w:instrText>
      </w:r>
      <w:r>
        <w:rPr>
          <w:color w:val="auto"/>
        </w:rPr>
        <w:fldChar w:fldCharType="separate"/>
      </w:r>
      <w:r>
        <w:rPr>
          <w:color w:val="auto"/>
        </w:rPr>
        <w:t>- 9 -</w:t>
      </w:r>
      <w:r>
        <w:rPr>
          <w:color w:val="auto"/>
        </w:rPr>
        <w:fldChar w:fldCharType="end"/>
      </w:r>
      <w:r>
        <w:rPr>
          <w:rFonts w:hint="eastAsia" w:ascii="仿宋" w:hAnsi="仿宋" w:eastAsia="仿宋" w:cs="仿宋"/>
          <w:color w:val="auto"/>
          <w:szCs w:val="21"/>
        </w:rPr>
        <w:fldChar w:fldCharType="end"/>
      </w:r>
    </w:p>
    <w:p w14:paraId="424D3086">
      <w:pPr>
        <w:pStyle w:val="13"/>
        <w:tabs>
          <w:tab w:val="right" w:leader="dot" w:pos="9412"/>
        </w:tabs>
        <w:ind w:firstLine="420" w:firstLineChars="200"/>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_Toc17468 </w:instrText>
      </w:r>
      <w:r>
        <w:rPr>
          <w:rFonts w:hint="eastAsia" w:ascii="仿宋" w:hAnsi="仿宋" w:eastAsia="仿宋" w:cs="仿宋"/>
          <w:color w:val="auto"/>
          <w:szCs w:val="21"/>
        </w:rPr>
        <w:fldChar w:fldCharType="separate"/>
      </w:r>
      <w:r>
        <w:rPr>
          <w:rFonts w:hint="eastAsia" w:ascii="仿宋" w:hAnsi="仿宋" w:eastAsia="仿宋" w:cs="仿宋"/>
          <w:color w:val="auto"/>
          <w:szCs w:val="24"/>
          <w:lang w:val="en-US" w:eastAsia="zh-CN"/>
        </w:rPr>
        <w:t xml:space="preserve">四、 </w:t>
      </w:r>
      <w:r>
        <w:rPr>
          <w:rFonts w:hint="eastAsia" w:ascii="仿宋" w:hAnsi="仿宋" w:eastAsia="仿宋" w:cs="仿宋"/>
          <w:color w:val="auto"/>
          <w:szCs w:val="24"/>
          <w:highlight w:val="none"/>
          <w:lang w:val="en-US" w:eastAsia="zh-CN"/>
        </w:rPr>
        <w:t>考核要求</w:t>
      </w:r>
      <w:r>
        <w:rPr>
          <w:color w:val="auto"/>
        </w:rPr>
        <w:tab/>
      </w:r>
      <w:r>
        <w:rPr>
          <w:color w:val="auto"/>
        </w:rPr>
        <w:fldChar w:fldCharType="begin"/>
      </w:r>
      <w:r>
        <w:rPr>
          <w:color w:val="auto"/>
        </w:rPr>
        <w:instrText xml:space="preserve"> PAGEREF _Toc17468 \h </w:instrText>
      </w:r>
      <w:r>
        <w:rPr>
          <w:color w:val="auto"/>
        </w:rPr>
        <w:fldChar w:fldCharType="separate"/>
      </w:r>
      <w:r>
        <w:rPr>
          <w:color w:val="auto"/>
        </w:rPr>
        <w:t>- 10 -</w:t>
      </w:r>
      <w:r>
        <w:rPr>
          <w:color w:val="auto"/>
        </w:rPr>
        <w:fldChar w:fldCharType="end"/>
      </w:r>
      <w:r>
        <w:rPr>
          <w:rFonts w:hint="eastAsia" w:ascii="仿宋" w:hAnsi="仿宋" w:eastAsia="仿宋" w:cs="仿宋"/>
          <w:color w:val="auto"/>
          <w:szCs w:val="21"/>
        </w:rPr>
        <w:fldChar w:fldCharType="end"/>
      </w:r>
    </w:p>
    <w:p w14:paraId="4563FF33">
      <w:pPr>
        <w:pStyle w:val="13"/>
        <w:tabs>
          <w:tab w:val="right" w:leader="dot" w:pos="9412"/>
        </w:tabs>
        <w:ind w:firstLine="420" w:firstLineChars="200"/>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_Toc14241 </w:instrText>
      </w:r>
      <w:r>
        <w:rPr>
          <w:rFonts w:hint="eastAsia" w:ascii="仿宋" w:hAnsi="仿宋" w:eastAsia="仿宋" w:cs="仿宋"/>
          <w:color w:val="auto"/>
          <w:szCs w:val="21"/>
        </w:rPr>
        <w:fldChar w:fldCharType="separate"/>
      </w:r>
      <w:r>
        <w:rPr>
          <w:rFonts w:hint="eastAsia" w:ascii="仿宋" w:hAnsi="仿宋" w:eastAsia="仿宋" w:cs="仿宋"/>
          <w:color w:val="auto"/>
          <w:szCs w:val="24"/>
          <w:highlight w:val="none"/>
          <w:lang w:val="en-US" w:eastAsia="zh-CN"/>
        </w:rPr>
        <w:t>五</w:t>
      </w:r>
      <w:r>
        <w:rPr>
          <w:rFonts w:hint="eastAsia" w:ascii="仿宋" w:hAnsi="仿宋" w:eastAsia="仿宋" w:cs="仿宋"/>
          <w:color w:val="auto"/>
          <w:szCs w:val="24"/>
          <w:highlight w:val="none"/>
        </w:rPr>
        <w:t>、履约保证金</w:t>
      </w:r>
      <w:r>
        <w:rPr>
          <w:color w:val="auto"/>
        </w:rPr>
        <w:tab/>
      </w:r>
      <w:r>
        <w:rPr>
          <w:color w:val="auto"/>
        </w:rPr>
        <w:fldChar w:fldCharType="begin"/>
      </w:r>
      <w:r>
        <w:rPr>
          <w:color w:val="auto"/>
        </w:rPr>
        <w:instrText xml:space="preserve"> PAGEREF _Toc14241 \h </w:instrText>
      </w:r>
      <w:r>
        <w:rPr>
          <w:color w:val="auto"/>
        </w:rPr>
        <w:fldChar w:fldCharType="separate"/>
      </w:r>
      <w:r>
        <w:rPr>
          <w:color w:val="auto"/>
        </w:rPr>
        <w:t>- 12 -</w:t>
      </w:r>
      <w:r>
        <w:rPr>
          <w:color w:val="auto"/>
        </w:rPr>
        <w:fldChar w:fldCharType="end"/>
      </w:r>
      <w:r>
        <w:rPr>
          <w:rFonts w:hint="eastAsia" w:ascii="仿宋" w:hAnsi="仿宋" w:eastAsia="仿宋" w:cs="仿宋"/>
          <w:color w:val="auto"/>
          <w:szCs w:val="21"/>
        </w:rPr>
        <w:fldChar w:fldCharType="end"/>
      </w:r>
    </w:p>
    <w:p w14:paraId="2847825E">
      <w:pPr>
        <w:pStyle w:val="13"/>
        <w:tabs>
          <w:tab w:val="right" w:leader="dot" w:pos="9412"/>
        </w:tabs>
        <w:ind w:firstLine="420" w:firstLineChars="200"/>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_Toc29123 </w:instrText>
      </w:r>
      <w:r>
        <w:rPr>
          <w:rFonts w:hint="eastAsia" w:ascii="仿宋" w:hAnsi="仿宋" w:eastAsia="仿宋" w:cs="仿宋"/>
          <w:color w:val="auto"/>
          <w:szCs w:val="21"/>
        </w:rPr>
        <w:fldChar w:fldCharType="separate"/>
      </w:r>
      <w:r>
        <w:rPr>
          <w:rFonts w:hint="eastAsia" w:ascii="仿宋" w:hAnsi="仿宋" w:eastAsia="仿宋" w:cs="仿宋"/>
          <w:color w:val="auto"/>
          <w:szCs w:val="24"/>
          <w:highlight w:val="none"/>
          <w:lang w:eastAsia="zh-CN"/>
        </w:rPr>
        <w:t>六</w:t>
      </w:r>
      <w:r>
        <w:rPr>
          <w:rFonts w:hint="eastAsia" w:ascii="仿宋" w:hAnsi="仿宋" w:eastAsia="仿宋" w:cs="仿宋"/>
          <w:color w:val="auto"/>
          <w:szCs w:val="24"/>
          <w:highlight w:val="none"/>
        </w:rPr>
        <w:t>、食材询定价与结算</w:t>
      </w:r>
      <w:r>
        <w:rPr>
          <w:color w:val="auto"/>
        </w:rPr>
        <w:tab/>
      </w:r>
      <w:r>
        <w:rPr>
          <w:color w:val="auto"/>
        </w:rPr>
        <w:fldChar w:fldCharType="begin"/>
      </w:r>
      <w:r>
        <w:rPr>
          <w:color w:val="auto"/>
        </w:rPr>
        <w:instrText xml:space="preserve"> PAGEREF _Toc29123 \h </w:instrText>
      </w:r>
      <w:r>
        <w:rPr>
          <w:color w:val="auto"/>
        </w:rPr>
        <w:fldChar w:fldCharType="separate"/>
      </w:r>
      <w:r>
        <w:rPr>
          <w:color w:val="auto"/>
        </w:rPr>
        <w:t>- 12 -</w:t>
      </w:r>
      <w:r>
        <w:rPr>
          <w:color w:val="auto"/>
        </w:rPr>
        <w:fldChar w:fldCharType="end"/>
      </w:r>
      <w:r>
        <w:rPr>
          <w:rFonts w:hint="eastAsia" w:ascii="仿宋" w:hAnsi="仿宋" w:eastAsia="仿宋" w:cs="仿宋"/>
          <w:color w:val="auto"/>
          <w:szCs w:val="21"/>
        </w:rPr>
        <w:fldChar w:fldCharType="end"/>
      </w:r>
    </w:p>
    <w:p w14:paraId="64B3F00A">
      <w:pPr>
        <w:pStyle w:val="13"/>
        <w:tabs>
          <w:tab w:val="right" w:leader="dot" w:pos="9412"/>
        </w:tabs>
        <w:ind w:firstLine="420" w:firstLineChars="200"/>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_Toc22044 </w:instrText>
      </w:r>
      <w:r>
        <w:rPr>
          <w:rFonts w:hint="eastAsia" w:ascii="仿宋" w:hAnsi="仿宋" w:eastAsia="仿宋" w:cs="仿宋"/>
          <w:color w:val="auto"/>
          <w:szCs w:val="21"/>
        </w:rPr>
        <w:fldChar w:fldCharType="separate"/>
      </w:r>
      <w:r>
        <w:rPr>
          <w:rFonts w:hint="eastAsia" w:ascii="仿宋" w:hAnsi="仿宋" w:eastAsia="仿宋" w:cs="仿宋"/>
          <w:color w:val="auto"/>
          <w:szCs w:val="24"/>
          <w:highlight w:val="none"/>
          <w:lang w:eastAsia="zh-CN"/>
        </w:rPr>
        <w:t>七</w:t>
      </w:r>
      <w:r>
        <w:rPr>
          <w:rFonts w:hint="eastAsia" w:ascii="仿宋" w:hAnsi="仿宋" w:eastAsia="仿宋" w:cs="仿宋"/>
          <w:color w:val="auto"/>
          <w:szCs w:val="24"/>
          <w:highlight w:val="none"/>
        </w:rPr>
        <w:t>、付款方式</w:t>
      </w:r>
      <w:r>
        <w:rPr>
          <w:color w:val="auto"/>
        </w:rPr>
        <w:tab/>
      </w:r>
      <w:r>
        <w:rPr>
          <w:color w:val="auto"/>
        </w:rPr>
        <w:fldChar w:fldCharType="begin"/>
      </w:r>
      <w:r>
        <w:rPr>
          <w:color w:val="auto"/>
        </w:rPr>
        <w:instrText xml:space="preserve"> PAGEREF _Toc22044 \h </w:instrText>
      </w:r>
      <w:r>
        <w:rPr>
          <w:color w:val="auto"/>
        </w:rPr>
        <w:fldChar w:fldCharType="separate"/>
      </w:r>
      <w:r>
        <w:rPr>
          <w:color w:val="auto"/>
        </w:rPr>
        <w:t>- 13 -</w:t>
      </w:r>
      <w:r>
        <w:rPr>
          <w:color w:val="auto"/>
        </w:rPr>
        <w:fldChar w:fldCharType="end"/>
      </w:r>
      <w:r>
        <w:rPr>
          <w:rFonts w:hint="eastAsia" w:ascii="仿宋" w:hAnsi="仿宋" w:eastAsia="仿宋" w:cs="仿宋"/>
          <w:color w:val="auto"/>
          <w:szCs w:val="21"/>
        </w:rPr>
        <w:fldChar w:fldCharType="end"/>
      </w:r>
    </w:p>
    <w:p w14:paraId="1E05EA6E">
      <w:pPr>
        <w:pStyle w:val="13"/>
        <w:tabs>
          <w:tab w:val="right" w:leader="dot" w:pos="9412"/>
        </w:tabs>
        <w:ind w:firstLine="420" w:firstLineChars="200"/>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_Toc16836 </w:instrText>
      </w:r>
      <w:r>
        <w:rPr>
          <w:rFonts w:hint="eastAsia" w:ascii="仿宋" w:hAnsi="仿宋" w:eastAsia="仿宋" w:cs="仿宋"/>
          <w:color w:val="auto"/>
          <w:szCs w:val="21"/>
        </w:rPr>
        <w:fldChar w:fldCharType="separate"/>
      </w:r>
      <w:r>
        <w:rPr>
          <w:rFonts w:hint="eastAsia" w:ascii="仿宋" w:hAnsi="仿宋" w:eastAsia="仿宋" w:cs="仿宋"/>
          <w:color w:val="auto"/>
          <w:szCs w:val="24"/>
          <w:highlight w:val="none"/>
          <w:lang w:val="en-US" w:eastAsia="zh-CN"/>
        </w:rPr>
        <w:t>八</w:t>
      </w:r>
      <w:r>
        <w:rPr>
          <w:rFonts w:hint="eastAsia" w:ascii="仿宋" w:hAnsi="仿宋" w:eastAsia="仿宋" w:cs="仿宋"/>
          <w:color w:val="auto"/>
          <w:szCs w:val="24"/>
          <w:highlight w:val="none"/>
        </w:rPr>
        <w:t>、其他</w:t>
      </w:r>
      <w:r>
        <w:rPr>
          <w:color w:val="auto"/>
        </w:rPr>
        <w:tab/>
      </w:r>
      <w:r>
        <w:rPr>
          <w:color w:val="auto"/>
        </w:rPr>
        <w:fldChar w:fldCharType="begin"/>
      </w:r>
      <w:r>
        <w:rPr>
          <w:color w:val="auto"/>
        </w:rPr>
        <w:instrText xml:space="preserve"> PAGEREF _Toc16836 \h </w:instrText>
      </w:r>
      <w:r>
        <w:rPr>
          <w:color w:val="auto"/>
        </w:rPr>
        <w:fldChar w:fldCharType="separate"/>
      </w:r>
      <w:r>
        <w:rPr>
          <w:b/>
          <w:color w:val="auto"/>
        </w:rPr>
        <w:t>错误！未定义书签。</w:t>
      </w:r>
      <w:r>
        <w:rPr>
          <w:color w:val="auto"/>
        </w:rPr>
        <w:fldChar w:fldCharType="end"/>
      </w:r>
      <w:r>
        <w:rPr>
          <w:rFonts w:hint="eastAsia" w:ascii="仿宋" w:hAnsi="仿宋" w:eastAsia="仿宋" w:cs="仿宋"/>
          <w:color w:val="auto"/>
          <w:szCs w:val="21"/>
        </w:rPr>
        <w:fldChar w:fldCharType="end"/>
      </w:r>
    </w:p>
    <w:p w14:paraId="0264BEFC">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_Toc487 </w:instrText>
      </w:r>
      <w:r>
        <w:rPr>
          <w:rFonts w:hint="eastAsia" w:ascii="仿宋" w:hAnsi="仿宋" w:eastAsia="仿宋" w:cs="仿宋"/>
          <w:color w:val="auto"/>
          <w:szCs w:val="21"/>
        </w:rPr>
        <w:fldChar w:fldCharType="separate"/>
      </w:r>
      <w:r>
        <w:rPr>
          <w:rFonts w:hint="eastAsia" w:ascii="仿宋" w:hAnsi="仿宋" w:eastAsia="仿宋" w:cs="仿宋"/>
          <w:color w:val="auto"/>
          <w:szCs w:val="30"/>
        </w:rPr>
        <w:t xml:space="preserve">第四篇  </w:t>
      </w:r>
      <w:r>
        <w:rPr>
          <w:rFonts w:hint="eastAsia" w:ascii="仿宋" w:hAnsi="仿宋" w:eastAsia="仿宋" w:cs="仿宋"/>
          <w:color w:val="auto"/>
          <w:szCs w:val="30"/>
          <w:lang w:eastAsia="zh-CN"/>
        </w:rPr>
        <w:t>评审</w:t>
      </w:r>
      <w:r>
        <w:rPr>
          <w:rFonts w:hint="eastAsia" w:ascii="仿宋" w:hAnsi="仿宋" w:eastAsia="仿宋" w:cs="仿宋"/>
          <w:color w:val="auto"/>
          <w:szCs w:val="30"/>
        </w:rPr>
        <w:t>程序及方法、评审标准、无效响应和</w:t>
      </w:r>
      <w:r>
        <w:rPr>
          <w:rFonts w:hint="eastAsia" w:ascii="仿宋" w:hAnsi="仿宋" w:eastAsia="仿宋" w:cs="仿宋"/>
          <w:color w:val="auto"/>
          <w:szCs w:val="36"/>
        </w:rPr>
        <w:t>采购终止</w:t>
      </w:r>
      <w:r>
        <w:rPr>
          <w:color w:val="auto"/>
        </w:rPr>
        <w:tab/>
      </w:r>
      <w:r>
        <w:rPr>
          <w:color w:val="auto"/>
        </w:rPr>
        <w:fldChar w:fldCharType="begin"/>
      </w:r>
      <w:r>
        <w:rPr>
          <w:color w:val="auto"/>
        </w:rPr>
        <w:instrText xml:space="preserve"> PAGEREF _Toc487 \h </w:instrText>
      </w:r>
      <w:r>
        <w:rPr>
          <w:color w:val="auto"/>
        </w:rPr>
        <w:fldChar w:fldCharType="separate"/>
      </w:r>
      <w:r>
        <w:rPr>
          <w:color w:val="auto"/>
        </w:rPr>
        <w:t>- 15 -</w:t>
      </w:r>
      <w:r>
        <w:rPr>
          <w:color w:val="auto"/>
        </w:rPr>
        <w:fldChar w:fldCharType="end"/>
      </w:r>
      <w:r>
        <w:rPr>
          <w:rFonts w:hint="eastAsia" w:ascii="仿宋" w:hAnsi="仿宋" w:eastAsia="仿宋" w:cs="仿宋"/>
          <w:color w:val="auto"/>
          <w:szCs w:val="21"/>
        </w:rPr>
        <w:fldChar w:fldCharType="end"/>
      </w:r>
    </w:p>
    <w:p w14:paraId="21FF421A">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_Toc4251 </w:instrText>
      </w:r>
      <w:r>
        <w:rPr>
          <w:rFonts w:hint="eastAsia" w:ascii="仿宋" w:hAnsi="仿宋" w:eastAsia="仿宋" w:cs="仿宋"/>
          <w:color w:val="auto"/>
          <w:szCs w:val="21"/>
        </w:rPr>
        <w:fldChar w:fldCharType="separate"/>
      </w:r>
      <w:r>
        <w:rPr>
          <w:rFonts w:hint="eastAsia" w:ascii="仿宋" w:hAnsi="仿宋" w:eastAsia="仿宋" w:cs="仿宋"/>
          <w:color w:val="auto"/>
        </w:rPr>
        <w:t>一、</w:t>
      </w:r>
      <w:r>
        <w:rPr>
          <w:rFonts w:hint="eastAsia" w:ascii="仿宋" w:hAnsi="仿宋" w:eastAsia="仿宋" w:cs="仿宋"/>
          <w:color w:val="auto"/>
          <w:lang w:eastAsia="zh-CN"/>
        </w:rPr>
        <w:t>评审</w:t>
      </w:r>
      <w:r>
        <w:rPr>
          <w:rFonts w:hint="eastAsia" w:ascii="仿宋" w:hAnsi="仿宋" w:eastAsia="仿宋" w:cs="仿宋"/>
          <w:color w:val="auto"/>
        </w:rPr>
        <w:t>程序及方法</w:t>
      </w:r>
      <w:r>
        <w:rPr>
          <w:color w:val="auto"/>
        </w:rPr>
        <w:tab/>
      </w:r>
      <w:r>
        <w:rPr>
          <w:color w:val="auto"/>
        </w:rPr>
        <w:fldChar w:fldCharType="begin"/>
      </w:r>
      <w:r>
        <w:rPr>
          <w:color w:val="auto"/>
        </w:rPr>
        <w:instrText xml:space="preserve"> PAGEREF _Toc4251 \h </w:instrText>
      </w:r>
      <w:r>
        <w:rPr>
          <w:color w:val="auto"/>
        </w:rPr>
        <w:fldChar w:fldCharType="separate"/>
      </w:r>
      <w:r>
        <w:rPr>
          <w:color w:val="auto"/>
        </w:rPr>
        <w:t>- 15 -</w:t>
      </w:r>
      <w:r>
        <w:rPr>
          <w:color w:val="auto"/>
        </w:rPr>
        <w:fldChar w:fldCharType="end"/>
      </w:r>
      <w:r>
        <w:rPr>
          <w:rFonts w:hint="eastAsia" w:ascii="仿宋" w:hAnsi="仿宋" w:eastAsia="仿宋" w:cs="仿宋"/>
          <w:color w:val="auto"/>
          <w:szCs w:val="21"/>
        </w:rPr>
        <w:fldChar w:fldCharType="end"/>
      </w:r>
    </w:p>
    <w:p w14:paraId="097A1F80">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_Toc11734 </w:instrText>
      </w:r>
      <w:r>
        <w:rPr>
          <w:rFonts w:hint="eastAsia" w:ascii="仿宋" w:hAnsi="仿宋" w:eastAsia="仿宋" w:cs="仿宋"/>
          <w:color w:val="auto"/>
          <w:szCs w:val="21"/>
        </w:rPr>
        <w:fldChar w:fldCharType="separate"/>
      </w:r>
      <w:r>
        <w:rPr>
          <w:rFonts w:hint="eastAsia" w:ascii="仿宋" w:hAnsi="仿宋" w:eastAsia="仿宋" w:cs="仿宋"/>
          <w:color w:val="auto"/>
        </w:rPr>
        <w:t>二、评审标准</w:t>
      </w:r>
      <w:r>
        <w:rPr>
          <w:color w:val="auto"/>
        </w:rPr>
        <w:tab/>
      </w:r>
      <w:r>
        <w:rPr>
          <w:color w:val="auto"/>
        </w:rPr>
        <w:fldChar w:fldCharType="begin"/>
      </w:r>
      <w:r>
        <w:rPr>
          <w:color w:val="auto"/>
        </w:rPr>
        <w:instrText xml:space="preserve"> PAGEREF _Toc11734 \h </w:instrText>
      </w:r>
      <w:r>
        <w:rPr>
          <w:color w:val="auto"/>
        </w:rPr>
        <w:fldChar w:fldCharType="separate"/>
      </w:r>
      <w:r>
        <w:rPr>
          <w:color w:val="auto"/>
        </w:rPr>
        <w:t>- 17 -</w:t>
      </w:r>
      <w:r>
        <w:rPr>
          <w:color w:val="auto"/>
        </w:rPr>
        <w:fldChar w:fldCharType="end"/>
      </w:r>
      <w:r>
        <w:rPr>
          <w:rFonts w:hint="eastAsia" w:ascii="仿宋" w:hAnsi="仿宋" w:eastAsia="仿宋" w:cs="仿宋"/>
          <w:color w:val="auto"/>
          <w:szCs w:val="21"/>
        </w:rPr>
        <w:fldChar w:fldCharType="end"/>
      </w:r>
    </w:p>
    <w:p w14:paraId="3268ED79">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_Toc5649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三、无效响应</w:t>
      </w:r>
      <w:r>
        <w:rPr>
          <w:color w:val="auto"/>
        </w:rPr>
        <w:tab/>
      </w:r>
      <w:r>
        <w:rPr>
          <w:color w:val="auto"/>
        </w:rPr>
        <w:fldChar w:fldCharType="begin"/>
      </w:r>
      <w:r>
        <w:rPr>
          <w:color w:val="auto"/>
        </w:rPr>
        <w:instrText xml:space="preserve"> PAGEREF _Toc5649 \h </w:instrText>
      </w:r>
      <w:r>
        <w:rPr>
          <w:color w:val="auto"/>
        </w:rPr>
        <w:fldChar w:fldCharType="separate"/>
      </w:r>
      <w:r>
        <w:rPr>
          <w:color w:val="auto"/>
        </w:rPr>
        <w:t>- 17 -</w:t>
      </w:r>
      <w:r>
        <w:rPr>
          <w:color w:val="auto"/>
        </w:rPr>
        <w:fldChar w:fldCharType="end"/>
      </w:r>
      <w:r>
        <w:rPr>
          <w:rFonts w:hint="eastAsia" w:ascii="仿宋" w:hAnsi="仿宋" w:eastAsia="仿宋" w:cs="仿宋"/>
          <w:color w:val="auto"/>
          <w:szCs w:val="21"/>
        </w:rPr>
        <w:fldChar w:fldCharType="end"/>
      </w:r>
    </w:p>
    <w:p w14:paraId="5C51196A">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_Toc2506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四、采购终止</w:t>
      </w:r>
      <w:r>
        <w:rPr>
          <w:color w:val="auto"/>
        </w:rPr>
        <w:tab/>
      </w:r>
      <w:r>
        <w:rPr>
          <w:color w:val="auto"/>
        </w:rPr>
        <w:fldChar w:fldCharType="begin"/>
      </w:r>
      <w:r>
        <w:rPr>
          <w:color w:val="auto"/>
        </w:rPr>
        <w:instrText xml:space="preserve"> PAGEREF _Toc2506 \h </w:instrText>
      </w:r>
      <w:r>
        <w:rPr>
          <w:color w:val="auto"/>
        </w:rPr>
        <w:fldChar w:fldCharType="separate"/>
      </w:r>
      <w:r>
        <w:rPr>
          <w:color w:val="auto"/>
        </w:rPr>
        <w:t>- 18 -</w:t>
      </w:r>
      <w:r>
        <w:rPr>
          <w:color w:val="auto"/>
        </w:rPr>
        <w:fldChar w:fldCharType="end"/>
      </w:r>
      <w:r>
        <w:rPr>
          <w:rFonts w:hint="eastAsia" w:ascii="仿宋" w:hAnsi="仿宋" w:eastAsia="仿宋" w:cs="仿宋"/>
          <w:color w:val="auto"/>
          <w:szCs w:val="21"/>
        </w:rPr>
        <w:fldChar w:fldCharType="end"/>
      </w:r>
    </w:p>
    <w:p w14:paraId="4C1469A6">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_Toc9431 </w:instrText>
      </w:r>
      <w:r>
        <w:rPr>
          <w:rFonts w:hint="eastAsia" w:ascii="仿宋" w:hAnsi="仿宋" w:eastAsia="仿宋" w:cs="仿宋"/>
          <w:color w:val="auto"/>
          <w:szCs w:val="21"/>
        </w:rPr>
        <w:fldChar w:fldCharType="separate"/>
      </w:r>
      <w:r>
        <w:rPr>
          <w:rFonts w:hint="eastAsia" w:ascii="仿宋" w:hAnsi="仿宋" w:eastAsia="仿宋" w:cs="仿宋"/>
          <w:color w:val="auto"/>
          <w:szCs w:val="30"/>
        </w:rPr>
        <w:t>第五篇  供应商须知</w:t>
      </w:r>
      <w:r>
        <w:rPr>
          <w:color w:val="auto"/>
        </w:rPr>
        <w:tab/>
      </w:r>
      <w:r>
        <w:rPr>
          <w:color w:val="auto"/>
        </w:rPr>
        <w:fldChar w:fldCharType="begin"/>
      </w:r>
      <w:r>
        <w:rPr>
          <w:color w:val="auto"/>
        </w:rPr>
        <w:instrText xml:space="preserve"> PAGEREF _Toc9431 \h </w:instrText>
      </w:r>
      <w:r>
        <w:rPr>
          <w:color w:val="auto"/>
        </w:rPr>
        <w:fldChar w:fldCharType="separate"/>
      </w:r>
      <w:r>
        <w:rPr>
          <w:color w:val="auto"/>
        </w:rPr>
        <w:t>- 19 -</w:t>
      </w:r>
      <w:r>
        <w:rPr>
          <w:color w:val="auto"/>
        </w:rPr>
        <w:fldChar w:fldCharType="end"/>
      </w:r>
      <w:r>
        <w:rPr>
          <w:rFonts w:hint="eastAsia" w:ascii="仿宋" w:hAnsi="仿宋" w:eastAsia="仿宋" w:cs="仿宋"/>
          <w:color w:val="auto"/>
          <w:szCs w:val="21"/>
        </w:rPr>
        <w:fldChar w:fldCharType="end"/>
      </w:r>
    </w:p>
    <w:p w14:paraId="2341D3C2">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_Toc16057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一、</w:t>
      </w:r>
      <w:r>
        <w:rPr>
          <w:rFonts w:hint="eastAsia" w:ascii="仿宋" w:hAnsi="仿宋" w:eastAsia="仿宋" w:cs="仿宋"/>
          <w:color w:val="auto"/>
          <w:szCs w:val="24"/>
          <w:lang w:eastAsia="zh-CN"/>
        </w:rPr>
        <w:t>询比</w:t>
      </w:r>
      <w:r>
        <w:rPr>
          <w:rFonts w:hint="eastAsia" w:ascii="仿宋" w:hAnsi="仿宋" w:eastAsia="仿宋" w:cs="仿宋"/>
          <w:color w:val="auto"/>
          <w:szCs w:val="24"/>
        </w:rPr>
        <w:t>费用</w:t>
      </w:r>
      <w:r>
        <w:rPr>
          <w:color w:val="auto"/>
        </w:rPr>
        <w:tab/>
      </w:r>
      <w:r>
        <w:rPr>
          <w:color w:val="auto"/>
        </w:rPr>
        <w:fldChar w:fldCharType="begin"/>
      </w:r>
      <w:r>
        <w:rPr>
          <w:color w:val="auto"/>
        </w:rPr>
        <w:instrText xml:space="preserve"> PAGEREF _Toc16057 \h </w:instrText>
      </w:r>
      <w:r>
        <w:rPr>
          <w:color w:val="auto"/>
        </w:rPr>
        <w:fldChar w:fldCharType="separate"/>
      </w:r>
      <w:r>
        <w:rPr>
          <w:color w:val="auto"/>
        </w:rPr>
        <w:t>- 19 -</w:t>
      </w:r>
      <w:r>
        <w:rPr>
          <w:color w:val="auto"/>
        </w:rPr>
        <w:fldChar w:fldCharType="end"/>
      </w:r>
      <w:r>
        <w:rPr>
          <w:rFonts w:hint="eastAsia" w:ascii="仿宋" w:hAnsi="仿宋" w:eastAsia="仿宋" w:cs="仿宋"/>
          <w:color w:val="auto"/>
          <w:szCs w:val="21"/>
        </w:rPr>
        <w:fldChar w:fldCharType="end"/>
      </w:r>
    </w:p>
    <w:p w14:paraId="1D404F43">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_Toc10255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二、</w:t>
      </w:r>
      <w:r>
        <w:rPr>
          <w:rFonts w:hint="eastAsia" w:ascii="仿宋" w:hAnsi="仿宋" w:eastAsia="仿宋" w:cs="仿宋"/>
          <w:color w:val="auto"/>
          <w:szCs w:val="24"/>
          <w:lang w:eastAsia="zh-CN"/>
        </w:rPr>
        <w:t>询比文件</w:t>
      </w:r>
      <w:r>
        <w:rPr>
          <w:color w:val="auto"/>
        </w:rPr>
        <w:tab/>
      </w:r>
      <w:r>
        <w:rPr>
          <w:color w:val="auto"/>
        </w:rPr>
        <w:fldChar w:fldCharType="begin"/>
      </w:r>
      <w:r>
        <w:rPr>
          <w:color w:val="auto"/>
        </w:rPr>
        <w:instrText xml:space="preserve"> PAGEREF _Toc10255 \h </w:instrText>
      </w:r>
      <w:r>
        <w:rPr>
          <w:color w:val="auto"/>
        </w:rPr>
        <w:fldChar w:fldCharType="separate"/>
      </w:r>
      <w:r>
        <w:rPr>
          <w:color w:val="auto"/>
        </w:rPr>
        <w:t>- 19 -</w:t>
      </w:r>
      <w:r>
        <w:rPr>
          <w:color w:val="auto"/>
        </w:rPr>
        <w:fldChar w:fldCharType="end"/>
      </w:r>
      <w:r>
        <w:rPr>
          <w:rFonts w:hint="eastAsia" w:ascii="仿宋" w:hAnsi="仿宋" w:eastAsia="仿宋" w:cs="仿宋"/>
          <w:color w:val="auto"/>
          <w:szCs w:val="21"/>
        </w:rPr>
        <w:fldChar w:fldCharType="end"/>
      </w:r>
    </w:p>
    <w:p w14:paraId="07CF3E85">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_Toc26100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三、</w:t>
      </w:r>
      <w:r>
        <w:rPr>
          <w:rFonts w:hint="eastAsia" w:ascii="仿宋" w:hAnsi="仿宋" w:eastAsia="仿宋" w:cs="仿宋"/>
          <w:color w:val="auto"/>
          <w:szCs w:val="24"/>
          <w:lang w:eastAsia="zh-CN"/>
        </w:rPr>
        <w:t>询比</w:t>
      </w:r>
      <w:r>
        <w:rPr>
          <w:rFonts w:hint="eastAsia" w:ascii="仿宋" w:hAnsi="仿宋" w:eastAsia="仿宋" w:cs="仿宋"/>
          <w:color w:val="auto"/>
          <w:szCs w:val="24"/>
        </w:rPr>
        <w:t>要求</w:t>
      </w:r>
      <w:r>
        <w:rPr>
          <w:color w:val="auto"/>
        </w:rPr>
        <w:tab/>
      </w:r>
      <w:r>
        <w:rPr>
          <w:color w:val="auto"/>
        </w:rPr>
        <w:fldChar w:fldCharType="begin"/>
      </w:r>
      <w:r>
        <w:rPr>
          <w:color w:val="auto"/>
        </w:rPr>
        <w:instrText xml:space="preserve"> PAGEREF _Toc26100 \h </w:instrText>
      </w:r>
      <w:r>
        <w:rPr>
          <w:color w:val="auto"/>
        </w:rPr>
        <w:fldChar w:fldCharType="separate"/>
      </w:r>
      <w:r>
        <w:rPr>
          <w:color w:val="auto"/>
        </w:rPr>
        <w:t>- 19 -</w:t>
      </w:r>
      <w:r>
        <w:rPr>
          <w:color w:val="auto"/>
        </w:rPr>
        <w:fldChar w:fldCharType="end"/>
      </w:r>
      <w:r>
        <w:rPr>
          <w:rFonts w:hint="eastAsia" w:ascii="仿宋" w:hAnsi="仿宋" w:eastAsia="仿宋" w:cs="仿宋"/>
          <w:color w:val="auto"/>
          <w:szCs w:val="21"/>
        </w:rPr>
        <w:fldChar w:fldCharType="end"/>
      </w:r>
    </w:p>
    <w:p w14:paraId="426FD6EA">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_Toc23772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四、成交供应商的确认和变更</w:t>
      </w:r>
      <w:r>
        <w:rPr>
          <w:color w:val="auto"/>
        </w:rPr>
        <w:tab/>
      </w:r>
      <w:r>
        <w:rPr>
          <w:color w:val="auto"/>
        </w:rPr>
        <w:fldChar w:fldCharType="begin"/>
      </w:r>
      <w:r>
        <w:rPr>
          <w:color w:val="auto"/>
        </w:rPr>
        <w:instrText xml:space="preserve"> PAGEREF _Toc23772 \h </w:instrText>
      </w:r>
      <w:r>
        <w:rPr>
          <w:color w:val="auto"/>
        </w:rPr>
        <w:fldChar w:fldCharType="separate"/>
      </w:r>
      <w:r>
        <w:rPr>
          <w:color w:val="auto"/>
        </w:rPr>
        <w:t>- 21 -</w:t>
      </w:r>
      <w:r>
        <w:rPr>
          <w:color w:val="auto"/>
        </w:rPr>
        <w:fldChar w:fldCharType="end"/>
      </w:r>
      <w:r>
        <w:rPr>
          <w:rFonts w:hint="eastAsia" w:ascii="仿宋" w:hAnsi="仿宋" w:eastAsia="仿宋" w:cs="仿宋"/>
          <w:color w:val="auto"/>
          <w:szCs w:val="21"/>
        </w:rPr>
        <w:fldChar w:fldCharType="end"/>
      </w:r>
    </w:p>
    <w:p w14:paraId="31AD2200">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_Toc26702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五、成交通知</w:t>
      </w:r>
      <w:r>
        <w:rPr>
          <w:color w:val="auto"/>
        </w:rPr>
        <w:tab/>
      </w:r>
      <w:r>
        <w:rPr>
          <w:color w:val="auto"/>
        </w:rPr>
        <w:fldChar w:fldCharType="begin"/>
      </w:r>
      <w:r>
        <w:rPr>
          <w:color w:val="auto"/>
        </w:rPr>
        <w:instrText xml:space="preserve"> PAGEREF _Toc26702 \h </w:instrText>
      </w:r>
      <w:r>
        <w:rPr>
          <w:color w:val="auto"/>
        </w:rPr>
        <w:fldChar w:fldCharType="separate"/>
      </w:r>
      <w:r>
        <w:rPr>
          <w:color w:val="auto"/>
        </w:rPr>
        <w:t>- 21 -</w:t>
      </w:r>
      <w:r>
        <w:rPr>
          <w:color w:val="auto"/>
        </w:rPr>
        <w:fldChar w:fldCharType="end"/>
      </w:r>
      <w:r>
        <w:rPr>
          <w:rFonts w:hint="eastAsia" w:ascii="仿宋" w:hAnsi="仿宋" w:eastAsia="仿宋" w:cs="仿宋"/>
          <w:color w:val="auto"/>
          <w:szCs w:val="21"/>
        </w:rPr>
        <w:fldChar w:fldCharType="end"/>
      </w:r>
    </w:p>
    <w:p w14:paraId="7010C616">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_Toc12204 </w:instrText>
      </w:r>
      <w:r>
        <w:rPr>
          <w:rFonts w:hint="eastAsia" w:ascii="仿宋" w:hAnsi="仿宋" w:eastAsia="仿宋" w:cs="仿宋"/>
          <w:color w:val="auto"/>
          <w:szCs w:val="21"/>
        </w:rPr>
        <w:fldChar w:fldCharType="separate"/>
      </w:r>
      <w:r>
        <w:rPr>
          <w:rFonts w:hint="eastAsia" w:ascii="仿宋" w:hAnsi="仿宋" w:eastAsia="仿宋" w:cs="仿宋"/>
          <w:color w:val="auto"/>
          <w:szCs w:val="24"/>
          <w:lang w:val="en-US" w:eastAsia="zh-CN"/>
        </w:rPr>
        <w:t>六</w:t>
      </w:r>
      <w:r>
        <w:rPr>
          <w:rFonts w:hint="eastAsia" w:ascii="仿宋" w:hAnsi="仿宋" w:eastAsia="仿宋" w:cs="仿宋"/>
          <w:color w:val="auto"/>
          <w:szCs w:val="24"/>
        </w:rPr>
        <w:t>、采购代理服务费</w:t>
      </w:r>
      <w:r>
        <w:rPr>
          <w:color w:val="auto"/>
        </w:rPr>
        <w:tab/>
      </w:r>
      <w:r>
        <w:rPr>
          <w:color w:val="auto"/>
        </w:rPr>
        <w:fldChar w:fldCharType="begin"/>
      </w:r>
      <w:r>
        <w:rPr>
          <w:color w:val="auto"/>
        </w:rPr>
        <w:instrText xml:space="preserve"> PAGEREF _Toc12204 \h </w:instrText>
      </w:r>
      <w:r>
        <w:rPr>
          <w:color w:val="auto"/>
        </w:rPr>
        <w:fldChar w:fldCharType="separate"/>
      </w:r>
      <w:r>
        <w:rPr>
          <w:color w:val="auto"/>
        </w:rPr>
        <w:t>- 21 -</w:t>
      </w:r>
      <w:r>
        <w:rPr>
          <w:color w:val="auto"/>
        </w:rPr>
        <w:fldChar w:fldCharType="end"/>
      </w:r>
      <w:r>
        <w:rPr>
          <w:rFonts w:hint="eastAsia" w:ascii="仿宋" w:hAnsi="仿宋" w:eastAsia="仿宋" w:cs="仿宋"/>
          <w:color w:val="auto"/>
          <w:szCs w:val="21"/>
        </w:rPr>
        <w:fldChar w:fldCharType="end"/>
      </w:r>
    </w:p>
    <w:p w14:paraId="289200D8">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_Toc16904 </w:instrText>
      </w:r>
      <w:r>
        <w:rPr>
          <w:rFonts w:hint="eastAsia" w:ascii="仿宋" w:hAnsi="仿宋" w:eastAsia="仿宋" w:cs="仿宋"/>
          <w:color w:val="auto"/>
          <w:szCs w:val="21"/>
        </w:rPr>
        <w:fldChar w:fldCharType="separate"/>
      </w:r>
      <w:r>
        <w:rPr>
          <w:rFonts w:hint="eastAsia" w:ascii="仿宋" w:hAnsi="仿宋" w:eastAsia="仿宋" w:cs="仿宋"/>
          <w:color w:val="auto"/>
          <w:szCs w:val="24"/>
          <w:lang w:val="en-US" w:eastAsia="zh-CN"/>
        </w:rPr>
        <w:t>七</w:t>
      </w:r>
      <w:r>
        <w:rPr>
          <w:rFonts w:hint="eastAsia" w:ascii="仿宋" w:hAnsi="仿宋" w:eastAsia="仿宋" w:cs="仿宋"/>
          <w:color w:val="auto"/>
          <w:szCs w:val="24"/>
        </w:rPr>
        <w:t>、签订合同</w:t>
      </w:r>
      <w:r>
        <w:rPr>
          <w:color w:val="auto"/>
        </w:rPr>
        <w:tab/>
      </w:r>
      <w:r>
        <w:rPr>
          <w:color w:val="auto"/>
        </w:rPr>
        <w:fldChar w:fldCharType="begin"/>
      </w:r>
      <w:r>
        <w:rPr>
          <w:color w:val="auto"/>
        </w:rPr>
        <w:instrText xml:space="preserve"> PAGEREF _Toc16904 \h </w:instrText>
      </w:r>
      <w:r>
        <w:rPr>
          <w:color w:val="auto"/>
        </w:rPr>
        <w:fldChar w:fldCharType="separate"/>
      </w:r>
      <w:r>
        <w:rPr>
          <w:color w:val="auto"/>
        </w:rPr>
        <w:t>- 21 -</w:t>
      </w:r>
      <w:r>
        <w:rPr>
          <w:color w:val="auto"/>
        </w:rPr>
        <w:fldChar w:fldCharType="end"/>
      </w:r>
      <w:r>
        <w:rPr>
          <w:rFonts w:hint="eastAsia" w:ascii="仿宋" w:hAnsi="仿宋" w:eastAsia="仿宋" w:cs="仿宋"/>
          <w:color w:val="auto"/>
          <w:szCs w:val="21"/>
        </w:rPr>
        <w:fldChar w:fldCharType="end"/>
      </w:r>
    </w:p>
    <w:p w14:paraId="050E071C">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_Toc30264 </w:instrText>
      </w:r>
      <w:r>
        <w:rPr>
          <w:rFonts w:hint="eastAsia" w:ascii="仿宋" w:hAnsi="仿宋" w:eastAsia="仿宋" w:cs="仿宋"/>
          <w:color w:val="auto"/>
          <w:szCs w:val="21"/>
        </w:rPr>
        <w:fldChar w:fldCharType="separate"/>
      </w:r>
      <w:r>
        <w:rPr>
          <w:rFonts w:hint="eastAsia" w:ascii="仿宋" w:hAnsi="仿宋" w:eastAsia="仿宋" w:cs="仿宋"/>
          <w:color w:val="auto"/>
          <w:szCs w:val="30"/>
        </w:rPr>
        <w:t xml:space="preserve">第六篇  </w:t>
      </w:r>
      <w:r>
        <w:rPr>
          <w:rFonts w:hint="eastAsia" w:ascii="仿宋" w:hAnsi="仿宋" w:eastAsia="仿宋" w:cs="仿宋"/>
          <w:color w:val="auto"/>
          <w:szCs w:val="30"/>
          <w:lang w:eastAsia="zh-CN"/>
        </w:rPr>
        <w:t>采购合同</w:t>
      </w:r>
      <w:r>
        <w:rPr>
          <w:color w:val="auto"/>
        </w:rPr>
        <w:tab/>
      </w:r>
      <w:r>
        <w:rPr>
          <w:color w:val="auto"/>
        </w:rPr>
        <w:fldChar w:fldCharType="begin"/>
      </w:r>
      <w:r>
        <w:rPr>
          <w:color w:val="auto"/>
        </w:rPr>
        <w:instrText xml:space="preserve"> PAGEREF _Toc30264 \h </w:instrText>
      </w:r>
      <w:r>
        <w:rPr>
          <w:color w:val="auto"/>
        </w:rPr>
        <w:fldChar w:fldCharType="separate"/>
      </w:r>
      <w:r>
        <w:rPr>
          <w:color w:val="auto"/>
        </w:rPr>
        <w:t>- 22 -</w:t>
      </w:r>
      <w:r>
        <w:rPr>
          <w:color w:val="auto"/>
        </w:rPr>
        <w:fldChar w:fldCharType="end"/>
      </w:r>
      <w:r>
        <w:rPr>
          <w:rFonts w:hint="eastAsia" w:ascii="仿宋" w:hAnsi="仿宋" w:eastAsia="仿宋" w:cs="仿宋"/>
          <w:color w:val="auto"/>
          <w:szCs w:val="21"/>
        </w:rPr>
        <w:fldChar w:fldCharType="end"/>
      </w:r>
    </w:p>
    <w:p w14:paraId="53E9C16A">
      <w:pPr>
        <w:pStyle w:val="13"/>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_Toc28894 </w:instrText>
      </w:r>
      <w:r>
        <w:rPr>
          <w:rFonts w:hint="eastAsia" w:ascii="仿宋" w:hAnsi="仿宋" w:eastAsia="仿宋" w:cs="仿宋"/>
          <w:color w:val="auto"/>
          <w:szCs w:val="21"/>
        </w:rPr>
        <w:fldChar w:fldCharType="separate"/>
      </w:r>
      <w:r>
        <w:rPr>
          <w:rFonts w:hint="eastAsia" w:ascii="仿宋" w:hAnsi="仿宋" w:eastAsia="仿宋" w:cs="仿宋"/>
          <w:color w:val="auto"/>
          <w:szCs w:val="30"/>
        </w:rPr>
        <w:t>第七篇  响应文件编制要求</w:t>
      </w:r>
      <w:r>
        <w:rPr>
          <w:color w:val="auto"/>
        </w:rPr>
        <w:tab/>
      </w:r>
      <w:r>
        <w:rPr>
          <w:color w:val="auto"/>
        </w:rPr>
        <w:fldChar w:fldCharType="begin"/>
      </w:r>
      <w:r>
        <w:rPr>
          <w:color w:val="auto"/>
        </w:rPr>
        <w:instrText xml:space="preserve"> PAGEREF _Toc28894 \h </w:instrText>
      </w:r>
      <w:r>
        <w:rPr>
          <w:color w:val="auto"/>
        </w:rPr>
        <w:fldChar w:fldCharType="separate"/>
      </w:r>
      <w:r>
        <w:rPr>
          <w:color w:val="auto"/>
        </w:rPr>
        <w:t>- 22 -</w:t>
      </w:r>
      <w:r>
        <w:rPr>
          <w:color w:val="auto"/>
        </w:rPr>
        <w:fldChar w:fldCharType="end"/>
      </w:r>
      <w:r>
        <w:rPr>
          <w:rFonts w:hint="eastAsia" w:ascii="仿宋" w:hAnsi="仿宋" w:eastAsia="仿宋" w:cs="仿宋"/>
          <w:color w:val="auto"/>
          <w:szCs w:val="21"/>
        </w:rPr>
        <w:fldChar w:fldCharType="end"/>
      </w:r>
    </w:p>
    <w:p w14:paraId="1C4E9EF9">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_Toc16314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一、经济部分</w:t>
      </w:r>
      <w:r>
        <w:rPr>
          <w:color w:val="auto"/>
        </w:rPr>
        <w:tab/>
      </w:r>
      <w:r>
        <w:rPr>
          <w:color w:val="auto"/>
        </w:rPr>
        <w:fldChar w:fldCharType="begin"/>
      </w:r>
      <w:r>
        <w:rPr>
          <w:color w:val="auto"/>
        </w:rPr>
        <w:instrText xml:space="preserve"> PAGEREF _Toc16314 \h </w:instrText>
      </w:r>
      <w:r>
        <w:rPr>
          <w:color w:val="auto"/>
        </w:rPr>
        <w:fldChar w:fldCharType="separate"/>
      </w:r>
      <w:r>
        <w:rPr>
          <w:color w:val="auto"/>
        </w:rPr>
        <w:t>- 24 -</w:t>
      </w:r>
      <w:r>
        <w:rPr>
          <w:color w:val="auto"/>
        </w:rPr>
        <w:fldChar w:fldCharType="end"/>
      </w:r>
      <w:r>
        <w:rPr>
          <w:rFonts w:hint="eastAsia" w:ascii="仿宋" w:hAnsi="仿宋" w:eastAsia="仿宋" w:cs="仿宋"/>
          <w:color w:val="auto"/>
          <w:szCs w:val="21"/>
        </w:rPr>
        <w:fldChar w:fldCharType="end"/>
      </w:r>
    </w:p>
    <w:p w14:paraId="1AED425B">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_Toc18799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二、服务部分</w:t>
      </w:r>
      <w:r>
        <w:rPr>
          <w:color w:val="auto"/>
        </w:rPr>
        <w:tab/>
      </w:r>
      <w:r>
        <w:rPr>
          <w:color w:val="auto"/>
        </w:rPr>
        <w:fldChar w:fldCharType="begin"/>
      </w:r>
      <w:r>
        <w:rPr>
          <w:color w:val="auto"/>
        </w:rPr>
        <w:instrText xml:space="preserve"> PAGEREF _Toc18799 \h </w:instrText>
      </w:r>
      <w:r>
        <w:rPr>
          <w:color w:val="auto"/>
        </w:rPr>
        <w:fldChar w:fldCharType="separate"/>
      </w:r>
      <w:r>
        <w:rPr>
          <w:color w:val="auto"/>
        </w:rPr>
        <w:t>- 25 -</w:t>
      </w:r>
      <w:r>
        <w:rPr>
          <w:color w:val="auto"/>
        </w:rPr>
        <w:fldChar w:fldCharType="end"/>
      </w:r>
      <w:r>
        <w:rPr>
          <w:rFonts w:hint="eastAsia" w:ascii="仿宋" w:hAnsi="仿宋" w:eastAsia="仿宋" w:cs="仿宋"/>
          <w:color w:val="auto"/>
          <w:szCs w:val="21"/>
        </w:rPr>
        <w:fldChar w:fldCharType="end"/>
      </w:r>
    </w:p>
    <w:p w14:paraId="78506800">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_Toc29029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三、商务部分</w:t>
      </w:r>
      <w:r>
        <w:rPr>
          <w:color w:val="auto"/>
        </w:rPr>
        <w:tab/>
      </w:r>
      <w:r>
        <w:rPr>
          <w:color w:val="auto"/>
        </w:rPr>
        <w:fldChar w:fldCharType="begin"/>
      </w:r>
      <w:r>
        <w:rPr>
          <w:color w:val="auto"/>
        </w:rPr>
        <w:instrText xml:space="preserve"> PAGEREF _Toc29029 \h </w:instrText>
      </w:r>
      <w:r>
        <w:rPr>
          <w:color w:val="auto"/>
        </w:rPr>
        <w:fldChar w:fldCharType="separate"/>
      </w:r>
      <w:r>
        <w:rPr>
          <w:color w:val="auto"/>
        </w:rPr>
        <w:t>- 27 -</w:t>
      </w:r>
      <w:r>
        <w:rPr>
          <w:color w:val="auto"/>
        </w:rPr>
        <w:fldChar w:fldCharType="end"/>
      </w:r>
      <w:r>
        <w:rPr>
          <w:rFonts w:hint="eastAsia" w:ascii="仿宋" w:hAnsi="仿宋" w:eastAsia="仿宋" w:cs="仿宋"/>
          <w:color w:val="auto"/>
          <w:szCs w:val="21"/>
        </w:rPr>
        <w:fldChar w:fldCharType="end"/>
      </w:r>
    </w:p>
    <w:p w14:paraId="7414DD13">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_Toc29302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四、资格条件及其他</w:t>
      </w:r>
      <w:r>
        <w:rPr>
          <w:color w:val="auto"/>
        </w:rPr>
        <w:tab/>
      </w:r>
      <w:r>
        <w:rPr>
          <w:color w:val="auto"/>
        </w:rPr>
        <w:fldChar w:fldCharType="begin"/>
      </w:r>
      <w:r>
        <w:rPr>
          <w:color w:val="auto"/>
        </w:rPr>
        <w:instrText xml:space="preserve"> PAGEREF _Toc29302 \h </w:instrText>
      </w:r>
      <w:r>
        <w:rPr>
          <w:color w:val="auto"/>
        </w:rPr>
        <w:fldChar w:fldCharType="separate"/>
      </w:r>
      <w:r>
        <w:rPr>
          <w:color w:val="auto"/>
        </w:rPr>
        <w:t>- 29 -</w:t>
      </w:r>
      <w:r>
        <w:rPr>
          <w:color w:val="auto"/>
        </w:rPr>
        <w:fldChar w:fldCharType="end"/>
      </w:r>
      <w:r>
        <w:rPr>
          <w:rFonts w:hint="eastAsia" w:ascii="仿宋" w:hAnsi="仿宋" w:eastAsia="仿宋" w:cs="仿宋"/>
          <w:color w:val="auto"/>
          <w:szCs w:val="21"/>
        </w:rPr>
        <w:fldChar w:fldCharType="end"/>
      </w:r>
    </w:p>
    <w:p w14:paraId="14FD872F">
      <w:pPr>
        <w:pStyle w:val="6"/>
        <w:tabs>
          <w:tab w:val="right" w:leader="dot" w:pos="9412"/>
        </w:tabs>
        <w:rPr>
          <w:color w:val="auto"/>
        </w:rPr>
      </w:pPr>
      <w:r>
        <w:rPr>
          <w:rFonts w:hint="eastAsia" w:ascii="仿宋" w:hAnsi="仿宋" w:eastAsia="仿宋" w:cs="仿宋"/>
          <w:color w:val="auto"/>
          <w:szCs w:val="21"/>
        </w:rPr>
        <w:fldChar w:fldCharType="begin"/>
      </w:r>
      <w:r>
        <w:rPr>
          <w:rFonts w:hint="eastAsia" w:ascii="仿宋" w:hAnsi="仿宋" w:eastAsia="仿宋" w:cs="仿宋"/>
          <w:color w:val="auto"/>
          <w:szCs w:val="21"/>
        </w:rPr>
        <w:instrText xml:space="preserve"> HYPERLINK \l _Toc27609 </w:instrText>
      </w:r>
      <w:r>
        <w:rPr>
          <w:rFonts w:hint="eastAsia" w:ascii="仿宋" w:hAnsi="仿宋" w:eastAsia="仿宋" w:cs="仿宋"/>
          <w:color w:val="auto"/>
          <w:szCs w:val="21"/>
        </w:rPr>
        <w:fldChar w:fldCharType="separate"/>
      </w:r>
      <w:r>
        <w:rPr>
          <w:rFonts w:hint="eastAsia" w:ascii="仿宋" w:hAnsi="仿宋" w:eastAsia="仿宋" w:cs="仿宋"/>
          <w:color w:val="auto"/>
          <w:szCs w:val="24"/>
        </w:rPr>
        <w:t>五、其他资料</w:t>
      </w:r>
      <w:r>
        <w:rPr>
          <w:color w:val="auto"/>
        </w:rPr>
        <w:tab/>
      </w:r>
      <w:r>
        <w:rPr>
          <w:color w:val="auto"/>
        </w:rPr>
        <w:fldChar w:fldCharType="begin"/>
      </w:r>
      <w:r>
        <w:rPr>
          <w:color w:val="auto"/>
        </w:rPr>
        <w:instrText xml:space="preserve"> PAGEREF _Toc27609 \h </w:instrText>
      </w:r>
      <w:r>
        <w:rPr>
          <w:color w:val="auto"/>
        </w:rPr>
        <w:fldChar w:fldCharType="separate"/>
      </w:r>
      <w:r>
        <w:rPr>
          <w:color w:val="auto"/>
        </w:rPr>
        <w:t>- 34 -</w:t>
      </w:r>
      <w:r>
        <w:rPr>
          <w:color w:val="auto"/>
        </w:rPr>
        <w:fldChar w:fldCharType="end"/>
      </w:r>
      <w:r>
        <w:rPr>
          <w:rFonts w:hint="eastAsia" w:ascii="仿宋" w:hAnsi="仿宋" w:eastAsia="仿宋" w:cs="仿宋"/>
          <w:color w:val="auto"/>
          <w:szCs w:val="21"/>
        </w:rPr>
        <w:fldChar w:fldCharType="end"/>
      </w:r>
    </w:p>
    <w:p w14:paraId="31B8913C">
      <w:pPr>
        <w:pStyle w:val="13"/>
        <w:tabs>
          <w:tab w:val="right" w:leader="dot" w:pos="9402"/>
        </w:tabs>
        <w:spacing w:line="360" w:lineRule="auto"/>
        <w:ind w:left="560"/>
        <w:jc w:val="center"/>
        <w:rPr>
          <w:rFonts w:hint="eastAsia" w:ascii="仿宋" w:hAnsi="仿宋" w:eastAsia="仿宋" w:cs="仿宋"/>
          <w:color w:val="auto"/>
          <w:sz w:val="18"/>
          <w:szCs w:val="22"/>
        </w:rPr>
        <w:sectPr>
          <w:footerReference r:id="rId7" w:type="default"/>
          <w:pgSz w:w="11907" w:h="16840"/>
          <w:pgMar w:top="1134" w:right="1191" w:bottom="1134" w:left="1304" w:header="851" w:footer="992" w:gutter="0"/>
          <w:pgNumType w:fmt="numberInDash" w:start="1"/>
          <w:cols w:space="720" w:num="1"/>
          <w:docGrid w:linePitch="380" w:charSpace="-5735"/>
        </w:sectPr>
      </w:pPr>
      <w:r>
        <w:rPr>
          <w:rFonts w:hint="eastAsia" w:ascii="仿宋" w:hAnsi="仿宋" w:eastAsia="仿宋" w:cs="仿宋"/>
          <w:color w:val="auto"/>
          <w:szCs w:val="21"/>
        </w:rPr>
        <w:fldChar w:fldCharType="end"/>
      </w:r>
    </w:p>
    <w:p w14:paraId="25201409">
      <w:pPr>
        <w:pStyle w:val="4"/>
        <w:spacing w:line="360" w:lineRule="auto"/>
        <w:jc w:val="center"/>
        <w:rPr>
          <w:rFonts w:hint="eastAsia" w:ascii="仿宋" w:hAnsi="仿宋" w:eastAsia="仿宋" w:cs="仿宋"/>
          <w:b w:val="0"/>
          <w:color w:val="auto"/>
          <w:szCs w:val="30"/>
        </w:rPr>
      </w:pPr>
      <w:bookmarkStart w:id="1" w:name="_Toc3773"/>
      <w:bookmarkStart w:id="2" w:name="_Toc12789052"/>
      <w:bookmarkStart w:id="3" w:name="_Toc11641050"/>
      <w:r>
        <w:rPr>
          <w:rFonts w:hint="eastAsia" w:ascii="仿宋" w:hAnsi="仿宋" w:eastAsia="仿宋" w:cs="仿宋"/>
          <w:b w:val="0"/>
          <w:color w:val="auto"/>
          <w:sz w:val="36"/>
          <w:szCs w:val="30"/>
        </w:rPr>
        <w:t>第一篇  采购邀请书</w:t>
      </w:r>
      <w:bookmarkEnd w:id="1"/>
      <w:bookmarkEnd w:id="2"/>
      <w:bookmarkEnd w:id="3"/>
    </w:p>
    <w:p w14:paraId="682F1B11">
      <w:pPr>
        <w:spacing w:line="360" w:lineRule="auto"/>
        <w:ind w:firstLine="480"/>
        <w:rPr>
          <w:rFonts w:hint="eastAsia" w:ascii="仿宋" w:hAnsi="仿宋" w:eastAsia="仿宋" w:cs="仿宋"/>
          <w:color w:val="auto"/>
          <w:sz w:val="24"/>
          <w:szCs w:val="24"/>
        </w:rPr>
      </w:pPr>
      <w:r>
        <w:rPr>
          <w:rFonts w:hint="eastAsia" w:ascii="仿宋" w:hAnsi="仿宋" w:eastAsia="仿宋" w:cs="仿宋"/>
          <w:color w:val="auto"/>
          <w:sz w:val="24"/>
          <w:szCs w:val="24"/>
          <w:lang w:eastAsia="zh-CN"/>
        </w:rPr>
        <w:t>重庆修为工程咨询有限公司</w:t>
      </w:r>
      <w:r>
        <w:rPr>
          <w:rFonts w:hint="eastAsia" w:ascii="仿宋" w:hAnsi="仿宋" w:eastAsia="仿宋" w:cs="仿宋"/>
          <w:color w:val="auto"/>
          <w:sz w:val="24"/>
          <w:szCs w:val="24"/>
        </w:rPr>
        <w:t>（以下简称：采购代理机构）接受</w:t>
      </w:r>
      <w:r>
        <w:rPr>
          <w:rFonts w:hint="eastAsia" w:ascii="仿宋" w:hAnsi="仿宋" w:eastAsia="仿宋" w:cs="仿宋"/>
          <w:color w:val="auto"/>
          <w:sz w:val="24"/>
          <w:szCs w:val="24"/>
          <w:lang w:eastAsia="zh-CN"/>
        </w:rPr>
        <w:t>重庆大足石刻国际文化旅游集团有限公司</w:t>
      </w:r>
      <w:r>
        <w:rPr>
          <w:rFonts w:hint="eastAsia" w:ascii="仿宋" w:hAnsi="仿宋" w:eastAsia="仿宋" w:cs="仿宋"/>
          <w:color w:val="auto"/>
          <w:sz w:val="24"/>
          <w:szCs w:val="24"/>
        </w:rPr>
        <w:t>的委托，对</w:t>
      </w:r>
      <w:r>
        <w:rPr>
          <w:rFonts w:hint="eastAsia" w:ascii="仿宋" w:hAnsi="仿宋" w:eastAsia="仿宋" w:cs="仿宋"/>
          <w:color w:val="auto"/>
          <w:sz w:val="24"/>
          <w:szCs w:val="24"/>
          <w:lang w:eastAsia="zh-CN"/>
        </w:rPr>
        <w:t>文旅集团职工食堂干鲜副食食材配送服务</w:t>
      </w:r>
      <w:r>
        <w:rPr>
          <w:rFonts w:hint="eastAsia" w:ascii="仿宋" w:hAnsi="仿宋" w:eastAsia="仿宋" w:cs="仿宋"/>
          <w:color w:val="auto"/>
          <w:sz w:val="24"/>
          <w:szCs w:val="24"/>
        </w:rPr>
        <w:t>进行采购。欢迎有资格的供应商前来参与</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w:t>
      </w:r>
    </w:p>
    <w:p w14:paraId="42C5707F">
      <w:pPr>
        <w:pStyle w:val="5"/>
        <w:spacing w:before="120" w:beforeLines="50" w:after="120" w:afterLines="50" w:line="360" w:lineRule="auto"/>
        <w:ind w:firstLine="241" w:firstLineChars="100"/>
        <w:rPr>
          <w:rFonts w:hint="eastAsia" w:ascii="仿宋" w:hAnsi="仿宋" w:eastAsia="仿宋" w:cs="仿宋"/>
          <w:color w:val="auto"/>
          <w:sz w:val="24"/>
          <w:szCs w:val="24"/>
        </w:rPr>
      </w:pPr>
      <w:bookmarkStart w:id="4" w:name="_Toc313893526"/>
      <w:bookmarkStart w:id="5" w:name="_Toc317775175"/>
      <w:bookmarkStart w:id="6" w:name="_Toc25139"/>
      <w:r>
        <w:rPr>
          <w:rFonts w:hint="eastAsia" w:ascii="仿宋" w:hAnsi="仿宋" w:eastAsia="仿宋" w:cs="仿宋"/>
          <w:color w:val="auto"/>
          <w:sz w:val="24"/>
          <w:szCs w:val="24"/>
        </w:rPr>
        <w:t>一、</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内容</w:t>
      </w:r>
      <w:bookmarkEnd w:id="4"/>
      <w:bookmarkEnd w:id="5"/>
      <w:bookmarkEnd w:id="6"/>
    </w:p>
    <w:tbl>
      <w:tblPr>
        <w:tblStyle w:val="15"/>
        <w:tblW w:w="89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101"/>
        <w:gridCol w:w="1663"/>
        <w:gridCol w:w="1596"/>
        <w:gridCol w:w="1596"/>
      </w:tblGrid>
      <w:tr w14:paraId="763CF1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7" w:hRule="atLeast"/>
          <w:jc w:val="center"/>
        </w:trPr>
        <w:tc>
          <w:tcPr>
            <w:tcW w:w="4101" w:type="dxa"/>
            <w:tcBorders>
              <w:top w:val="single" w:color="auto" w:sz="4" w:space="0"/>
              <w:left w:val="single" w:color="auto" w:sz="4" w:space="0"/>
              <w:right w:val="single" w:color="auto" w:sz="4" w:space="0"/>
            </w:tcBorders>
            <w:noWrap w:val="0"/>
            <w:vAlign w:val="center"/>
          </w:tcPr>
          <w:p w14:paraId="139E1BB7">
            <w:pPr>
              <w:widowControl/>
              <w:jc w:val="center"/>
              <w:rPr>
                <w:rFonts w:hint="eastAsia" w:ascii="仿宋" w:hAnsi="仿宋" w:eastAsia="仿宋" w:cs="仿宋"/>
                <w:b/>
                <w:bCs/>
                <w:color w:val="auto"/>
                <w:kern w:val="0"/>
                <w:sz w:val="21"/>
                <w:szCs w:val="24"/>
                <w:lang w:val="en-US" w:eastAsia="zh-CN"/>
              </w:rPr>
            </w:pPr>
            <w:bookmarkStart w:id="7" w:name="_Toc373860293"/>
            <w:bookmarkStart w:id="8" w:name="_Toc317775178"/>
            <w:r>
              <w:rPr>
                <w:rFonts w:hint="eastAsia" w:ascii="仿宋" w:hAnsi="仿宋" w:eastAsia="仿宋" w:cs="仿宋"/>
                <w:b/>
                <w:bCs/>
                <w:color w:val="auto"/>
                <w:kern w:val="0"/>
                <w:sz w:val="21"/>
                <w:szCs w:val="24"/>
                <w:lang w:eastAsia="zh-CN"/>
              </w:rPr>
              <w:t>项目</w:t>
            </w:r>
            <w:r>
              <w:rPr>
                <w:rFonts w:hint="eastAsia" w:ascii="仿宋" w:hAnsi="仿宋" w:eastAsia="仿宋" w:cs="仿宋"/>
                <w:b/>
                <w:bCs/>
                <w:color w:val="auto"/>
                <w:kern w:val="0"/>
                <w:sz w:val="21"/>
                <w:szCs w:val="24"/>
              </w:rPr>
              <w:t>名称</w:t>
            </w:r>
          </w:p>
        </w:tc>
        <w:tc>
          <w:tcPr>
            <w:tcW w:w="1663" w:type="dxa"/>
            <w:tcBorders>
              <w:top w:val="single" w:color="auto" w:sz="4" w:space="0"/>
              <w:left w:val="single" w:color="auto" w:sz="4" w:space="0"/>
              <w:right w:val="single" w:color="auto" w:sz="4" w:space="0"/>
            </w:tcBorders>
            <w:noWrap w:val="0"/>
            <w:vAlign w:val="center"/>
          </w:tcPr>
          <w:p w14:paraId="7CFC6584">
            <w:pPr>
              <w:jc w:val="center"/>
              <w:rPr>
                <w:rFonts w:hint="eastAsia" w:ascii="仿宋" w:hAnsi="仿宋" w:eastAsia="仿宋" w:cs="仿宋"/>
                <w:b/>
                <w:bCs/>
                <w:color w:val="auto"/>
                <w:kern w:val="0"/>
                <w:sz w:val="21"/>
                <w:szCs w:val="24"/>
              </w:rPr>
            </w:pPr>
            <w:r>
              <w:rPr>
                <w:rFonts w:hint="eastAsia" w:ascii="仿宋" w:hAnsi="仿宋" w:eastAsia="仿宋" w:cs="仿宋"/>
                <w:b/>
                <w:bCs/>
                <w:color w:val="auto"/>
                <w:kern w:val="0"/>
                <w:sz w:val="21"/>
                <w:szCs w:val="24"/>
                <w:lang w:val="en-US" w:eastAsia="zh-CN"/>
              </w:rPr>
              <w:t>最高折扣限价</w:t>
            </w:r>
          </w:p>
        </w:tc>
        <w:tc>
          <w:tcPr>
            <w:tcW w:w="1596" w:type="dxa"/>
            <w:tcBorders>
              <w:top w:val="single" w:color="auto" w:sz="4" w:space="0"/>
              <w:left w:val="single" w:color="auto" w:sz="4" w:space="0"/>
              <w:right w:val="single" w:color="auto" w:sz="4" w:space="0"/>
            </w:tcBorders>
            <w:noWrap w:val="0"/>
            <w:vAlign w:val="center"/>
          </w:tcPr>
          <w:p w14:paraId="7D58A333">
            <w:pPr>
              <w:jc w:val="center"/>
              <w:rPr>
                <w:rFonts w:hint="eastAsia" w:ascii="仿宋" w:hAnsi="仿宋" w:eastAsia="仿宋" w:cs="仿宋"/>
                <w:b/>
                <w:bCs/>
                <w:color w:val="auto"/>
                <w:kern w:val="0"/>
                <w:sz w:val="21"/>
                <w:szCs w:val="24"/>
              </w:rPr>
            </w:pPr>
            <w:r>
              <w:rPr>
                <w:rFonts w:hint="eastAsia" w:ascii="仿宋" w:hAnsi="仿宋" w:eastAsia="仿宋" w:cs="仿宋"/>
                <w:b/>
                <w:bCs/>
                <w:color w:val="auto"/>
                <w:kern w:val="0"/>
                <w:sz w:val="21"/>
                <w:szCs w:val="24"/>
              </w:rPr>
              <w:t>成交供应商数量（名）</w:t>
            </w:r>
          </w:p>
        </w:tc>
        <w:tc>
          <w:tcPr>
            <w:tcW w:w="1596" w:type="dxa"/>
            <w:tcBorders>
              <w:top w:val="single" w:color="auto" w:sz="4" w:space="0"/>
              <w:left w:val="single" w:color="auto" w:sz="4" w:space="0"/>
              <w:right w:val="single" w:color="auto" w:sz="4" w:space="0"/>
            </w:tcBorders>
            <w:noWrap w:val="0"/>
            <w:vAlign w:val="center"/>
          </w:tcPr>
          <w:p w14:paraId="049D606F">
            <w:pPr>
              <w:widowControl/>
              <w:jc w:val="center"/>
              <w:rPr>
                <w:rFonts w:hint="eastAsia" w:ascii="仿宋" w:hAnsi="仿宋" w:eastAsia="仿宋" w:cs="仿宋"/>
                <w:b/>
                <w:bCs/>
                <w:color w:val="auto"/>
                <w:kern w:val="0"/>
                <w:sz w:val="21"/>
                <w:szCs w:val="24"/>
              </w:rPr>
            </w:pPr>
            <w:r>
              <w:rPr>
                <w:rFonts w:hint="eastAsia" w:ascii="仿宋" w:hAnsi="仿宋" w:eastAsia="仿宋" w:cs="仿宋"/>
                <w:b/>
                <w:bCs/>
                <w:color w:val="auto"/>
                <w:kern w:val="0"/>
                <w:sz w:val="21"/>
                <w:szCs w:val="24"/>
                <w:lang w:eastAsia="zh-CN"/>
              </w:rPr>
              <w:t>备注</w:t>
            </w:r>
          </w:p>
        </w:tc>
      </w:tr>
      <w:tr w14:paraId="21A8CA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27" w:hRule="atLeast"/>
          <w:jc w:val="center"/>
        </w:trPr>
        <w:tc>
          <w:tcPr>
            <w:tcW w:w="4101" w:type="dxa"/>
            <w:tcBorders>
              <w:top w:val="single" w:color="auto" w:sz="4" w:space="0"/>
              <w:left w:val="single" w:color="auto" w:sz="4" w:space="0"/>
              <w:bottom w:val="single" w:color="auto" w:sz="4" w:space="0"/>
              <w:right w:val="single" w:color="auto" w:sz="4" w:space="0"/>
            </w:tcBorders>
            <w:noWrap w:val="0"/>
            <w:vAlign w:val="center"/>
          </w:tcPr>
          <w:p w14:paraId="355EAB53">
            <w:pPr>
              <w:widowControl/>
              <w:jc w:val="left"/>
              <w:rPr>
                <w:rFonts w:hint="default" w:ascii="仿宋" w:hAnsi="仿宋" w:eastAsia="仿宋" w:cs="仿宋"/>
                <w:color w:val="auto"/>
                <w:kern w:val="0"/>
                <w:sz w:val="24"/>
                <w:szCs w:val="32"/>
                <w:lang w:val="en-US" w:eastAsia="zh-CN"/>
              </w:rPr>
            </w:pPr>
            <w:bookmarkStart w:id="9" w:name="_Hlk344477914"/>
            <w:r>
              <w:rPr>
                <w:rFonts w:hint="eastAsia" w:ascii="仿宋" w:hAnsi="仿宋" w:eastAsia="仿宋" w:cs="仿宋"/>
                <w:color w:val="auto"/>
                <w:kern w:val="0"/>
                <w:sz w:val="24"/>
                <w:szCs w:val="32"/>
                <w:lang w:val="en-US" w:eastAsia="zh-CN"/>
              </w:rPr>
              <w:t>文旅集团职工食堂干鲜副食食材配送服务</w:t>
            </w:r>
          </w:p>
        </w:tc>
        <w:tc>
          <w:tcPr>
            <w:tcW w:w="1663" w:type="dxa"/>
            <w:tcBorders>
              <w:top w:val="single" w:color="auto" w:sz="4" w:space="0"/>
              <w:left w:val="single" w:color="auto" w:sz="4" w:space="0"/>
              <w:bottom w:val="single" w:color="auto" w:sz="4" w:space="0"/>
              <w:right w:val="single" w:color="auto" w:sz="4" w:space="0"/>
            </w:tcBorders>
            <w:noWrap w:val="0"/>
            <w:vAlign w:val="center"/>
          </w:tcPr>
          <w:p w14:paraId="6FF64AE3">
            <w:pPr>
              <w:widowControl/>
              <w:jc w:val="center"/>
              <w:rPr>
                <w:rFonts w:hint="default" w:ascii="仿宋" w:hAnsi="仿宋" w:eastAsia="仿宋" w:cs="仿宋"/>
                <w:color w:val="auto"/>
                <w:kern w:val="0"/>
                <w:sz w:val="24"/>
                <w:szCs w:val="32"/>
                <w:lang w:val="en-US" w:eastAsia="zh-CN"/>
              </w:rPr>
            </w:pPr>
            <w:r>
              <w:rPr>
                <w:rFonts w:hint="eastAsia" w:ascii="仿宋" w:hAnsi="仿宋" w:eastAsia="仿宋" w:cs="仿宋"/>
                <w:color w:val="auto"/>
                <w:kern w:val="0"/>
                <w:sz w:val="24"/>
                <w:szCs w:val="32"/>
                <w:lang w:val="en-US" w:eastAsia="zh-CN"/>
              </w:rPr>
              <w:t>100%</w:t>
            </w:r>
          </w:p>
        </w:tc>
        <w:tc>
          <w:tcPr>
            <w:tcW w:w="1596" w:type="dxa"/>
            <w:tcBorders>
              <w:top w:val="single" w:color="auto" w:sz="4" w:space="0"/>
              <w:left w:val="single" w:color="auto" w:sz="4" w:space="0"/>
              <w:bottom w:val="single" w:color="auto" w:sz="4" w:space="0"/>
              <w:right w:val="single" w:color="auto" w:sz="4" w:space="0"/>
            </w:tcBorders>
            <w:noWrap w:val="0"/>
            <w:vAlign w:val="center"/>
          </w:tcPr>
          <w:p w14:paraId="7AFB34D7">
            <w:pPr>
              <w:widowControl/>
              <w:jc w:val="center"/>
              <w:rPr>
                <w:rFonts w:hint="eastAsia" w:ascii="仿宋" w:hAnsi="仿宋" w:eastAsia="仿宋" w:cs="仿宋"/>
                <w:color w:val="auto"/>
                <w:kern w:val="0"/>
                <w:sz w:val="24"/>
                <w:szCs w:val="32"/>
                <w:lang w:val="en-US" w:eastAsia="zh-CN"/>
              </w:rPr>
            </w:pPr>
            <w:r>
              <w:rPr>
                <w:rFonts w:hint="eastAsia" w:ascii="仿宋" w:hAnsi="仿宋" w:eastAsia="仿宋" w:cs="仿宋"/>
                <w:color w:val="auto"/>
                <w:kern w:val="0"/>
                <w:sz w:val="24"/>
                <w:szCs w:val="32"/>
                <w:lang w:val="en-US" w:eastAsia="zh-CN"/>
              </w:rPr>
              <w:t>1</w:t>
            </w:r>
          </w:p>
        </w:tc>
        <w:tc>
          <w:tcPr>
            <w:tcW w:w="1596" w:type="dxa"/>
            <w:tcBorders>
              <w:top w:val="single" w:color="auto" w:sz="4" w:space="0"/>
              <w:left w:val="single" w:color="auto" w:sz="4" w:space="0"/>
              <w:bottom w:val="single" w:color="auto" w:sz="4" w:space="0"/>
              <w:right w:val="single" w:color="auto" w:sz="4" w:space="0"/>
            </w:tcBorders>
            <w:noWrap w:val="0"/>
            <w:vAlign w:val="center"/>
          </w:tcPr>
          <w:p w14:paraId="63CD9AC4">
            <w:pPr>
              <w:widowControl/>
              <w:jc w:val="center"/>
              <w:rPr>
                <w:rFonts w:hint="eastAsia" w:ascii="仿宋" w:hAnsi="仿宋" w:eastAsia="仿宋" w:cs="仿宋"/>
                <w:color w:val="auto"/>
                <w:kern w:val="0"/>
                <w:sz w:val="24"/>
                <w:szCs w:val="32"/>
                <w:lang w:val="en-US" w:eastAsia="zh-CN"/>
              </w:rPr>
            </w:pPr>
            <w:r>
              <w:rPr>
                <w:rFonts w:hint="eastAsia" w:ascii="仿宋" w:hAnsi="仿宋" w:eastAsia="仿宋" w:cs="仿宋"/>
                <w:color w:val="auto"/>
                <w:kern w:val="0"/>
                <w:sz w:val="24"/>
                <w:szCs w:val="32"/>
                <w:lang w:val="en-US" w:eastAsia="zh-CN"/>
              </w:rPr>
              <w:t>不接受联合体投标</w:t>
            </w:r>
          </w:p>
        </w:tc>
      </w:tr>
      <w:bookmarkEnd w:id="9"/>
    </w:tbl>
    <w:p w14:paraId="2CA25CF6">
      <w:pPr>
        <w:pStyle w:val="5"/>
        <w:spacing w:before="120" w:beforeLines="50" w:after="120" w:afterLines="50" w:line="360" w:lineRule="auto"/>
        <w:ind w:firstLine="241" w:firstLineChars="100"/>
        <w:rPr>
          <w:rFonts w:hint="eastAsia" w:ascii="仿宋" w:hAnsi="仿宋" w:eastAsia="仿宋" w:cs="仿宋"/>
          <w:color w:val="auto"/>
          <w:sz w:val="24"/>
          <w:szCs w:val="24"/>
        </w:rPr>
      </w:pPr>
      <w:bookmarkStart w:id="10" w:name="_Toc1837"/>
      <w:r>
        <w:rPr>
          <w:rFonts w:hint="eastAsia" w:ascii="仿宋" w:hAnsi="仿宋" w:eastAsia="仿宋" w:cs="仿宋"/>
          <w:color w:val="auto"/>
          <w:sz w:val="24"/>
          <w:szCs w:val="24"/>
        </w:rPr>
        <w:t>二、资金来源</w:t>
      </w:r>
      <w:bookmarkEnd w:id="10"/>
    </w:p>
    <w:p w14:paraId="4B1CC86E">
      <w:pPr>
        <w:pStyle w:val="5"/>
        <w:spacing w:before="120" w:beforeLines="50" w:after="120" w:afterLines="50" w:line="360" w:lineRule="auto"/>
        <w:ind w:firstLine="240" w:firstLineChars="100"/>
        <w:rPr>
          <w:rFonts w:hint="eastAsia" w:ascii="仿宋" w:hAnsi="仿宋" w:eastAsia="仿宋" w:cs="仿宋"/>
          <w:b w:val="0"/>
          <w:bCs/>
          <w:color w:val="auto"/>
          <w:sz w:val="24"/>
          <w:szCs w:val="24"/>
        </w:rPr>
      </w:pPr>
      <w:bookmarkStart w:id="11" w:name="_Toc19638"/>
      <w:bookmarkStart w:id="12" w:name="_Toc25762"/>
      <w:bookmarkStart w:id="13" w:name="_Toc15455"/>
      <w:r>
        <w:rPr>
          <w:rFonts w:hint="eastAsia" w:ascii="仿宋" w:hAnsi="仿宋" w:eastAsia="仿宋" w:cs="仿宋"/>
          <w:b w:val="0"/>
          <w:bCs/>
          <w:color w:val="auto"/>
          <w:sz w:val="24"/>
          <w:szCs w:val="24"/>
          <w:lang w:eastAsia="zh-CN"/>
        </w:rPr>
        <w:t>自筹</w:t>
      </w:r>
      <w:r>
        <w:rPr>
          <w:rFonts w:hint="eastAsia" w:ascii="仿宋" w:hAnsi="仿宋" w:eastAsia="仿宋" w:cs="仿宋"/>
          <w:b w:val="0"/>
          <w:bCs/>
          <w:color w:val="auto"/>
          <w:sz w:val="24"/>
          <w:szCs w:val="24"/>
        </w:rPr>
        <w:t>资金，预算金额</w:t>
      </w:r>
      <w:r>
        <w:rPr>
          <w:rFonts w:hint="eastAsia" w:ascii="仿宋" w:hAnsi="仿宋" w:eastAsia="仿宋" w:cs="仿宋"/>
          <w:b w:val="0"/>
          <w:bCs/>
          <w:color w:val="auto"/>
          <w:sz w:val="24"/>
          <w:szCs w:val="24"/>
          <w:lang w:eastAsia="zh-CN"/>
        </w:rPr>
        <w:t>约</w:t>
      </w:r>
      <w:r>
        <w:rPr>
          <w:rFonts w:hint="eastAsia" w:ascii="仿宋" w:hAnsi="仿宋" w:eastAsia="仿宋" w:cs="仿宋"/>
          <w:b w:val="0"/>
          <w:bCs/>
          <w:color w:val="auto"/>
          <w:sz w:val="24"/>
          <w:szCs w:val="24"/>
          <w:lang w:val="en-US" w:eastAsia="zh-CN"/>
        </w:rPr>
        <w:t>48</w:t>
      </w:r>
      <w:r>
        <w:rPr>
          <w:rFonts w:hint="eastAsia" w:ascii="仿宋" w:hAnsi="仿宋" w:eastAsia="仿宋" w:cs="仿宋"/>
          <w:b w:val="0"/>
          <w:bCs/>
          <w:color w:val="auto"/>
          <w:sz w:val="24"/>
          <w:szCs w:val="24"/>
        </w:rPr>
        <w:t>万元。</w:t>
      </w:r>
      <w:bookmarkEnd w:id="11"/>
      <w:bookmarkEnd w:id="12"/>
      <w:bookmarkEnd w:id="13"/>
    </w:p>
    <w:p w14:paraId="13295C3D">
      <w:pPr>
        <w:pStyle w:val="5"/>
        <w:spacing w:before="120" w:beforeLines="50" w:after="120" w:afterLines="50" w:line="360" w:lineRule="auto"/>
        <w:ind w:firstLine="241" w:firstLineChars="100"/>
        <w:rPr>
          <w:rFonts w:hint="eastAsia" w:ascii="仿宋" w:hAnsi="仿宋" w:eastAsia="仿宋" w:cs="仿宋"/>
          <w:color w:val="auto"/>
          <w:sz w:val="24"/>
          <w:szCs w:val="24"/>
        </w:rPr>
      </w:pPr>
      <w:bookmarkStart w:id="14" w:name="_Toc27098"/>
      <w:r>
        <w:rPr>
          <w:rFonts w:hint="eastAsia" w:ascii="仿宋" w:hAnsi="仿宋" w:eastAsia="仿宋" w:cs="仿宋"/>
          <w:color w:val="auto"/>
          <w:sz w:val="24"/>
          <w:szCs w:val="24"/>
        </w:rPr>
        <w:t>三、供应商资格条件</w:t>
      </w:r>
      <w:bookmarkEnd w:id="14"/>
    </w:p>
    <w:p w14:paraId="0577575A">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（一）满足《中华人民共和国政府采购法》第二十二条规定；</w:t>
      </w:r>
    </w:p>
    <w:p w14:paraId="28C4EBCF">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（二）落实政府采购政策需满足的资格要求：</w:t>
      </w:r>
      <w:r>
        <w:rPr>
          <w:rFonts w:hint="eastAsia" w:ascii="仿宋" w:hAnsi="仿宋" w:eastAsia="仿宋" w:cs="仿宋"/>
          <w:color w:val="auto"/>
          <w:sz w:val="24"/>
          <w:szCs w:val="24"/>
          <w:lang w:val="en-US" w:eastAsia="zh-CN"/>
        </w:rPr>
        <w:t>无。</w:t>
      </w:r>
    </w:p>
    <w:p w14:paraId="368E071E">
      <w:pPr>
        <w:spacing w:line="360" w:lineRule="auto"/>
        <w:ind w:firstLine="480" w:firstLineChars="200"/>
        <w:rPr>
          <w:rFonts w:hint="eastAsia" w:ascii="仿宋" w:hAnsi="仿宋" w:eastAsia="仿宋" w:cs="仿宋"/>
          <w:color w:val="auto"/>
          <w:sz w:val="24"/>
          <w:szCs w:val="24"/>
          <w:lang w:eastAsia="zh-CN"/>
        </w:rPr>
      </w:pPr>
      <w:r>
        <w:rPr>
          <w:rFonts w:hint="eastAsia" w:ascii="仿宋" w:hAnsi="仿宋" w:eastAsia="仿宋" w:cs="仿宋"/>
          <w:color w:val="auto"/>
          <w:sz w:val="24"/>
          <w:szCs w:val="24"/>
        </w:rPr>
        <w:t>（三）本项目的特定资格要求：</w:t>
      </w:r>
      <w:r>
        <w:rPr>
          <w:rFonts w:hint="eastAsia" w:ascii="仿宋" w:hAnsi="仿宋" w:eastAsia="仿宋" w:cs="仿宋"/>
          <w:color w:val="auto"/>
          <w:sz w:val="24"/>
          <w:szCs w:val="24"/>
          <w:lang w:val="en-US" w:eastAsia="zh-CN"/>
        </w:rPr>
        <w:t>供应商须具备市场监督管理部门颁发的有效的食品经营许可证或食品生产许可证。（提供有效的证书复印件并加盖供应商公章）</w:t>
      </w:r>
    </w:p>
    <w:bookmarkEnd w:id="7"/>
    <w:bookmarkEnd w:id="8"/>
    <w:p w14:paraId="132294D6">
      <w:pPr>
        <w:pStyle w:val="5"/>
        <w:spacing w:before="120" w:beforeLines="50" w:after="120" w:afterLines="50" w:line="360" w:lineRule="auto"/>
        <w:ind w:firstLine="241" w:firstLineChars="100"/>
        <w:rPr>
          <w:rFonts w:hint="eastAsia" w:ascii="仿宋" w:hAnsi="仿宋" w:eastAsia="仿宋" w:cs="仿宋"/>
          <w:b/>
          <w:color w:val="auto"/>
          <w:sz w:val="24"/>
          <w:szCs w:val="24"/>
          <w:lang w:val="en-US" w:eastAsia="zh-CN"/>
        </w:rPr>
      </w:pPr>
      <w:bookmarkStart w:id="15" w:name="_Toc1961"/>
      <w:bookmarkStart w:id="16" w:name="_Toc3556"/>
      <w:bookmarkStart w:id="17" w:name="_Toc531184286"/>
      <w:r>
        <w:rPr>
          <w:rFonts w:hint="eastAsia" w:ascii="仿宋" w:hAnsi="仿宋" w:eastAsia="仿宋" w:cs="仿宋"/>
          <w:b/>
          <w:color w:val="auto"/>
          <w:sz w:val="24"/>
          <w:szCs w:val="24"/>
          <w:lang w:val="en-US" w:eastAsia="zh-CN"/>
        </w:rPr>
        <w:t>四、询比有关说明</w:t>
      </w:r>
      <w:bookmarkEnd w:id="15"/>
      <w:bookmarkEnd w:id="16"/>
    </w:p>
    <w:p w14:paraId="598B3A5E">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（一）本项目</w:t>
      </w:r>
      <w:r>
        <w:rPr>
          <w:rFonts w:hint="eastAsia" w:ascii="仿宋" w:hAnsi="仿宋" w:eastAsia="仿宋" w:cs="仿宋"/>
          <w:color w:val="auto"/>
          <w:sz w:val="24"/>
          <w:szCs w:val="24"/>
          <w:lang w:eastAsia="zh-CN"/>
        </w:rPr>
        <w:t>采购公告</w:t>
      </w:r>
      <w:r>
        <w:rPr>
          <w:rFonts w:hint="eastAsia" w:ascii="仿宋" w:hAnsi="仿宋" w:eastAsia="仿宋" w:cs="仿宋"/>
          <w:color w:val="auto"/>
          <w:sz w:val="24"/>
          <w:szCs w:val="24"/>
        </w:rPr>
        <w:t>于</w:t>
      </w:r>
      <w:r>
        <w:rPr>
          <w:rFonts w:hint="eastAsia" w:ascii="仿宋" w:hAnsi="仿宋" w:eastAsia="仿宋" w:cs="仿宋"/>
          <w:color w:val="auto"/>
          <w:sz w:val="24"/>
          <w:szCs w:val="24"/>
          <w:lang w:eastAsia="zh-CN"/>
        </w:rPr>
        <w:t>2026</w:t>
      </w:r>
      <w:r>
        <w:rPr>
          <w:rFonts w:hint="eastAsia" w:ascii="仿宋" w:hAnsi="仿宋" w:eastAsia="仿宋" w:cs="仿宋"/>
          <w:color w:val="auto"/>
          <w:sz w:val="24"/>
          <w:szCs w:val="24"/>
        </w:rPr>
        <w:t>年</w:t>
      </w:r>
      <w:r>
        <w:rPr>
          <w:rFonts w:hint="eastAsia" w:ascii="仿宋" w:hAnsi="仿宋" w:eastAsia="仿宋" w:cs="仿宋"/>
          <w:color w:val="auto"/>
          <w:sz w:val="24"/>
          <w:szCs w:val="24"/>
          <w:lang w:val="en-US" w:eastAsia="zh-CN"/>
        </w:rPr>
        <w:t xml:space="preserve">   </w:t>
      </w:r>
      <w:r>
        <w:rPr>
          <w:rFonts w:hint="eastAsia" w:ascii="仿宋" w:hAnsi="仿宋" w:eastAsia="仿宋" w:cs="仿宋"/>
          <w:color w:val="auto"/>
          <w:sz w:val="24"/>
          <w:szCs w:val="24"/>
        </w:rPr>
        <w:t>月</w:t>
      </w:r>
      <w:r>
        <w:rPr>
          <w:rFonts w:hint="eastAsia" w:ascii="仿宋" w:hAnsi="仿宋" w:eastAsia="仿宋" w:cs="仿宋"/>
          <w:color w:val="auto"/>
          <w:sz w:val="24"/>
          <w:szCs w:val="24"/>
          <w:lang w:val="en-US" w:eastAsia="zh-CN"/>
        </w:rPr>
        <w:t xml:space="preserve">  </w:t>
      </w:r>
      <w:r>
        <w:rPr>
          <w:rFonts w:hint="eastAsia" w:ascii="仿宋" w:hAnsi="仿宋" w:eastAsia="仿宋" w:cs="仿宋"/>
          <w:color w:val="auto"/>
          <w:sz w:val="24"/>
          <w:szCs w:val="24"/>
        </w:rPr>
        <w:t>日在行采家网（https://www.gec12</w:t>
      </w:r>
      <w:r>
        <w:rPr>
          <w:rFonts w:hint="eastAsia" w:ascii="仿宋" w:hAnsi="仿宋" w:eastAsia="仿宋" w:cs="仿宋"/>
          <w:color w:val="auto"/>
          <w:sz w:val="24"/>
          <w:szCs w:val="24"/>
          <w:lang w:val="en-US" w:eastAsia="zh-CN"/>
        </w:rPr>
        <w:t>3</w:t>
      </w:r>
      <w:r>
        <w:rPr>
          <w:rFonts w:hint="eastAsia" w:ascii="仿宋" w:hAnsi="仿宋" w:eastAsia="仿宋" w:cs="仿宋"/>
          <w:color w:val="auto"/>
          <w:sz w:val="24"/>
          <w:szCs w:val="24"/>
        </w:rPr>
        <w:t>.com/）发布。</w:t>
      </w:r>
    </w:p>
    <w:p w14:paraId="75D9757B">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供应商需通过行采家网（https://www.gec12</w:t>
      </w:r>
      <w:r>
        <w:rPr>
          <w:rFonts w:hint="eastAsia" w:ascii="仿宋" w:hAnsi="仿宋" w:eastAsia="仿宋" w:cs="仿宋"/>
          <w:color w:val="auto"/>
          <w:sz w:val="24"/>
          <w:szCs w:val="24"/>
          <w:lang w:val="en-US" w:eastAsia="zh-CN"/>
        </w:rPr>
        <w:t>3</w:t>
      </w:r>
      <w:r>
        <w:rPr>
          <w:rFonts w:hint="eastAsia" w:ascii="仿宋" w:hAnsi="仿宋" w:eastAsia="仿宋" w:cs="仿宋"/>
          <w:color w:val="auto"/>
          <w:sz w:val="24"/>
          <w:szCs w:val="24"/>
        </w:rPr>
        <w:t>.com/）在“供应商库”进行注册，成为正式供应商方能参与采购活动。</w:t>
      </w:r>
    </w:p>
    <w:p w14:paraId="4C5F5428">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（二）</w:t>
      </w:r>
      <w:r>
        <w:rPr>
          <w:rFonts w:hint="eastAsia" w:ascii="仿宋" w:hAnsi="仿宋" w:eastAsia="仿宋" w:cs="仿宋"/>
          <w:color w:val="auto"/>
          <w:sz w:val="24"/>
          <w:szCs w:val="24"/>
          <w:lang w:eastAsia="zh-CN"/>
        </w:rPr>
        <w:t>采购公告</w:t>
      </w:r>
      <w:r>
        <w:rPr>
          <w:rFonts w:hint="eastAsia" w:ascii="仿宋" w:hAnsi="仿宋" w:eastAsia="仿宋" w:cs="仿宋"/>
          <w:color w:val="auto"/>
          <w:sz w:val="24"/>
          <w:szCs w:val="24"/>
        </w:rPr>
        <w:t>期限：自采购公告发布之日起</w:t>
      </w:r>
      <w:r>
        <w:rPr>
          <w:rFonts w:hint="eastAsia" w:ascii="仿宋" w:hAnsi="仿宋" w:eastAsia="仿宋" w:cs="仿宋"/>
          <w:color w:val="auto"/>
          <w:sz w:val="24"/>
          <w:szCs w:val="24"/>
          <w:lang w:eastAsia="zh-CN"/>
        </w:rPr>
        <w:t>三</w:t>
      </w:r>
      <w:r>
        <w:rPr>
          <w:rFonts w:hint="eastAsia" w:ascii="仿宋" w:hAnsi="仿宋" w:eastAsia="仿宋" w:cs="仿宋"/>
          <w:color w:val="auto"/>
          <w:sz w:val="24"/>
          <w:szCs w:val="24"/>
        </w:rPr>
        <w:t>个工作日。</w:t>
      </w:r>
    </w:p>
    <w:p w14:paraId="0B06CF23">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（三） 报名和递交投标文件时间、地点</w:t>
      </w:r>
    </w:p>
    <w:p w14:paraId="200E42A0">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1.</w:t>
      </w:r>
      <w:r>
        <w:rPr>
          <w:rFonts w:hint="eastAsia" w:ascii="仿宋" w:hAnsi="仿宋" w:eastAsia="仿宋" w:cs="仿宋"/>
          <w:color w:val="auto"/>
          <w:sz w:val="24"/>
          <w:szCs w:val="24"/>
          <w:lang w:val="en-US" w:eastAsia="zh-CN"/>
        </w:rPr>
        <w:t>请于2026年    月   日至2026年   月  日 17时前，将报名资料（发售登记表）加盖单位公章扫描后，发送至260050530@qq.com。</w:t>
      </w:r>
    </w:p>
    <w:p w14:paraId="0A5A9F83">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售价：人民币500元/</w:t>
      </w:r>
      <w:r>
        <w:rPr>
          <w:rFonts w:hint="eastAsia" w:ascii="仿宋" w:hAnsi="仿宋" w:eastAsia="仿宋" w:cs="仿宋"/>
          <w:color w:val="auto"/>
          <w:sz w:val="24"/>
          <w:szCs w:val="24"/>
          <w:lang w:val="en-US" w:eastAsia="zh-CN"/>
        </w:rPr>
        <w:t>每分包</w:t>
      </w:r>
      <w:r>
        <w:rPr>
          <w:rFonts w:hint="eastAsia" w:ascii="仿宋" w:hAnsi="仿宋" w:eastAsia="仿宋" w:cs="仿宋"/>
          <w:color w:val="auto"/>
          <w:sz w:val="24"/>
          <w:szCs w:val="24"/>
        </w:rPr>
        <w:t>（售后不退）</w:t>
      </w:r>
    </w:p>
    <w:p w14:paraId="2BA99C92">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注：在规定的报名时间内，将报名表发送至指定邮箱的供应商，其报名和响应文件才能被接收。</w:t>
      </w:r>
    </w:p>
    <w:p w14:paraId="2B931741">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3.线上报名</w:t>
      </w:r>
    </w:p>
    <w:p w14:paraId="2E81579B">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3.1线上报名起止时间：公告发布后即可报名至2026年  月   日17时00分（北京时间）。</w:t>
      </w:r>
    </w:p>
    <w:p w14:paraId="77344CAE">
      <w:pPr>
        <w:spacing w:line="360" w:lineRule="auto"/>
        <w:ind w:firstLine="480" w:firstLineChars="200"/>
        <w:rPr>
          <w:rFonts w:hint="eastAsia" w:ascii="仿宋" w:hAnsi="仿宋" w:eastAsia="仿宋" w:cs="仿宋"/>
          <w:color w:val="auto"/>
          <w:sz w:val="24"/>
          <w:szCs w:val="24"/>
          <w:lang w:val="en-US" w:eastAsia="zh-CN"/>
        </w:rPr>
      </w:pPr>
      <w:bookmarkStart w:id="18" w:name="_Toc4625"/>
      <w:bookmarkStart w:id="19" w:name="_Toc15591"/>
      <w:bookmarkStart w:id="20" w:name="_Toc11459"/>
      <w:bookmarkStart w:id="21" w:name="_Toc16654"/>
      <w:r>
        <w:rPr>
          <w:rFonts w:hint="eastAsia" w:ascii="仿宋" w:hAnsi="仿宋" w:eastAsia="仿宋" w:cs="仿宋"/>
          <w:color w:val="auto"/>
          <w:sz w:val="24"/>
          <w:szCs w:val="24"/>
          <w:lang w:val="en-US" w:eastAsia="zh-CN"/>
        </w:rPr>
        <w:t>3.2线上报价要求：</w:t>
      </w:r>
      <w:bookmarkEnd w:id="18"/>
      <w:bookmarkEnd w:id="19"/>
      <w:bookmarkEnd w:id="20"/>
      <w:r>
        <w:rPr>
          <w:rFonts w:hint="eastAsia" w:ascii="仿宋" w:hAnsi="仿宋" w:eastAsia="仿宋" w:cs="仿宋"/>
          <w:color w:val="auto"/>
          <w:sz w:val="24"/>
          <w:szCs w:val="24"/>
          <w:lang w:val="en-US" w:eastAsia="zh-CN"/>
        </w:rPr>
        <w:t>按本项目规定的时间在“行采家（https://www.gec123.com/）”进行网上报价，未在规定时间内报价的投标人不具备竞标资格；报价时须上传盖章后的响应文件正本扫描件一份。</w:t>
      </w:r>
    </w:p>
    <w:p w14:paraId="56D1BFA4">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注：线上报价时，按平台要求进行报价和上传投标文件，平台会收取相应的平台保证金，平台保证金收取及退还相关问题请各潜在投标人报价前自行咨询平台客服，此费用与投标保证金无关。</w:t>
      </w:r>
    </w:p>
    <w:p w14:paraId="58F4A502">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4.线下投标</w:t>
      </w:r>
    </w:p>
    <w:p w14:paraId="599E0948">
      <w:pPr>
        <w:spacing w:line="360" w:lineRule="auto"/>
        <w:ind w:firstLine="480" w:firstLineChars="200"/>
        <w:rPr>
          <w:rFonts w:hint="eastAsia" w:ascii="仿宋" w:hAnsi="仿宋" w:eastAsia="仿宋" w:cs="仿宋"/>
          <w:color w:val="auto"/>
          <w:sz w:val="24"/>
          <w:szCs w:val="24"/>
          <w:lang w:val="en-US" w:eastAsia="zh-CN"/>
        </w:rPr>
      </w:pPr>
      <w:bookmarkStart w:id="22" w:name="_Toc24480"/>
      <w:bookmarkStart w:id="23" w:name="_Toc25543"/>
      <w:bookmarkStart w:id="24" w:name="_Toc17982"/>
      <w:r>
        <w:rPr>
          <w:rFonts w:hint="eastAsia" w:ascii="仿宋" w:hAnsi="仿宋" w:eastAsia="仿宋" w:cs="仿宋"/>
          <w:color w:val="auto"/>
          <w:sz w:val="24"/>
          <w:szCs w:val="24"/>
          <w:lang w:val="en-US" w:eastAsia="zh-CN"/>
        </w:rPr>
        <w:t>4.1线下递交投标文件开始时间：2026年  月   日9 时00分（北京时间）</w:t>
      </w:r>
      <w:bookmarkEnd w:id="21"/>
      <w:r>
        <w:rPr>
          <w:rFonts w:hint="eastAsia" w:ascii="仿宋" w:hAnsi="仿宋" w:eastAsia="仿宋" w:cs="仿宋"/>
          <w:color w:val="auto"/>
          <w:sz w:val="24"/>
          <w:szCs w:val="24"/>
          <w:lang w:val="en-US" w:eastAsia="zh-CN"/>
        </w:rPr>
        <w:t>。</w:t>
      </w:r>
      <w:bookmarkEnd w:id="22"/>
      <w:bookmarkEnd w:id="23"/>
      <w:bookmarkEnd w:id="24"/>
    </w:p>
    <w:p w14:paraId="0F3677C6">
      <w:pPr>
        <w:spacing w:line="360" w:lineRule="auto"/>
        <w:ind w:firstLine="480" w:firstLineChars="200"/>
        <w:rPr>
          <w:rFonts w:hint="eastAsia" w:ascii="仿宋" w:hAnsi="仿宋" w:eastAsia="仿宋" w:cs="仿宋"/>
          <w:color w:val="auto"/>
          <w:sz w:val="24"/>
          <w:szCs w:val="24"/>
          <w:lang w:val="en-US" w:eastAsia="zh-CN"/>
        </w:rPr>
      </w:pPr>
      <w:bookmarkStart w:id="25" w:name="_Toc14504"/>
      <w:bookmarkStart w:id="26" w:name="_Toc15349"/>
      <w:bookmarkStart w:id="27" w:name="_Toc29361"/>
      <w:bookmarkStart w:id="28" w:name="_Toc535"/>
      <w:r>
        <w:rPr>
          <w:rFonts w:hint="eastAsia" w:ascii="仿宋" w:hAnsi="仿宋" w:eastAsia="仿宋" w:cs="仿宋"/>
          <w:color w:val="auto"/>
          <w:sz w:val="24"/>
          <w:szCs w:val="24"/>
          <w:lang w:val="en-US" w:eastAsia="zh-CN"/>
        </w:rPr>
        <w:t>4.2线下递交投标文件截止时间：2026年    月   日9时30分（北京时间）。</w:t>
      </w:r>
      <w:bookmarkEnd w:id="25"/>
      <w:bookmarkEnd w:id="26"/>
      <w:bookmarkEnd w:id="27"/>
      <w:bookmarkEnd w:id="28"/>
    </w:p>
    <w:p w14:paraId="7D2EFD14">
      <w:pPr>
        <w:spacing w:line="360" w:lineRule="auto"/>
        <w:ind w:firstLine="480" w:firstLineChars="200"/>
        <w:rPr>
          <w:rFonts w:hint="eastAsia" w:ascii="仿宋" w:hAnsi="仿宋" w:eastAsia="仿宋" w:cs="仿宋"/>
          <w:color w:val="auto"/>
          <w:sz w:val="24"/>
          <w:szCs w:val="24"/>
          <w:lang w:val="en-US" w:eastAsia="zh-CN"/>
        </w:rPr>
      </w:pPr>
      <w:bookmarkStart w:id="29" w:name="_Toc22533"/>
      <w:bookmarkStart w:id="30" w:name="_Toc2154"/>
      <w:bookmarkStart w:id="31" w:name="_Toc10721"/>
      <w:bookmarkStart w:id="32" w:name="_Toc21759"/>
      <w:r>
        <w:rPr>
          <w:rFonts w:hint="eastAsia" w:ascii="仿宋" w:hAnsi="仿宋" w:eastAsia="仿宋" w:cs="仿宋"/>
          <w:color w:val="auto"/>
          <w:sz w:val="24"/>
          <w:szCs w:val="24"/>
          <w:lang w:val="en-US" w:eastAsia="zh-CN"/>
        </w:rPr>
        <w:t>4.3线下开标时间：2026年   月    日9时30分（北京时间）。</w:t>
      </w:r>
      <w:bookmarkEnd w:id="29"/>
      <w:bookmarkEnd w:id="30"/>
      <w:bookmarkEnd w:id="31"/>
      <w:bookmarkEnd w:id="32"/>
    </w:p>
    <w:p w14:paraId="0BC80AF3">
      <w:pPr>
        <w:spacing w:line="360" w:lineRule="auto"/>
        <w:ind w:firstLine="480" w:firstLineChars="200"/>
        <w:rPr>
          <w:rFonts w:hint="eastAsia" w:ascii="仿宋" w:hAnsi="仿宋" w:eastAsia="仿宋" w:cs="仿宋"/>
          <w:color w:val="auto"/>
          <w:sz w:val="24"/>
          <w:szCs w:val="24"/>
          <w:lang w:val="en-US" w:eastAsia="zh-CN"/>
        </w:rPr>
      </w:pPr>
      <w:bookmarkStart w:id="33" w:name="_Toc12770"/>
      <w:bookmarkStart w:id="34" w:name="_Toc10990"/>
      <w:bookmarkStart w:id="35" w:name="_Toc30776"/>
      <w:bookmarkStart w:id="36" w:name="_Toc27602"/>
      <w:r>
        <w:rPr>
          <w:rFonts w:hint="eastAsia" w:ascii="仿宋" w:hAnsi="仿宋" w:eastAsia="仿宋" w:cs="仿宋"/>
          <w:color w:val="auto"/>
          <w:sz w:val="24"/>
          <w:szCs w:val="24"/>
          <w:lang w:val="en-US" w:eastAsia="zh-CN"/>
        </w:rPr>
        <w:t>4.4线下投标和开标地点：</w:t>
      </w:r>
      <w:bookmarkEnd w:id="33"/>
      <w:bookmarkEnd w:id="34"/>
      <w:bookmarkEnd w:id="35"/>
      <w:bookmarkEnd w:id="36"/>
      <w:r>
        <w:rPr>
          <w:rFonts w:hint="eastAsia" w:ascii="仿宋" w:hAnsi="仿宋" w:eastAsia="仿宋" w:cs="仿宋"/>
          <w:color w:val="auto"/>
          <w:sz w:val="24"/>
          <w:szCs w:val="24"/>
          <w:lang w:val="en-US" w:eastAsia="zh-CN"/>
        </w:rPr>
        <w:t>重庆市大足区豪洋名居1号门旁</w:t>
      </w:r>
    </w:p>
    <w:p w14:paraId="4B847AFC">
      <w:pPr>
        <w:spacing w:line="360" w:lineRule="auto"/>
        <w:ind w:firstLine="480" w:firstLineChars="200"/>
        <w:rPr>
          <w:rFonts w:hint="eastAsia" w:ascii="仿宋" w:hAnsi="仿宋" w:eastAsia="仿宋" w:cs="仿宋"/>
          <w:color w:val="auto"/>
          <w:sz w:val="24"/>
          <w:szCs w:val="24"/>
          <w:lang w:val="en-US" w:eastAsia="zh-CN"/>
        </w:rPr>
      </w:pPr>
      <w:bookmarkStart w:id="37" w:name="_Toc6579"/>
      <w:bookmarkStart w:id="38" w:name="_Toc26863"/>
      <w:bookmarkStart w:id="39" w:name="_Toc29851"/>
      <w:bookmarkStart w:id="40" w:name="_Toc12131"/>
      <w:r>
        <w:rPr>
          <w:rFonts w:hint="eastAsia" w:ascii="仿宋" w:hAnsi="仿宋" w:eastAsia="仿宋" w:cs="仿宋"/>
          <w:color w:val="auto"/>
          <w:sz w:val="24"/>
          <w:szCs w:val="24"/>
          <w:lang w:val="en-US" w:eastAsia="zh-CN"/>
        </w:rPr>
        <w:t>逾期送达的、未送达指定地点的或者不按照招标文件要求密封的投标文件，招标人将予以拒收。</w:t>
      </w:r>
      <w:bookmarkEnd w:id="37"/>
      <w:bookmarkEnd w:id="38"/>
      <w:bookmarkEnd w:id="39"/>
      <w:bookmarkEnd w:id="40"/>
    </w:p>
    <w:p w14:paraId="59A0573D">
      <w:pPr>
        <w:pStyle w:val="5"/>
        <w:spacing w:before="120" w:beforeLines="50" w:after="120" w:afterLines="50" w:line="360" w:lineRule="auto"/>
        <w:ind w:firstLine="241" w:firstLineChars="100"/>
        <w:rPr>
          <w:rFonts w:hint="eastAsia" w:ascii="仿宋" w:hAnsi="仿宋" w:eastAsia="仿宋" w:cs="仿宋"/>
          <w:b/>
          <w:color w:val="auto"/>
          <w:sz w:val="24"/>
          <w:szCs w:val="24"/>
          <w:lang w:val="en-US" w:eastAsia="zh-CN"/>
        </w:rPr>
      </w:pPr>
      <w:r>
        <w:rPr>
          <w:rFonts w:hint="eastAsia" w:ascii="仿宋" w:hAnsi="仿宋" w:eastAsia="仿宋" w:cs="仿宋"/>
          <w:b/>
          <w:color w:val="auto"/>
          <w:sz w:val="24"/>
          <w:szCs w:val="24"/>
          <w:lang w:val="en-US" w:eastAsia="zh-CN"/>
        </w:rPr>
        <w:t xml:space="preserve"> </w:t>
      </w:r>
      <w:bookmarkStart w:id="41" w:name="_Toc8514"/>
      <w:bookmarkStart w:id="42" w:name="_Toc19355"/>
      <w:bookmarkStart w:id="43" w:name="_Toc25529"/>
      <w:r>
        <w:rPr>
          <w:rFonts w:hint="eastAsia" w:ascii="仿宋" w:hAnsi="仿宋" w:eastAsia="仿宋" w:cs="仿宋"/>
          <w:b/>
          <w:color w:val="auto"/>
          <w:sz w:val="24"/>
          <w:szCs w:val="24"/>
          <w:lang w:val="en-US" w:eastAsia="zh-CN"/>
        </w:rPr>
        <w:t>五、询比保证金</w:t>
      </w:r>
      <w:bookmarkEnd w:id="41"/>
      <w:bookmarkEnd w:id="42"/>
      <w:bookmarkEnd w:id="43"/>
    </w:p>
    <w:bookmarkEnd w:id="17"/>
    <w:p w14:paraId="62D55BC5">
      <w:pPr>
        <w:pStyle w:val="14"/>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360" w:lineRule="auto"/>
        <w:ind w:left="0" w:right="0" w:firstLine="640"/>
        <w:jc w:val="left"/>
        <w:rPr>
          <w:rFonts w:hint="default" w:ascii="仿宋" w:hAnsi="仿宋" w:eastAsia="仿宋" w:cs="仿宋"/>
          <w:color w:val="auto"/>
          <w:kern w:val="2"/>
          <w:sz w:val="24"/>
          <w:szCs w:val="24"/>
          <w:lang w:val="en-US" w:eastAsia="zh-CN" w:bidi="ar-SA"/>
        </w:rPr>
      </w:pPr>
      <w:bookmarkStart w:id="44" w:name="_Toc531184287"/>
      <w:r>
        <w:rPr>
          <w:rFonts w:hint="eastAsia" w:ascii="仿宋" w:hAnsi="仿宋" w:eastAsia="仿宋" w:cs="仿宋"/>
          <w:color w:val="auto"/>
          <w:kern w:val="2"/>
          <w:sz w:val="24"/>
          <w:szCs w:val="24"/>
          <w:lang w:val="en-US" w:eastAsia="zh-CN" w:bidi="ar-SA"/>
        </w:rPr>
        <w:t>本项目不设置投标保证金。</w:t>
      </w:r>
    </w:p>
    <w:p w14:paraId="3BF0A8A3">
      <w:pPr>
        <w:pStyle w:val="4"/>
        <w:spacing w:before="48" w:after="48" w:line="360" w:lineRule="auto"/>
        <w:ind w:firstLine="422"/>
        <w:rPr>
          <w:rFonts w:hint="eastAsia" w:ascii="仿宋" w:hAnsi="仿宋" w:eastAsia="仿宋" w:cs="仿宋"/>
          <w:b/>
          <w:color w:val="auto"/>
          <w:kern w:val="2"/>
          <w:sz w:val="24"/>
          <w:szCs w:val="24"/>
          <w:lang w:val="en-US" w:eastAsia="zh-CN" w:bidi="ar-SA"/>
        </w:rPr>
      </w:pPr>
      <w:bookmarkStart w:id="45" w:name="_Toc6633"/>
      <w:r>
        <w:rPr>
          <w:rFonts w:hint="eastAsia" w:ascii="仿宋" w:hAnsi="仿宋" w:eastAsia="仿宋" w:cs="仿宋"/>
          <w:b/>
          <w:color w:val="auto"/>
          <w:kern w:val="2"/>
          <w:sz w:val="24"/>
          <w:szCs w:val="24"/>
          <w:lang w:val="en-US" w:eastAsia="zh-CN" w:bidi="ar-SA"/>
        </w:rPr>
        <w:t>六、投标有关规定</w:t>
      </w:r>
      <w:bookmarkEnd w:id="44"/>
      <w:bookmarkEnd w:id="45"/>
    </w:p>
    <w:p w14:paraId="6411BE35">
      <w:pPr>
        <w:spacing w:line="360" w:lineRule="auto"/>
        <w:ind w:firstLine="480" w:firstLineChars="200"/>
        <w:rPr>
          <w:rFonts w:hint="eastAsia" w:ascii="仿宋" w:hAnsi="仿宋" w:eastAsia="仿宋" w:cs="仿宋"/>
          <w:color w:val="auto"/>
          <w:sz w:val="24"/>
          <w:szCs w:val="24"/>
          <w:lang w:val="en-US" w:eastAsia="zh-CN"/>
        </w:rPr>
      </w:pPr>
      <w:bookmarkStart w:id="46" w:name="_Toc474603910"/>
      <w:bookmarkStart w:id="47" w:name="_Toc531184289"/>
      <w:bookmarkStart w:id="48" w:name="_Toc17427"/>
      <w:r>
        <w:rPr>
          <w:rFonts w:hint="eastAsia" w:ascii="仿宋" w:hAnsi="仿宋" w:eastAsia="仿宋" w:cs="仿宋"/>
          <w:color w:val="auto"/>
          <w:sz w:val="24"/>
          <w:szCs w:val="24"/>
          <w:lang w:val="en-US" w:eastAsia="zh-CN"/>
        </w:rPr>
        <w:t>（一）单位负责人为同一人或者存在直接控股、管理关系的不同供应商，不得参加同一合同项（分包）下的政府采购活动，否则均为无效响应。</w:t>
      </w:r>
    </w:p>
    <w:p w14:paraId="31D4D84C">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（二）为采购项目提供整体设计、规范编制或者项目管理、监理、检测等服务的供应商，不得再参加该采购项目的其他采购活动。</w:t>
      </w:r>
    </w:p>
    <w:p w14:paraId="07F7A534">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（三）本项目的补遗文件（如果有）一律在行采家网上发布，请各投标人注意下载或到采购代理机构领取；无论投标人下载或领取与否，均视同投标人已知晓本项目补遗文件的内容。</w:t>
      </w:r>
    </w:p>
    <w:p w14:paraId="7781364F">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（四）超过响应文件截止时间递交的响应文件，恕不接收。</w:t>
      </w:r>
    </w:p>
    <w:p w14:paraId="0BF9315E">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（五）询比费用：无论询比结果如何，供应商参与本项目询比的所有费用均应由供应商自行承担。</w:t>
      </w:r>
    </w:p>
    <w:p w14:paraId="59E2B07B">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（六）列入失信被执行人、重大税收违法案件当事人名单、政府采购严重违法失信行为记录名单等及其他不符合《中华人民共和国政府采购法》第二十二条规定条件的供应商，将拒绝其参与政府采购活动。</w:t>
      </w:r>
    </w:p>
    <w:p w14:paraId="32451731">
      <w:pPr>
        <w:pStyle w:val="4"/>
        <w:spacing w:before="48" w:after="48" w:line="360" w:lineRule="auto"/>
        <w:ind w:firstLine="422"/>
        <w:rPr>
          <w:rFonts w:hint="eastAsia" w:ascii="仿宋" w:hAnsi="仿宋" w:eastAsia="仿宋" w:cs="仿宋"/>
          <w:b/>
          <w:color w:val="auto"/>
          <w:sz w:val="24"/>
          <w:szCs w:val="24"/>
        </w:rPr>
      </w:pPr>
      <w:bookmarkStart w:id="49" w:name="_Toc17442"/>
      <w:r>
        <w:rPr>
          <w:rFonts w:hint="eastAsia" w:ascii="仿宋" w:hAnsi="仿宋" w:eastAsia="仿宋" w:cs="仿宋"/>
          <w:b/>
          <w:color w:val="auto"/>
          <w:sz w:val="24"/>
          <w:szCs w:val="24"/>
          <w:lang w:eastAsia="zh-CN"/>
        </w:rPr>
        <w:t>七</w:t>
      </w:r>
      <w:r>
        <w:rPr>
          <w:rFonts w:hint="eastAsia" w:ascii="仿宋" w:hAnsi="仿宋" w:eastAsia="仿宋" w:cs="仿宋"/>
          <w:b/>
          <w:color w:val="auto"/>
          <w:sz w:val="24"/>
          <w:szCs w:val="24"/>
        </w:rPr>
        <w:t>、联系方式</w:t>
      </w:r>
      <w:bookmarkEnd w:id="46"/>
      <w:bookmarkEnd w:id="47"/>
      <w:bookmarkEnd w:id="48"/>
      <w:bookmarkEnd w:id="49"/>
    </w:p>
    <w:p w14:paraId="4AA9C200">
      <w:pPr>
        <w:spacing w:line="360" w:lineRule="auto"/>
        <w:ind w:firstLine="482"/>
        <w:rPr>
          <w:rFonts w:hint="eastAsia" w:ascii="仿宋" w:hAnsi="仿宋" w:eastAsia="仿宋" w:cs="仿宋"/>
          <w:color w:val="auto"/>
          <w:sz w:val="24"/>
          <w:szCs w:val="24"/>
          <w:lang w:eastAsia="zh-CN"/>
        </w:rPr>
      </w:pPr>
      <w:r>
        <w:rPr>
          <w:rFonts w:hint="eastAsia" w:ascii="仿宋" w:hAnsi="仿宋" w:eastAsia="仿宋" w:cs="仿宋"/>
          <w:color w:val="auto"/>
          <w:sz w:val="24"/>
          <w:szCs w:val="24"/>
        </w:rPr>
        <w:t>（一）采购人：</w:t>
      </w:r>
      <w:r>
        <w:rPr>
          <w:rFonts w:hint="eastAsia" w:ascii="仿宋" w:hAnsi="仿宋" w:eastAsia="仿宋" w:cs="仿宋"/>
          <w:color w:val="auto"/>
          <w:sz w:val="24"/>
          <w:szCs w:val="24"/>
          <w:lang w:eastAsia="zh-CN"/>
        </w:rPr>
        <w:t>重庆大足石刻国际文化旅游集团有限公司</w:t>
      </w:r>
    </w:p>
    <w:p w14:paraId="5211EADE">
      <w:pPr>
        <w:spacing w:line="360" w:lineRule="auto"/>
        <w:ind w:firstLine="482"/>
        <w:rPr>
          <w:rFonts w:hint="eastAsia" w:ascii="仿宋" w:hAnsi="仿宋" w:eastAsia="仿宋" w:cs="仿宋"/>
          <w:color w:val="auto"/>
          <w:sz w:val="24"/>
          <w:szCs w:val="24"/>
        </w:rPr>
      </w:pPr>
      <w:r>
        <w:rPr>
          <w:rFonts w:hint="eastAsia" w:ascii="仿宋" w:hAnsi="仿宋" w:eastAsia="仿宋" w:cs="仿宋"/>
          <w:color w:val="auto"/>
          <w:sz w:val="24"/>
          <w:szCs w:val="24"/>
        </w:rPr>
        <w:t>联系人：</w:t>
      </w:r>
      <w:r>
        <w:rPr>
          <w:rFonts w:hint="eastAsia" w:ascii="仿宋" w:hAnsi="仿宋" w:eastAsia="仿宋" w:cs="仿宋"/>
          <w:color w:val="auto"/>
          <w:sz w:val="24"/>
          <w:szCs w:val="24"/>
          <w:lang w:eastAsia="zh-CN"/>
        </w:rPr>
        <w:t>杜</w:t>
      </w:r>
      <w:r>
        <w:rPr>
          <w:rFonts w:hint="eastAsia" w:ascii="仿宋" w:hAnsi="仿宋" w:eastAsia="仿宋" w:cs="仿宋"/>
          <w:color w:val="auto"/>
          <w:sz w:val="24"/>
          <w:szCs w:val="24"/>
          <w:lang w:val="en-US" w:eastAsia="zh-CN"/>
        </w:rPr>
        <w:t>老师</w:t>
      </w:r>
      <w:r>
        <w:rPr>
          <w:rFonts w:hint="eastAsia" w:ascii="仿宋" w:hAnsi="仿宋" w:eastAsia="仿宋" w:cs="仿宋"/>
          <w:color w:val="auto"/>
          <w:sz w:val="24"/>
          <w:szCs w:val="24"/>
        </w:rPr>
        <w:t xml:space="preserve">  </w:t>
      </w:r>
    </w:p>
    <w:p w14:paraId="5299EE97">
      <w:pPr>
        <w:spacing w:line="360" w:lineRule="auto"/>
        <w:ind w:firstLine="482"/>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rPr>
        <w:t>电  话：</w:t>
      </w:r>
      <w:r>
        <w:rPr>
          <w:rFonts w:hint="eastAsia" w:ascii="仿宋" w:hAnsi="仿宋" w:eastAsia="仿宋" w:cs="仿宋"/>
          <w:color w:val="auto"/>
          <w:sz w:val="24"/>
          <w:szCs w:val="24"/>
          <w:lang w:val="en-US" w:eastAsia="zh-CN"/>
        </w:rPr>
        <w:t>13650560343</w:t>
      </w:r>
    </w:p>
    <w:p w14:paraId="2159712E">
      <w:pPr>
        <w:spacing w:line="360" w:lineRule="auto"/>
        <w:ind w:firstLine="482"/>
        <w:rPr>
          <w:rFonts w:hint="eastAsia" w:ascii="仿宋" w:hAnsi="仿宋" w:eastAsia="仿宋" w:cs="仿宋"/>
          <w:color w:val="auto"/>
          <w:sz w:val="24"/>
          <w:szCs w:val="24"/>
        </w:rPr>
      </w:pPr>
      <w:r>
        <w:rPr>
          <w:rFonts w:hint="eastAsia" w:ascii="仿宋" w:hAnsi="仿宋" w:eastAsia="仿宋" w:cs="仿宋"/>
          <w:color w:val="auto"/>
          <w:sz w:val="24"/>
          <w:szCs w:val="24"/>
        </w:rPr>
        <w:t>联系地址：重庆市大足区棠香街道大铜路污水处理厂内</w:t>
      </w:r>
    </w:p>
    <w:p w14:paraId="6EA48918">
      <w:pPr>
        <w:spacing w:line="360" w:lineRule="auto"/>
        <w:ind w:firstLine="480" w:firstLineChars="200"/>
        <w:rPr>
          <w:rFonts w:hint="eastAsia" w:ascii="仿宋" w:hAnsi="仿宋" w:eastAsia="仿宋" w:cs="仿宋"/>
          <w:color w:val="auto"/>
          <w:sz w:val="24"/>
          <w:szCs w:val="24"/>
          <w:lang w:eastAsia="zh-CN"/>
        </w:rPr>
      </w:pPr>
      <w:r>
        <w:rPr>
          <w:rFonts w:hint="eastAsia" w:ascii="仿宋" w:hAnsi="仿宋" w:eastAsia="仿宋" w:cs="仿宋"/>
          <w:color w:val="auto"/>
          <w:sz w:val="24"/>
          <w:szCs w:val="24"/>
        </w:rPr>
        <w:t>（二）采购代理机构：</w:t>
      </w:r>
      <w:r>
        <w:rPr>
          <w:rFonts w:hint="eastAsia" w:ascii="仿宋" w:hAnsi="仿宋" w:eastAsia="仿宋" w:cs="仿宋"/>
          <w:color w:val="auto"/>
          <w:sz w:val="24"/>
          <w:szCs w:val="24"/>
          <w:lang w:val="en-US" w:eastAsia="zh-CN"/>
        </w:rPr>
        <w:t>重庆修为工程咨询有限公司</w:t>
      </w:r>
    </w:p>
    <w:p w14:paraId="2D656AD3">
      <w:pPr>
        <w:spacing w:line="360" w:lineRule="auto"/>
        <w:ind w:firstLine="480" w:firstLineChars="200"/>
        <w:rPr>
          <w:rFonts w:hint="eastAsia" w:ascii="仿宋" w:hAnsi="仿宋" w:eastAsia="仿宋" w:cs="仿宋"/>
          <w:color w:val="auto"/>
          <w:sz w:val="24"/>
          <w:szCs w:val="24"/>
          <w:lang w:eastAsia="zh-CN"/>
        </w:rPr>
      </w:pPr>
      <w:r>
        <w:rPr>
          <w:rFonts w:hint="eastAsia" w:ascii="仿宋" w:hAnsi="仿宋" w:eastAsia="仿宋" w:cs="仿宋"/>
          <w:color w:val="auto"/>
          <w:sz w:val="24"/>
          <w:szCs w:val="24"/>
        </w:rPr>
        <w:t>联系人：</w:t>
      </w:r>
      <w:r>
        <w:rPr>
          <w:rFonts w:hint="eastAsia" w:ascii="仿宋" w:hAnsi="仿宋" w:eastAsia="仿宋" w:cs="仿宋"/>
          <w:color w:val="auto"/>
          <w:sz w:val="24"/>
          <w:szCs w:val="24"/>
          <w:lang w:eastAsia="zh-CN"/>
        </w:rPr>
        <w:t>李老师</w:t>
      </w:r>
    </w:p>
    <w:p w14:paraId="1B8824A1">
      <w:pPr>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电  话：18375669701</w:t>
      </w:r>
    </w:p>
    <w:p w14:paraId="2D1A58F0">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地  址：重庆市两江新区天宫殿街道财富大道2号28-7</w:t>
      </w:r>
    </w:p>
    <w:p w14:paraId="064E9443">
      <w:pPr>
        <w:pStyle w:val="4"/>
        <w:spacing w:line="360" w:lineRule="auto"/>
        <w:jc w:val="center"/>
        <w:rPr>
          <w:rFonts w:hint="eastAsia" w:ascii="仿宋" w:hAnsi="仿宋" w:eastAsia="仿宋" w:cs="仿宋"/>
          <w:b/>
          <w:color w:val="auto"/>
          <w:sz w:val="36"/>
          <w:szCs w:val="30"/>
        </w:rPr>
      </w:pPr>
      <w:r>
        <w:rPr>
          <w:rFonts w:hint="eastAsia" w:ascii="仿宋" w:hAnsi="仿宋" w:eastAsia="仿宋" w:cs="仿宋"/>
          <w:color w:val="auto"/>
          <w:sz w:val="24"/>
          <w:szCs w:val="24"/>
        </w:rPr>
        <w:br w:type="page"/>
      </w:r>
      <w:bookmarkStart w:id="50" w:name="_Toc17308"/>
      <w:r>
        <w:rPr>
          <w:rFonts w:hint="eastAsia" w:ascii="仿宋" w:hAnsi="仿宋" w:eastAsia="仿宋" w:cs="仿宋"/>
          <w:b/>
          <w:color w:val="auto"/>
          <w:sz w:val="36"/>
          <w:szCs w:val="30"/>
          <w:lang w:val="en-US" w:eastAsia="zh-CN"/>
        </w:rPr>
        <w:t>第二篇  项目服务需求</w:t>
      </w:r>
      <w:bookmarkEnd w:id="50"/>
    </w:p>
    <w:p w14:paraId="6AAB39DF">
      <w:pPr>
        <w:pStyle w:val="4"/>
        <w:keepNext/>
        <w:keepLines/>
        <w:pageBreakBefore w:val="0"/>
        <w:widowControl w:val="0"/>
        <w:kinsoku/>
        <w:wordWrap/>
        <w:overflowPunct/>
        <w:topLinePunct w:val="0"/>
        <w:autoSpaceDE/>
        <w:autoSpaceDN/>
        <w:bidi w:val="0"/>
        <w:adjustRightInd w:val="0"/>
        <w:snapToGrid w:val="0"/>
        <w:spacing w:before="0" w:after="0" w:line="480" w:lineRule="exact"/>
        <w:textAlignment w:val="auto"/>
        <w:rPr>
          <w:rFonts w:hint="eastAsia" w:ascii="仿宋" w:hAnsi="仿宋" w:eastAsia="仿宋" w:cs="仿宋"/>
          <w:color w:val="auto"/>
          <w:sz w:val="24"/>
        </w:rPr>
      </w:pPr>
      <w:bookmarkStart w:id="51" w:name="_Toc23219"/>
      <w:bookmarkStart w:id="52" w:name="_Toc8761"/>
      <w:bookmarkStart w:id="53" w:name="_Toc12789058"/>
      <w:r>
        <w:rPr>
          <w:rFonts w:hint="eastAsia" w:ascii="仿宋" w:hAnsi="仿宋" w:eastAsia="仿宋" w:cs="仿宋"/>
          <w:color w:val="auto"/>
          <w:sz w:val="24"/>
        </w:rPr>
        <w:t>一、采购内容</w:t>
      </w:r>
      <w:bookmarkEnd w:id="51"/>
      <w:bookmarkEnd w:id="52"/>
    </w:p>
    <w:p w14:paraId="5E09B5DD">
      <w:pPr>
        <w:pStyle w:val="4"/>
        <w:keepNext/>
        <w:keepLines/>
        <w:pageBreakBefore w:val="0"/>
        <w:widowControl w:val="0"/>
        <w:kinsoku/>
        <w:wordWrap/>
        <w:overflowPunct/>
        <w:topLinePunct w:val="0"/>
        <w:autoSpaceDE/>
        <w:autoSpaceDN/>
        <w:bidi w:val="0"/>
        <w:adjustRightInd w:val="0"/>
        <w:snapToGrid w:val="0"/>
        <w:spacing w:before="0" w:after="0" w:line="480" w:lineRule="exact"/>
        <w:ind w:firstLine="480" w:firstLineChars="200"/>
        <w:textAlignment w:val="auto"/>
        <w:rPr>
          <w:rFonts w:hint="eastAsia" w:ascii="仿宋" w:hAnsi="仿宋" w:eastAsia="仿宋" w:cs="仿宋"/>
          <w:b w:val="0"/>
          <w:color w:val="auto"/>
          <w:kern w:val="2"/>
          <w:sz w:val="24"/>
          <w:szCs w:val="24"/>
          <w:lang w:val="en-US" w:eastAsia="zh-CN" w:bidi="ar-SA"/>
        </w:rPr>
      </w:pPr>
      <w:bookmarkStart w:id="54" w:name="_Toc3395"/>
      <w:r>
        <w:rPr>
          <w:rFonts w:hint="eastAsia" w:ascii="仿宋" w:hAnsi="仿宋" w:eastAsia="仿宋" w:cs="仿宋"/>
          <w:b w:val="0"/>
          <w:color w:val="auto"/>
          <w:kern w:val="2"/>
          <w:sz w:val="24"/>
          <w:szCs w:val="24"/>
          <w:lang w:val="en-US" w:eastAsia="zh-CN" w:bidi="ar-SA"/>
        </w:rPr>
        <w:t>本次采购内容包括文旅集团职工食堂干鲜副食食材配送服务，含干鲜、蛋类、米面油、奶制品等；并按照采购人通知的时间(自然原因造成的人力不可抗拒因素除外)、数量、品种、品质要求准时送货到指定地点。</w:t>
      </w:r>
    </w:p>
    <w:p w14:paraId="60697B71">
      <w:pPr>
        <w:pStyle w:val="4"/>
        <w:keepNext/>
        <w:keepLines/>
        <w:pageBreakBefore w:val="0"/>
        <w:widowControl w:val="0"/>
        <w:kinsoku/>
        <w:wordWrap/>
        <w:overflowPunct/>
        <w:topLinePunct w:val="0"/>
        <w:autoSpaceDE/>
        <w:autoSpaceDN/>
        <w:bidi w:val="0"/>
        <w:adjustRightInd w:val="0"/>
        <w:snapToGrid w:val="0"/>
        <w:spacing w:before="0" w:after="0" w:line="480" w:lineRule="exact"/>
        <w:textAlignment w:val="auto"/>
        <w:rPr>
          <w:rFonts w:hint="eastAsia" w:ascii="仿宋" w:hAnsi="仿宋" w:eastAsia="仿宋" w:cs="仿宋"/>
          <w:b/>
          <w:color w:val="auto"/>
          <w:sz w:val="24"/>
          <w:lang w:eastAsia="zh-CN"/>
        </w:rPr>
      </w:pPr>
      <w:bookmarkStart w:id="55" w:name="_Toc26272"/>
      <w:r>
        <w:rPr>
          <w:rFonts w:hint="eastAsia" w:ascii="仿宋" w:hAnsi="仿宋" w:eastAsia="仿宋" w:cs="仿宋"/>
          <w:b/>
          <w:color w:val="auto"/>
          <w:sz w:val="24"/>
          <w:lang w:eastAsia="zh-CN"/>
        </w:rPr>
        <w:t>二、</w:t>
      </w:r>
      <w:r>
        <w:rPr>
          <w:rFonts w:hint="eastAsia" w:ascii="仿宋" w:hAnsi="仿宋" w:eastAsia="仿宋" w:cs="仿宋"/>
          <w:b/>
          <w:color w:val="auto"/>
          <w:sz w:val="24"/>
        </w:rPr>
        <w:t>服务</w:t>
      </w:r>
      <w:bookmarkEnd w:id="54"/>
      <w:r>
        <w:rPr>
          <w:rFonts w:hint="eastAsia" w:ascii="仿宋" w:hAnsi="仿宋" w:eastAsia="仿宋" w:cs="仿宋"/>
          <w:b/>
          <w:color w:val="auto"/>
          <w:sz w:val="24"/>
          <w:lang w:eastAsia="zh-CN"/>
        </w:rPr>
        <w:t>要求</w:t>
      </w:r>
      <w:bookmarkEnd w:id="55"/>
    </w:p>
    <w:p w14:paraId="44854F15">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bookmarkStart w:id="56" w:name="_Toc21912"/>
      <w:r>
        <w:rPr>
          <w:rFonts w:hint="eastAsia" w:ascii="仿宋" w:hAnsi="仿宋" w:eastAsia="仿宋" w:cs="仿宋"/>
          <w:b w:val="0"/>
          <w:color w:val="auto"/>
          <w:kern w:val="2"/>
          <w:sz w:val="24"/>
          <w:szCs w:val="24"/>
          <w:lang w:val="en-US" w:eastAsia="zh-CN" w:bidi="ar-SA"/>
        </w:rPr>
        <w:t>1、</w:t>
      </w:r>
      <w:bookmarkEnd w:id="56"/>
      <w:r>
        <w:rPr>
          <w:rFonts w:hint="eastAsia" w:ascii="仿宋" w:hAnsi="仿宋" w:eastAsia="仿宋" w:cs="仿宋"/>
          <w:b w:val="0"/>
          <w:color w:val="auto"/>
          <w:kern w:val="2"/>
          <w:sz w:val="24"/>
          <w:szCs w:val="24"/>
          <w:lang w:val="en-US" w:eastAsia="zh-CN" w:bidi="ar-SA"/>
        </w:rPr>
        <w:t>干鲜类</w:t>
      </w:r>
    </w:p>
    <w:p w14:paraId="1D5D9FB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00" w:lineRule="exact"/>
        <w:ind w:left="0" w:right="0" w:firstLine="480" w:firstLineChars="200"/>
        <w:jc w:val="left"/>
        <w:textAlignment w:val="center"/>
        <w:rPr>
          <w:rFonts w:hint="eastAsia" w:ascii="仿宋" w:hAnsi="仿宋" w:eastAsia="仿宋" w:cs="仿宋"/>
          <w:b w:val="0"/>
          <w:color w:val="auto"/>
          <w:kern w:val="2"/>
          <w:sz w:val="24"/>
          <w:szCs w:val="24"/>
          <w:lang w:val="en-US" w:eastAsia="zh-CN" w:bidi="ar-SA"/>
        </w:rPr>
      </w:pPr>
      <w:r>
        <w:rPr>
          <w:rFonts w:hint="default" w:ascii="仿宋" w:hAnsi="仿宋" w:eastAsia="仿宋" w:cs="仿宋"/>
          <w:b w:val="0"/>
          <w:color w:val="auto"/>
          <w:kern w:val="2"/>
          <w:sz w:val="24"/>
          <w:szCs w:val="24"/>
          <w:lang w:val="en-US" w:eastAsia="zh-CN" w:bidi="ar-SA"/>
        </w:rPr>
        <w:t>①</w:t>
      </w:r>
      <w:r>
        <w:rPr>
          <w:rFonts w:hint="eastAsia" w:ascii="仿宋" w:hAnsi="仿宋" w:eastAsia="仿宋" w:cs="仿宋"/>
          <w:b w:val="0"/>
          <w:color w:val="auto"/>
          <w:kern w:val="2"/>
          <w:sz w:val="24"/>
          <w:szCs w:val="24"/>
          <w:lang w:val="en-US" w:eastAsia="zh-CN" w:bidi="ar-SA"/>
        </w:rPr>
        <w:t>干鲜调料品包装上应注明的生产日期、保质期、规格、生产地等相关内容。干菜、大料、干货等散装的料品不能有发霉、变质的现象。</w:t>
      </w:r>
    </w:p>
    <w:p w14:paraId="73AE4834">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default" w:ascii="仿宋" w:hAnsi="仿宋" w:eastAsia="仿宋" w:cs="仿宋"/>
          <w:b w:val="0"/>
          <w:color w:val="auto"/>
          <w:kern w:val="2"/>
          <w:sz w:val="24"/>
          <w:szCs w:val="24"/>
          <w:lang w:val="en-US" w:eastAsia="zh-CN" w:bidi="ar-SA"/>
        </w:rPr>
        <w:t>②</w:t>
      </w:r>
      <w:r>
        <w:rPr>
          <w:rFonts w:hint="eastAsia" w:ascii="仿宋" w:hAnsi="仿宋" w:eastAsia="仿宋" w:cs="仿宋"/>
          <w:b w:val="0"/>
          <w:color w:val="auto"/>
          <w:kern w:val="2"/>
          <w:sz w:val="24"/>
          <w:szCs w:val="24"/>
          <w:lang w:val="en-US" w:eastAsia="zh-CN" w:bidi="ar-SA"/>
        </w:rPr>
        <w:t>生粉豆制品、半成品、调味品(食盐、味精、酱油、醋等)等必须取得《食品生产许可证》，具有产品检验报告，在保质期内，有SC标志。成品、半成品等食品接触材料应符合GB/T40996－2021的国家标准，包装完好，产品质量必须符合食品卫生安全要求，且符合国家或地方标准。</w:t>
      </w:r>
    </w:p>
    <w:p w14:paraId="0158D070">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default"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 xml:space="preserve">   2、蛋类</w:t>
      </w:r>
    </w:p>
    <w:p w14:paraId="29B22B4A">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蛋类需要用纸板箱分级装箱，内衬纸板格或蛋模，纸箱及衬垫物需坚固、干燥、清洁、无霉无异味，纸箱应符合相关技术要求。纸箱底面钉牢或粘牢，唛头清晰，适于贮存、搬运、倒垛及运输。外壳完整、洁净，将鲜蛋打开之后，蛋壳内部应为纯白蛋，不能有斑点或污浊，卵白透明，卵黄膜不破裂，卵黄卵白分明，不能有血管形成，不能有腐败等异臭味，每个鸡蛋</w:t>
      </w:r>
      <w:r>
        <w:rPr>
          <w:rFonts w:hint="default" w:ascii="仿宋" w:hAnsi="仿宋" w:eastAsia="仿宋" w:cs="仿宋"/>
          <w:b w:val="0"/>
          <w:color w:val="auto"/>
          <w:kern w:val="2"/>
          <w:sz w:val="24"/>
          <w:szCs w:val="24"/>
          <w:lang w:val="en-US" w:eastAsia="zh-CN" w:bidi="ar-SA"/>
        </w:rPr>
        <w:t>应清晰标注生产日期</w:t>
      </w:r>
      <w:r>
        <w:rPr>
          <w:rFonts w:hint="eastAsia" w:ascii="仿宋" w:hAnsi="仿宋" w:eastAsia="仿宋" w:cs="仿宋"/>
          <w:b w:val="0"/>
          <w:color w:val="auto"/>
          <w:kern w:val="2"/>
          <w:sz w:val="24"/>
          <w:szCs w:val="24"/>
          <w:lang w:val="en-US" w:eastAsia="zh-CN" w:bidi="ar-SA"/>
        </w:rPr>
        <w:t>或具体的保质期（配送之日起7日内）。</w:t>
      </w:r>
    </w:p>
    <w:p w14:paraId="55F066CE">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3、米面油</w:t>
      </w:r>
    </w:p>
    <w:p w14:paraId="73BE2982">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default" w:ascii="仿宋" w:hAnsi="仿宋" w:eastAsia="仿宋" w:cs="仿宋"/>
          <w:b w:val="0"/>
          <w:color w:val="auto"/>
          <w:kern w:val="2"/>
          <w:sz w:val="24"/>
          <w:szCs w:val="24"/>
          <w:lang w:val="en-US" w:eastAsia="zh-CN" w:bidi="ar-SA"/>
        </w:rPr>
        <w:t>①</w:t>
      </w:r>
      <w:r>
        <w:rPr>
          <w:rFonts w:hint="eastAsia" w:ascii="仿宋" w:hAnsi="仿宋" w:eastAsia="仿宋" w:cs="仿宋"/>
          <w:b w:val="0"/>
          <w:color w:val="auto"/>
          <w:kern w:val="2"/>
          <w:sz w:val="24"/>
          <w:szCs w:val="24"/>
          <w:lang w:val="en-US" w:eastAsia="zh-CN" w:bidi="ar-SA"/>
        </w:rPr>
        <w:t>大米：非转基因且必须符合GB/T l354-2018国家标准，取得食品生产许可证，具有产品检验报告，在保质期内，有SC标志。</w:t>
      </w:r>
    </w:p>
    <w:p w14:paraId="379AB61D">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default" w:ascii="仿宋" w:hAnsi="仿宋" w:eastAsia="仿宋" w:cs="仿宋"/>
          <w:b w:val="0"/>
          <w:color w:val="auto"/>
          <w:kern w:val="2"/>
          <w:sz w:val="24"/>
          <w:szCs w:val="24"/>
          <w:lang w:val="en-US" w:eastAsia="zh-CN" w:bidi="ar-SA"/>
        </w:rPr>
      </w:pPr>
      <w:r>
        <w:rPr>
          <w:rFonts w:hint="default" w:ascii="仿宋" w:hAnsi="仿宋" w:eastAsia="仿宋" w:cs="仿宋"/>
          <w:b w:val="0"/>
          <w:color w:val="auto"/>
          <w:kern w:val="2"/>
          <w:sz w:val="24"/>
          <w:szCs w:val="24"/>
          <w:lang w:val="en-US" w:eastAsia="zh-CN" w:bidi="ar-SA"/>
        </w:rPr>
        <w:t>②</w:t>
      </w:r>
      <w:r>
        <w:rPr>
          <w:rFonts w:hint="eastAsia" w:ascii="仿宋" w:hAnsi="仿宋" w:eastAsia="仿宋" w:cs="仿宋"/>
          <w:b w:val="0"/>
          <w:color w:val="auto"/>
          <w:kern w:val="2"/>
          <w:sz w:val="24"/>
          <w:szCs w:val="24"/>
          <w:lang w:val="en-US" w:eastAsia="zh-CN" w:bidi="ar-SA"/>
        </w:rPr>
        <w:t>面粉：非转基因且必须符合国家标准，取得食品生产许可证，具有产品检验报告，在保质期内，有SC标志。</w:t>
      </w:r>
    </w:p>
    <w:p w14:paraId="50F308ED">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default" w:ascii="仿宋" w:hAnsi="仿宋" w:eastAsia="仿宋" w:cs="仿宋"/>
          <w:b w:val="0"/>
          <w:color w:val="auto"/>
          <w:kern w:val="2"/>
          <w:sz w:val="24"/>
          <w:szCs w:val="24"/>
          <w:lang w:val="en-US" w:eastAsia="zh-CN" w:bidi="ar-SA"/>
        </w:rPr>
        <w:t>③</w:t>
      </w:r>
      <w:r>
        <w:rPr>
          <w:rFonts w:hint="eastAsia" w:ascii="仿宋" w:hAnsi="仿宋" w:eastAsia="仿宋" w:cs="仿宋"/>
          <w:b w:val="0"/>
          <w:color w:val="auto"/>
          <w:kern w:val="2"/>
          <w:sz w:val="24"/>
          <w:szCs w:val="24"/>
          <w:lang w:val="en-US" w:eastAsia="zh-CN" w:bidi="ar-SA"/>
        </w:rPr>
        <w:t>食用油：非转基因且必须符合菜籽油GB/T l536－2021、大豆油GB/T l535-2017国家标准，取得食品生产许可证，具有产品检验报告，在保质期内，有SC标志。</w:t>
      </w:r>
    </w:p>
    <w:p w14:paraId="6A814573">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4、奶制品</w:t>
      </w:r>
    </w:p>
    <w:p w14:paraId="6D48DAF7">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default"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质量及其标识应执行国家标准GB25190-2010《灭菌乳》和GB7718－2011《预包装食品标签通则》的规定，符合GB19301－2010《生乳》规定的原奶生产。由正规厂商供货，相关证件齐全，符合国家食品卫生标准。包装上必须注明生产日期、保质期、最佳食用期、规格、生产地等相关内容。</w:t>
      </w:r>
    </w:p>
    <w:p w14:paraId="49223291">
      <w:pPr>
        <w:pStyle w:val="4"/>
        <w:keepNext/>
        <w:keepLines/>
        <w:pageBreakBefore w:val="0"/>
        <w:widowControl w:val="0"/>
        <w:kinsoku/>
        <w:wordWrap/>
        <w:overflowPunct/>
        <w:topLinePunct w:val="0"/>
        <w:autoSpaceDE/>
        <w:autoSpaceDN/>
        <w:bidi w:val="0"/>
        <w:adjustRightInd w:val="0"/>
        <w:snapToGrid w:val="0"/>
        <w:spacing w:before="0" w:after="0" w:line="480" w:lineRule="exact"/>
        <w:textAlignment w:val="auto"/>
        <w:rPr>
          <w:rFonts w:hint="eastAsia" w:ascii="仿宋" w:hAnsi="仿宋" w:eastAsia="仿宋" w:cs="仿宋"/>
          <w:b/>
          <w:color w:val="auto"/>
          <w:sz w:val="24"/>
          <w:lang w:eastAsia="zh-CN"/>
        </w:rPr>
      </w:pPr>
      <w:bookmarkStart w:id="57" w:name="_Toc4547"/>
      <w:r>
        <w:rPr>
          <w:rFonts w:hint="eastAsia" w:ascii="仿宋" w:hAnsi="仿宋" w:eastAsia="仿宋" w:cs="仿宋"/>
          <w:b/>
          <w:color w:val="auto"/>
          <w:sz w:val="24"/>
          <w:lang w:eastAsia="zh-CN"/>
        </w:rPr>
        <w:t>三、其他要求</w:t>
      </w:r>
      <w:bookmarkEnd w:id="57"/>
    </w:p>
    <w:p w14:paraId="67BEC30E">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1、具有外包装的食材，其外包装标识应标注清楚净含量、品名、执行标准号；生产者（或销售者）名称、地址、商标；生产日期、保质期和相应的质量等级。另外，外包装的图案、文字的印刷应清晰、端正、不褪色。</w:t>
      </w:r>
    </w:p>
    <w:p w14:paraId="308E4546">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2、所有预包装食品须保证规格品种完全符合采购人要求，包装规格、口味、种类齐全。保质期在3天以内的，必须是送货当天生产的货品；保质期在7天以内的，送货日不超过生产日两日；保质期在6个月以内的，送货日至保质期到期日的天数必须大于保质期天数的三分之二；保质期在6个月以上的，送货日至保质期到期日的天数必须大于保质期天数的二分之一。</w:t>
      </w:r>
    </w:p>
    <w:p w14:paraId="6A6B56C6">
      <w:pPr>
        <w:numPr>
          <w:ilvl w:val="0"/>
          <w:numId w:val="0"/>
        </w:numPr>
        <w:spacing w:line="440" w:lineRule="exact"/>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3、产品不得有腐败变质、油脂酸败、霉变、生虫、污秽不洁、混有异物或其他感官性状异常、对人体有害物质。</w:t>
      </w:r>
    </w:p>
    <w:p w14:paraId="1AD6D90C">
      <w:pPr>
        <w:numPr>
          <w:ilvl w:val="0"/>
          <w:numId w:val="0"/>
        </w:numPr>
        <w:spacing w:line="440" w:lineRule="exact"/>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4、产品不得含有致病性寄生虫、微生物，或者微生物含量超过国家限定标准。</w:t>
      </w:r>
    </w:p>
    <w:p w14:paraId="37F15C15">
      <w:pPr>
        <w:numPr>
          <w:ilvl w:val="0"/>
          <w:numId w:val="0"/>
        </w:numPr>
        <w:spacing w:line="440" w:lineRule="exact"/>
        <w:ind w:firstLine="480" w:firstLineChars="200"/>
        <w:rPr>
          <w:rFonts w:hint="eastAsia"/>
          <w:color w:val="auto"/>
          <w:lang w:val="en-US" w:eastAsia="zh-CN"/>
        </w:rPr>
      </w:pPr>
      <w:r>
        <w:rPr>
          <w:rFonts w:hint="eastAsia" w:ascii="仿宋" w:hAnsi="仿宋" w:eastAsia="仿宋" w:cs="仿宋"/>
          <w:color w:val="auto"/>
          <w:sz w:val="24"/>
          <w:szCs w:val="24"/>
          <w:lang w:val="en-US" w:eastAsia="zh-CN"/>
        </w:rPr>
        <w:t>5、产品不得掺假、掺杂、伪造、杜绝三无产品和临期产品。</w:t>
      </w:r>
    </w:p>
    <w:p w14:paraId="28DB096D">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6、所有采购食材除达到上表中分类分项的标准外，均需达到以下要求：</w:t>
      </w:r>
    </w:p>
    <w:p w14:paraId="1C625A01">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（1）GB2760-2011《食品安全国家标准 食品添加剂使用标准》</w:t>
      </w:r>
    </w:p>
    <w:p w14:paraId="63F0EC5E">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（2）GB2762-2012《食品安全国家标准 食品中污染物限量标准》</w:t>
      </w:r>
    </w:p>
    <w:p w14:paraId="1B33E776">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（3）GB2763-2012《食品安全国家标准 食品中农药最大残留限量》</w:t>
      </w:r>
    </w:p>
    <w:p w14:paraId="258B7C0B">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（4）GB31621-2014《食品安全国家标准食品经营过程卫生规范》</w:t>
      </w:r>
    </w:p>
    <w:p w14:paraId="5A22F30E">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（5）GB7718-2004《预包装食品标签通则》</w:t>
      </w:r>
    </w:p>
    <w:p w14:paraId="3948F227">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（6）每种明细产品必须标明品名、规格、等级、生产厂家等内容。</w:t>
      </w:r>
    </w:p>
    <w:p w14:paraId="2997C354">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（7）所有产品必须符合新颁布的《食品安全法》及其他相关法规要求。</w:t>
      </w:r>
    </w:p>
    <w:p w14:paraId="1D5E5D09">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7、安全责任，供货人员要求：</w:t>
      </w:r>
    </w:p>
    <w:p w14:paraId="223360C7">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（1）供应商供货人员和车辆的安全责任，由供应商承担。</w:t>
      </w:r>
    </w:p>
    <w:p w14:paraId="39CC12C1">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（2）供应商所供产品出现质量问题，供应商应承担全部法律、经济责任。</w:t>
      </w:r>
    </w:p>
    <w:p w14:paraId="3D39DDCF">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（3）供应商在供货期间，因自身原因造成事故事件等，所有后果由供应商自行承担。</w:t>
      </w:r>
    </w:p>
    <w:p w14:paraId="676A4E3F">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color w:val="auto"/>
          <w:lang w:val="en-US" w:eastAsia="zh-CN"/>
        </w:rPr>
      </w:pPr>
      <w:r>
        <w:rPr>
          <w:rFonts w:hint="eastAsia" w:ascii="仿宋" w:hAnsi="仿宋" w:eastAsia="仿宋" w:cs="仿宋"/>
          <w:b w:val="0"/>
          <w:color w:val="auto"/>
          <w:kern w:val="2"/>
          <w:sz w:val="24"/>
          <w:szCs w:val="24"/>
          <w:lang w:val="en-US" w:eastAsia="zh-CN" w:bidi="ar-SA"/>
        </w:rPr>
        <w:t>（4）投标人承诺为本项目购买安全责任险</w:t>
      </w:r>
      <w:r>
        <w:rPr>
          <w:rFonts w:hint="eastAsia" w:ascii="仿宋" w:hAnsi="仿宋" w:eastAsia="仿宋" w:cs="仿宋"/>
          <w:b/>
          <w:bCs/>
          <w:color w:val="auto"/>
          <w:kern w:val="2"/>
          <w:sz w:val="24"/>
          <w:szCs w:val="24"/>
          <w:lang w:val="en-US" w:eastAsia="zh-CN" w:bidi="ar-SA"/>
        </w:rPr>
        <w:t>（提供承诺书并加盖投标人公章，格式自拟）。</w:t>
      </w:r>
    </w:p>
    <w:p w14:paraId="4C741110">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default"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8、配送要求</w:t>
      </w:r>
    </w:p>
    <w:p w14:paraId="69297855">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（1）供应商须为供货人员配备符合岗位要求的健康证明及岗前培训记录，并确保其熟悉食品安全操作规范；</w:t>
      </w:r>
    </w:p>
    <w:p w14:paraId="181C3728">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（2）运输车辆须保持清洁、密闭，不得与有毒有害物品混装，且应具备温控能力以保障易腐食品品质；</w:t>
      </w:r>
    </w:p>
    <w:p w14:paraId="2E1D1B08">
      <w:pPr>
        <w:keepNext w:val="0"/>
        <w:keepLines w:val="0"/>
        <w:pageBreakBefore w:val="0"/>
        <w:numPr>
          <w:ilvl w:val="0"/>
          <w:numId w:val="0"/>
        </w:numPr>
        <w:kinsoku/>
        <w:wordWrap/>
        <w:overflowPunct/>
        <w:topLinePunct w:val="0"/>
        <w:autoSpaceDE/>
        <w:autoSpaceDN/>
        <w:bidi w:val="0"/>
        <w:adjustRightInd/>
        <w:spacing w:line="360" w:lineRule="auto"/>
        <w:ind w:left="0" w:leftChars="0" w:firstLine="480" w:firstLineChars="200"/>
        <w:textAlignment w:val="auto"/>
        <w:outlineLvl w:val="9"/>
        <w:rPr>
          <w:rFonts w:hint="eastAsia" w:ascii="仿宋" w:hAnsi="仿宋" w:eastAsia="仿宋" w:cs="仿宋"/>
          <w:b w:val="0"/>
          <w:color w:val="auto"/>
          <w:kern w:val="2"/>
          <w:sz w:val="24"/>
          <w:szCs w:val="24"/>
          <w:lang w:val="en-US" w:eastAsia="zh-CN" w:bidi="ar-SA"/>
        </w:rPr>
      </w:pPr>
      <w:r>
        <w:rPr>
          <w:rFonts w:hint="eastAsia" w:ascii="仿宋" w:hAnsi="仿宋" w:eastAsia="仿宋" w:cs="仿宋"/>
          <w:b w:val="0"/>
          <w:color w:val="auto"/>
          <w:kern w:val="2"/>
          <w:sz w:val="24"/>
          <w:szCs w:val="24"/>
          <w:lang w:val="en-US" w:eastAsia="zh-CN" w:bidi="ar-SA"/>
        </w:rPr>
        <w:t>（3）供货人员进入采购方场所须服从统一管理，全程佩戴工装、口罩及手套，严禁携带个人食品或无关物品入场。</w:t>
      </w:r>
    </w:p>
    <w:p w14:paraId="33667D61">
      <w:pPr>
        <w:numPr>
          <w:ilvl w:val="0"/>
          <w:numId w:val="0"/>
        </w:numPr>
        <w:spacing w:line="440" w:lineRule="exact"/>
        <w:ind w:firstLine="480" w:firstLineChars="200"/>
        <w:rPr>
          <w:rFonts w:hint="eastAsia" w:ascii="仿宋" w:hAnsi="仿宋" w:eastAsia="仿宋" w:cs="仿宋"/>
          <w:color w:val="auto"/>
          <w:sz w:val="24"/>
          <w:szCs w:val="24"/>
          <w:lang w:val="en-US" w:eastAsia="zh-CN"/>
        </w:rPr>
      </w:pPr>
      <w:bookmarkStart w:id="58" w:name="_Toc429584853"/>
      <w:bookmarkStart w:id="59" w:name="_Toc26004"/>
      <w:bookmarkStart w:id="60" w:name="_Toc429584806"/>
      <w:bookmarkStart w:id="61" w:name="_Toc28291"/>
      <w:bookmarkStart w:id="62" w:name="_Toc24829"/>
      <w:bookmarkStart w:id="63" w:name="_Toc15508538"/>
      <w:bookmarkStart w:id="64" w:name="_Toc19358"/>
      <w:r>
        <w:rPr>
          <w:rFonts w:hint="eastAsia" w:ascii="仿宋" w:hAnsi="仿宋" w:eastAsia="仿宋" w:cs="仿宋"/>
          <w:color w:val="auto"/>
          <w:sz w:val="24"/>
          <w:szCs w:val="24"/>
          <w:lang w:val="en-US" w:eastAsia="zh-CN"/>
        </w:rPr>
        <w:t>（4）货物分批次配送，每次所需干货、副食及调料的品种及数量以采购人的通知为准。</w:t>
      </w:r>
    </w:p>
    <w:p w14:paraId="73304D2E">
      <w:pPr>
        <w:numPr>
          <w:ilvl w:val="0"/>
          <w:numId w:val="0"/>
        </w:numPr>
        <w:spacing w:line="440" w:lineRule="exact"/>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5）按照预定货物的品种、数量、质量、时间每天按时配送至指定地点。如遇特殊情况，接到采购人通知后2小时配送到位。由采购人验收人员组织现场复称、验收后入库。所有配送食材由供应商自行留样以备抽检。</w:t>
      </w:r>
    </w:p>
    <w:bookmarkEnd w:id="58"/>
    <w:bookmarkEnd w:id="59"/>
    <w:bookmarkEnd w:id="60"/>
    <w:bookmarkEnd w:id="61"/>
    <w:bookmarkEnd w:id="62"/>
    <w:bookmarkEnd w:id="63"/>
    <w:bookmarkEnd w:id="64"/>
    <w:p w14:paraId="12FA3AA8">
      <w:pPr>
        <w:pStyle w:val="4"/>
        <w:spacing w:before="0" w:after="0" w:line="360" w:lineRule="auto"/>
        <w:jc w:val="center"/>
        <w:rPr>
          <w:rFonts w:hint="eastAsia" w:ascii="仿宋" w:hAnsi="仿宋" w:eastAsia="仿宋" w:cs="仿宋"/>
          <w:b w:val="0"/>
          <w:color w:val="auto"/>
          <w:sz w:val="36"/>
          <w:szCs w:val="30"/>
        </w:rPr>
      </w:pPr>
      <w:r>
        <w:rPr>
          <w:rFonts w:hint="eastAsia" w:ascii="仿宋" w:hAnsi="仿宋" w:eastAsia="仿宋" w:cs="仿宋"/>
          <w:b w:val="0"/>
          <w:color w:val="auto"/>
          <w:sz w:val="36"/>
          <w:szCs w:val="30"/>
        </w:rPr>
        <w:br w:type="page"/>
      </w:r>
      <w:bookmarkStart w:id="65" w:name="_Toc2968"/>
      <w:r>
        <w:rPr>
          <w:rFonts w:hint="eastAsia" w:ascii="仿宋" w:hAnsi="仿宋" w:eastAsia="仿宋" w:cs="仿宋"/>
          <w:b w:val="0"/>
          <w:color w:val="auto"/>
          <w:sz w:val="36"/>
          <w:szCs w:val="30"/>
        </w:rPr>
        <w:t xml:space="preserve">第三篇  </w:t>
      </w:r>
      <w:bookmarkEnd w:id="53"/>
      <w:r>
        <w:rPr>
          <w:rFonts w:hint="eastAsia" w:ascii="仿宋" w:hAnsi="仿宋" w:eastAsia="仿宋" w:cs="仿宋"/>
          <w:b w:val="0"/>
          <w:color w:val="auto"/>
          <w:sz w:val="36"/>
          <w:szCs w:val="30"/>
        </w:rPr>
        <w:t>项目商务需求</w:t>
      </w:r>
      <w:bookmarkEnd w:id="65"/>
    </w:p>
    <w:p w14:paraId="0D248C2A">
      <w:pPr>
        <w:pStyle w:val="5"/>
        <w:spacing w:before="0" w:after="0" w:line="360" w:lineRule="auto"/>
        <w:rPr>
          <w:rFonts w:hint="eastAsia" w:ascii="仿宋" w:hAnsi="仿宋" w:eastAsia="仿宋" w:cs="仿宋"/>
          <w:color w:val="auto"/>
          <w:sz w:val="24"/>
          <w:szCs w:val="24"/>
        </w:rPr>
      </w:pPr>
      <w:bookmarkStart w:id="66" w:name="_Toc19341"/>
      <w:bookmarkStart w:id="67" w:name="_Toc344475120"/>
      <w:r>
        <w:rPr>
          <w:rFonts w:hint="eastAsia" w:ascii="仿宋" w:hAnsi="仿宋" w:eastAsia="仿宋" w:cs="仿宋"/>
          <w:color w:val="auto"/>
          <w:sz w:val="24"/>
          <w:szCs w:val="24"/>
        </w:rPr>
        <w:t>一、服务期、地点及验收方式</w:t>
      </w:r>
      <w:bookmarkEnd w:id="66"/>
      <w:bookmarkEnd w:id="67"/>
    </w:p>
    <w:p w14:paraId="293AC843">
      <w:pPr>
        <w:pStyle w:val="9"/>
        <w:spacing w:line="360" w:lineRule="auto"/>
        <w:ind w:firstLine="480" w:firstLineChars="200"/>
        <w:rPr>
          <w:rFonts w:hint="default" w:ascii="仿宋" w:hAnsi="仿宋" w:eastAsia="仿宋" w:cs="仿宋"/>
          <w:color w:val="auto"/>
          <w:sz w:val="24"/>
          <w:szCs w:val="24"/>
          <w:lang w:val="en-US"/>
        </w:rPr>
      </w:pPr>
      <w:r>
        <w:rPr>
          <w:rFonts w:hint="eastAsia" w:ascii="仿宋" w:hAnsi="仿宋" w:eastAsia="仿宋" w:cs="仿宋"/>
          <w:color w:val="auto"/>
          <w:sz w:val="24"/>
          <w:szCs w:val="24"/>
        </w:rPr>
        <w:t>（一）服务期：</w:t>
      </w:r>
      <w:r>
        <w:rPr>
          <w:rFonts w:hint="eastAsia" w:ascii="仿宋" w:hAnsi="仿宋" w:eastAsia="仿宋" w:cs="仿宋"/>
          <w:color w:val="auto"/>
          <w:sz w:val="24"/>
          <w:szCs w:val="24"/>
          <w:lang w:val="en-US" w:eastAsia="zh-CN"/>
        </w:rPr>
        <w:t>从采购合同签订之日起1年。</w:t>
      </w:r>
    </w:p>
    <w:p w14:paraId="7F2EFEDE">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（二）服务地点：大足区。</w:t>
      </w:r>
    </w:p>
    <w:p w14:paraId="77789384">
      <w:pPr>
        <w:pStyle w:val="9"/>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（三）验收方式</w:t>
      </w:r>
    </w:p>
    <w:p w14:paraId="388CA226">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ascii="仿宋" w:hAnsi="仿宋" w:eastAsia="仿宋" w:cs="仿宋"/>
          <w:color w:val="auto"/>
          <w:sz w:val="24"/>
          <w:szCs w:val="24"/>
          <w:lang w:val="en-US" w:eastAsia="zh-CN"/>
        </w:rPr>
      </w:pPr>
      <w:bookmarkStart w:id="68" w:name="_Toc344475121"/>
      <w:r>
        <w:rPr>
          <w:rFonts w:hint="eastAsia" w:ascii="仿宋" w:hAnsi="仿宋" w:eastAsia="仿宋" w:cs="仿宋"/>
          <w:color w:val="auto"/>
          <w:sz w:val="24"/>
          <w:szCs w:val="24"/>
          <w:lang w:val="en-US" w:eastAsia="zh-CN"/>
        </w:rPr>
        <w:t>1.货物到达现场后，供应商应在甲方收货员、厨师在场情况下当面进行感官检验、外观检验或试用检验等，若产品外观、包装、质量不能达到收货标准，采购人拒收配送物品，供应商应无条件迅速补充合格产品，不得影响正常开餐。对符合要求的产品当场作出记录，双方签字确认。</w:t>
      </w:r>
    </w:p>
    <w:p w14:paraId="1F93F1F7">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2.提供货物未达到采购文件规定要求的，采购人向供应商出具服务不合格书面通知，对采购人造成损失的，由供应商承担一切责任，并赔偿所造成损失。如供应商在服务期内出现货品累计5次以上不合格情况的，采购人可解除合同。</w:t>
      </w:r>
    </w:p>
    <w:p w14:paraId="707AD67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3.采购人组织定期或不定期货品抽检和送检。对检验不合格产品无条件退、换货外，需按双方约定予以处理。如乙方存在有短斤少两、以次充好或乙方延误甲方供货时间导致甲方不能按时就餐情况等情况，发现一次支付违约金2000元，发生两次及以上的或者有严重质量问题（霉烂、变质的等），甲方有权直接解除合同，乙方缴纳的履约保证金不予退还。</w:t>
      </w:r>
    </w:p>
    <w:p w14:paraId="6AEC47D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4.因验收货物时不能直接判断质量的，在使用过程中发现不合格商品，供应商应作退货处理。</w:t>
      </w:r>
    </w:p>
    <w:p w14:paraId="752D7F9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5.凡按重量计量物品，均以物品净重方式计量结算。</w:t>
      </w:r>
    </w:p>
    <w:p w14:paraId="2BDD7AAA">
      <w:pPr>
        <w:pStyle w:val="5"/>
        <w:spacing w:before="0" w:after="0" w:line="360" w:lineRule="auto"/>
        <w:rPr>
          <w:rFonts w:hint="eastAsia" w:ascii="仿宋" w:hAnsi="仿宋" w:eastAsia="仿宋" w:cs="仿宋"/>
          <w:color w:val="auto"/>
          <w:sz w:val="24"/>
          <w:szCs w:val="24"/>
        </w:rPr>
      </w:pPr>
      <w:bookmarkStart w:id="69" w:name="_Toc26046"/>
      <w:r>
        <w:rPr>
          <w:rFonts w:hint="eastAsia" w:ascii="仿宋" w:hAnsi="仿宋" w:eastAsia="仿宋" w:cs="仿宋"/>
          <w:color w:val="auto"/>
          <w:sz w:val="24"/>
          <w:szCs w:val="24"/>
        </w:rPr>
        <w:t>二、</w:t>
      </w:r>
      <w:bookmarkEnd w:id="68"/>
      <w:r>
        <w:rPr>
          <w:rFonts w:hint="eastAsia" w:ascii="仿宋" w:hAnsi="仿宋" w:eastAsia="仿宋" w:cs="仿宋"/>
          <w:color w:val="auto"/>
          <w:sz w:val="24"/>
          <w:szCs w:val="24"/>
        </w:rPr>
        <w:t>报价要求</w:t>
      </w:r>
      <w:bookmarkEnd w:id="69"/>
    </w:p>
    <w:p w14:paraId="724591C1">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ascii="仿宋" w:hAnsi="仿宋" w:eastAsia="仿宋" w:cs="仿宋"/>
          <w:color w:val="auto"/>
          <w:sz w:val="24"/>
          <w:szCs w:val="24"/>
          <w:lang w:val="en-US" w:eastAsia="zh-CN"/>
        </w:rPr>
      </w:pPr>
      <w:bookmarkStart w:id="70" w:name="_Toc10150"/>
      <w:bookmarkStart w:id="71" w:name="_Toc9114"/>
      <w:bookmarkStart w:id="72" w:name="_Toc28829"/>
      <w:bookmarkStart w:id="73" w:name="_Toc22019"/>
      <w:bookmarkStart w:id="74" w:name="_Toc8624"/>
      <w:bookmarkStart w:id="75" w:name="_Toc22670"/>
      <w:bookmarkStart w:id="76" w:name="_Toc32650"/>
      <w:bookmarkStart w:id="77" w:name="_Toc26496"/>
      <w:bookmarkStart w:id="78" w:name="_Toc12811"/>
      <w:bookmarkStart w:id="79" w:name="_Toc1063"/>
      <w:bookmarkStart w:id="80" w:name="_Toc26823"/>
      <w:bookmarkStart w:id="81" w:name="_Toc7207"/>
      <w:bookmarkStart w:id="82" w:name="_Toc5934"/>
      <w:bookmarkStart w:id="83" w:name="_Toc344475122"/>
      <w:bookmarkStart w:id="84" w:name="_Toc76462330"/>
      <w:bookmarkStart w:id="85" w:name="_Toc106030885"/>
      <w:r>
        <w:rPr>
          <w:rFonts w:hint="eastAsia" w:ascii="仿宋" w:hAnsi="仿宋" w:eastAsia="仿宋" w:cs="仿宋"/>
          <w:color w:val="auto"/>
          <w:sz w:val="24"/>
          <w:szCs w:val="24"/>
          <w:lang w:val="en-US" w:eastAsia="zh-CN"/>
        </w:rPr>
        <w:t>1、</w:t>
      </w:r>
      <w:bookmarkEnd w:id="70"/>
      <w:bookmarkEnd w:id="71"/>
      <w:bookmarkEnd w:id="72"/>
      <w:r>
        <w:rPr>
          <w:rFonts w:hint="eastAsia" w:ascii="仿宋" w:hAnsi="仿宋" w:eastAsia="仿宋" w:cs="仿宋"/>
          <w:color w:val="auto"/>
          <w:sz w:val="24"/>
          <w:szCs w:val="24"/>
        </w:rPr>
        <w:t>本次报价</w:t>
      </w:r>
      <w:r>
        <w:rPr>
          <w:rFonts w:hint="eastAsia" w:ascii="仿宋" w:hAnsi="仿宋" w:eastAsia="仿宋" w:cs="仿宋"/>
          <w:color w:val="auto"/>
          <w:sz w:val="24"/>
          <w:szCs w:val="24"/>
          <w:lang w:eastAsia="zh-CN"/>
        </w:rPr>
        <w:t>为折扣报价</w:t>
      </w:r>
      <w:r>
        <w:rPr>
          <w:rFonts w:hint="eastAsia" w:ascii="仿宋" w:hAnsi="仿宋" w:eastAsia="仿宋" w:cs="仿宋"/>
          <w:color w:val="auto"/>
          <w:sz w:val="24"/>
          <w:szCs w:val="24"/>
        </w:rPr>
        <w:t>，包含：</w:t>
      </w:r>
      <w:r>
        <w:rPr>
          <w:rFonts w:hint="eastAsia" w:ascii="仿宋" w:hAnsi="仿宋" w:eastAsia="仿宋" w:cs="仿宋"/>
          <w:color w:val="auto"/>
          <w:sz w:val="24"/>
          <w:szCs w:val="24"/>
          <w:lang w:eastAsia="zh-CN"/>
        </w:rPr>
        <w:t>食材</w:t>
      </w:r>
      <w:r>
        <w:rPr>
          <w:rFonts w:hint="eastAsia" w:ascii="仿宋" w:hAnsi="仿宋" w:eastAsia="仿宋" w:cs="仿宋"/>
          <w:color w:val="auto"/>
          <w:sz w:val="24"/>
          <w:szCs w:val="24"/>
        </w:rPr>
        <w:t>成本费、食材二次加工费</w:t>
      </w:r>
      <w:r>
        <w:rPr>
          <w:rFonts w:hint="eastAsia" w:ascii="仿宋" w:hAnsi="仿宋" w:eastAsia="仿宋" w:cs="仿宋"/>
          <w:color w:val="auto"/>
          <w:sz w:val="24"/>
          <w:szCs w:val="24"/>
          <w:lang w:val="en-US" w:eastAsia="zh-CN"/>
        </w:rPr>
        <w:t xml:space="preserve">、运输费（含装卸费）、保险费、人工费、税费等货到采购人指定地点的所有费用。因成交供应商自身原因造成漏报、少报皆由其自行承担责任，采购人不再补偿。      </w:t>
      </w:r>
    </w:p>
    <w:p w14:paraId="4FA3E78C">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 xml:space="preserve"> 2、投标货品中无论多少种类的肉品均只有一个折扣报价，若中标后，所有肉品种类按照此报价折扣计算供货价格，若出现了多个报价，则为无效投标。</w:t>
      </w:r>
    </w:p>
    <w:p w14:paraId="0454CA62">
      <w:pPr>
        <w:pStyle w:val="5"/>
        <w:spacing w:before="0" w:after="0" w:line="360" w:lineRule="auto"/>
        <w:rPr>
          <w:rFonts w:hint="eastAsia" w:ascii="仿宋" w:hAnsi="仿宋" w:eastAsia="仿宋" w:cs="仿宋"/>
          <w:b/>
          <w:color w:val="auto"/>
          <w:sz w:val="24"/>
          <w:szCs w:val="24"/>
        </w:rPr>
      </w:pPr>
      <w:r>
        <w:rPr>
          <w:rFonts w:hint="eastAsia" w:ascii="仿宋" w:hAnsi="仿宋" w:eastAsia="仿宋" w:cs="仿宋"/>
          <w:b/>
          <w:color w:val="auto"/>
          <w:sz w:val="24"/>
          <w:szCs w:val="24"/>
        </w:rPr>
        <w:t>三、质量保证及售后服务</w:t>
      </w:r>
      <w:bookmarkEnd w:id="73"/>
      <w:bookmarkEnd w:id="74"/>
      <w:bookmarkEnd w:id="75"/>
      <w:bookmarkEnd w:id="76"/>
      <w:bookmarkEnd w:id="77"/>
      <w:bookmarkEnd w:id="78"/>
      <w:bookmarkEnd w:id="79"/>
      <w:bookmarkEnd w:id="80"/>
      <w:bookmarkEnd w:id="81"/>
      <w:bookmarkEnd w:id="82"/>
    </w:p>
    <w:p w14:paraId="7DE41FC7">
      <w:pPr>
        <w:snapToGrid w:val="0"/>
        <w:spacing w:beforeLines="0" w:afterLines="0"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rPr>
        <w:t>（一）产品质量保证</w:t>
      </w:r>
    </w:p>
    <w:p w14:paraId="52392868">
      <w:pPr>
        <w:numPr>
          <w:ilvl w:val="0"/>
          <w:numId w:val="1"/>
        </w:numPr>
        <w:spacing w:beforeLines="0" w:afterLines="0" w:line="360" w:lineRule="auto"/>
        <w:ind w:left="80" w:leftChars="0" w:firstLine="48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lang w:eastAsia="zh-CN"/>
        </w:rPr>
        <w:t>符合国家及行业食用标准，</w:t>
      </w:r>
      <w:r>
        <w:rPr>
          <w:rFonts w:hint="eastAsia" w:ascii="仿宋" w:hAnsi="仿宋" w:eastAsia="仿宋" w:cs="仿宋"/>
          <w:color w:val="auto"/>
          <w:sz w:val="24"/>
          <w:szCs w:val="24"/>
          <w:highlight w:val="none"/>
        </w:rPr>
        <w:t>所有</w:t>
      </w:r>
      <w:r>
        <w:rPr>
          <w:rFonts w:hint="eastAsia" w:ascii="仿宋" w:hAnsi="仿宋" w:eastAsia="仿宋" w:cs="仿宋"/>
          <w:color w:val="auto"/>
          <w:sz w:val="24"/>
          <w:szCs w:val="24"/>
          <w:highlight w:val="none"/>
          <w:lang w:eastAsia="zh-CN"/>
        </w:rPr>
        <w:t>品类</w:t>
      </w:r>
      <w:r>
        <w:rPr>
          <w:rFonts w:hint="eastAsia" w:ascii="仿宋" w:hAnsi="仿宋" w:eastAsia="仿宋" w:cs="仿宋"/>
          <w:color w:val="auto"/>
          <w:sz w:val="24"/>
          <w:szCs w:val="24"/>
          <w:highlight w:val="none"/>
        </w:rPr>
        <w:t>因验收货物时不能直接判断质量的，在使用过程中发现不合格产品，供应商作退货处理。</w:t>
      </w:r>
    </w:p>
    <w:p w14:paraId="0D93DD00">
      <w:pPr>
        <w:numPr>
          <w:ilvl w:val="0"/>
          <w:numId w:val="1"/>
        </w:numPr>
        <w:spacing w:beforeLines="0" w:afterLines="0" w:line="360" w:lineRule="auto"/>
        <w:ind w:left="80" w:leftChars="0" w:firstLine="480" w:firstLineChars="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因质量问题发生的食物中毒等事故，由供应商承担经济赔偿责任以及全部法律责任。</w:t>
      </w:r>
    </w:p>
    <w:p w14:paraId="416E2EFC">
      <w:pPr>
        <w:snapToGrid w:val="0"/>
        <w:spacing w:beforeLines="0" w:afterLines="0"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rPr>
        <w:t>（二）售后服务内容</w:t>
      </w:r>
    </w:p>
    <w:p w14:paraId="68712B59">
      <w:pPr>
        <w:numPr>
          <w:ilvl w:val="0"/>
          <w:numId w:val="2"/>
        </w:numPr>
        <w:snapToGrid w:val="0"/>
        <w:spacing w:beforeLines="0" w:afterLines="0"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rPr>
        <w:t>因市场特殊原因，个别食材品种不能及时提供，供应商应主动与采购人沟通协调，更换品种，满足需要。</w:t>
      </w:r>
    </w:p>
    <w:p w14:paraId="1D7ABE6B">
      <w:pPr>
        <w:numPr>
          <w:ilvl w:val="0"/>
          <w:numId w:val="2"/>
        </w:numPr>
        <w:snapToGrid w:val="0"/>
        <w:spacing w:beforeLines="0" w:afterLines="0"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lang w:eastAsia="zh-CN"/>
        </w:rPr>
        <w:t>物品</w:t>
      </w:r>
      <w:r>
        <w:rPr>
          <w:rFonts w:hint="eastAsia" w:ascii="仿宋" w:hAnsi="仿宋" w:eastAsia="仿宋" w:cs="仿宋"/>
          <w:color w:val="auto"/>
          <w:kern w:val="0"/>
          <w:sz w:val="24"/>
          <w:szCs w:val="24"/>
          <w:highlight w:val="none"/>
        </w:rPr>
        <w:t>验收中不合格产品，供应商按照采购人规定时间内调换，应不影响正常工作。</w:t>
      </w:r>
    </w:p>
    <w:p w14:paraId="4841A789">
      <w:pPr>
        <w:numPr>
          <w:ilvl w:val="0"/>
          <w:numId w:val="2"/>
        </w:numPr>
        <w:snapToGrid w:val="0"/>
        <w:spacing w:beforeLines="0" w:afterLines="0"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rPr>
        <w:t>因配送</w:t>
      </w:r>
      <w:r>
        <w:rPr>
          <w:rFonts w:hint="eastAsia" w:ascii="仿宋" w:hAnsi="仿宋" w:eastAsia="仿宋" w:cs="仿宋"/>
          <w:color w:val="auto"/>
          <w:kern w:val="0"/>
          <w:sz w:val="24"/>
          <w:szCs w:val="24"/>
          <w:highlight w:val="none"/>
          <w:lang w:eastAsia="zh-CN"/>
        </w:rPr>
        <w:t>物品</w:t>
      </w:r>
      <w:r>
        <w:rPr>
          <w:rFonts w:hint="eastAsia" w:ascii="仿宋" w:hAnsi="仿宋" w:eastAsia="仿宋" w:cs="仿宋"/>
          <w:color w:val="auto"/>
          <w:kern w:val="0"/>
          <w:sz w:val="24"/>
          <w:szCs w:val="24"/>
          <w:highlight w:val="none"/>
        </w:rPr>
        <w:t>质量导致出现食品安全事故，供应商有义务协助处理相关事宜。</w:t>
      </w:r>
    </w:p>
    <w:p w14:paraId="6A195A90">
      <w:pPr>
        <w:pStyle w:val="4"/>
        <w:numPr>
          <w:ilvl w:val="0"/>
          <w:numId w:val="3"/>
        </w:numPr>
        <w:adjustRightInd w:val="0"/>
        <w:snapToGrid w:val="0"/>
        <w:spacing w:before="0" w:after="0" w:line="360" w:lineRule="auto"/>
        <w:ind w:firstLine="482" w:firstLineChars="200"/>
        <w:rPr>
          <w:rFonts w:hint="eastAsia" w:ascii="仿宋" w:hAnsi="仿宋" w:eastAsia="仿宋" w:cs="仿宋"/>
          <w:b/>
          <w:color w:val="auto"/>
          <w:sz w:val="24"/>
          <w:szCs w:val="24"/>
          <w:highlight w:val="none"/>
          <w:lang w:val="en-US" w:eastAsia="zh-CN"/>
        </w:rPr>
      </w:pPr>
      <w:bookmarkStart w:id="86" w:name="_Toc17468"/>
      <w:r>
        <w:rPr>
          <w:rFonts w:hint="eastAsia" w:ascii="仿宋" w:hAnsi="仿宋" w:eastAsia="仿宋" w:cs="仿宋"/>
          <w:b/>
          <w:color w:val="auto"/>
          <w:sz w:val="24"/>
          <w:szCs w:val="24"/>
          <w:highlight w:val="none"/>
          <w:lang w:val="en-US" w:eastAsia="zh-CN"/>
        </w:rPr>
        <w:t>考核要求</w:t>
      </w:r>
      <w:bookmarkEnd w:id="86"/>
    </w:p>
    <w:p w14:paraId="4D29C1D4">
      <w:pPr>
        <w:snapToGrid w:val="0"/>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1、成交供应商对扣款项目应立即着手整改，整改完毕由采购人验收合格后不予扣款；验收不合格的，当月按照该扣款金额进行扣减采购费用；3次整改不合格，采购人处以双倍罚款，并有权解除合同。</w:t>
      </w:r>
    </w:p>
    <w:p w14:paraId="7732FA82">
      <w:pPr>
        <w:snapToGrid w:val="0"/>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2、成交供应商工作不负责或达不到合同约定内容和要求，月扣款金额合计超过 5000元，当月采购费用暂不支付，次月扣款合计未超过 5000元，与次月采购费用一并支付;两月扣款金额均超过5000元，两月采购费用暂不支付，第三月扣款金额未超过5000元的，与第三月采购费用一并支付;连续三个月扣款金额均超过 5000 元，采购人有权单方面解除合同，不支付相应月份的采购费用，并要求中标供应商承担相应损失。</w:t>
      </w:r>
    </w:p>
    <w:p w14:paraId="1A64D3E4">
      <w:pPr>
        <w:snapToGrid w:val="0"/>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3、外包装不完整、生产日期、保质期、生产厂家和 QS 标识不齐全清晰的，发现1起扣1000元。</w:t>
      </w:r>
    </w:p>
    <w:p w14:paraId="69F5874B">
      <w:pPr>
        <w:snapToGrid w:val="0"/>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4、采购人对供货商食材不定期进行送检，产品不合格的，发现1起扣1000元。</w:t>
      </w:r>
    </w:p>
    <w:p w14:paraId="52E9587C">
      <w:pPr>
        <w:snapToGrid w:val="0"/>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5、发生经第三方具备国家资质机构确认的因食材质量导致的人员中毒事件，除必须承担其相应的医疗费用外，同时解除双方合约关系，同时按相关法律法规承担相应的责任。</w:t>
      </w:r>
    </w:p>
    <w:p w14:paraId="0206E147">
      <w:pPr>
        <w:snapToGrid w:val="0"/>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6、考评细则</w:t>
      </w:r>
    </w:p>
    <w:p w14:paraId="19DAC0D2">
      <w:pPr>
        <w:snapToGrid w:val="0"/>
        <w:spacing w:line="360" w:lineRule="auto"/>
        <w:ind w:firstLine="720" w:firstLineChars="3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6.1以月为单位进行考核，考核基准分为100分，95分（含95分）以上为“合格”等级（小数点后数字四舍五入,下同）；</w:t>
      </w:r>
    </w:p>
    <w:p w14:paraId="0C1FF36B">
      <w:pPr>
        <w:snapToGrid w:val="0"/>
        <w:spacing w:line="360" w:lineRule="auto"/>
        <w:ind w:firstLine="720" w:firstLineChars="3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6.2达到90分（含90分）以上且低于95分（不含95分）的为“基本合格”等级；</w:t>
      </w:r>
    </w:p>
    <w:p w14:paraId="25CE3AC0">
      <w:pPr>
        <w:snapToGrid w:val="0"/>
        <w:spacing w:line="360" w:lineRule="auto"/>
        <w:ind w:firstLine="720" w:firstLineChars="3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6.3达到85分（含85分）以上且低于90分（不含90分）的为“较差”等级，以90分为基准分值，每差1分从当月结算款中直接扣除1000元；</w:t>
      </w:r>
    </w:p>
    <w:p w14:paraId="11FD6A4F">
      <w:pPr>
        <w:snapToGrid w:val="0"/>
        <w:spacing w:line="360" w:lineRule="auto"/>
        <w:ind w:firstLine="720" w:firstLineChars="3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6.4低于85分（不含85分）为“差”等级，以90分为基准分值，每差1分从当月结算款项中直接扣除1000元；</w:t>
      </w:r>
    </w:p>
    <w:p w14:paraId="54E5B672">
      <w:pPr>
        <w:snapToGrid w:val="0"/>
        <w:spacing w:line="360" w:lineRule="auto"/>
        <w:ind w:firstLine="720" w:firstLineChars="3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6.5一年内累计三次单月考核得分低于85分（不含85分），采购人有权终止合同，并扣除履约保证金。</w:t>
      </w:r>
    </w:p>
    <w:p w14:paraId="0249CCC4">
      <w:pPr>
        <w:snapToGrid w:val="0"/>
        <w:spacing w:line="360" w:lineRule="auto"/>
        <w:ind w:firstLine="482" w:firstLineChars="200"/>
        <w:rPr>
          <w:rFonts w:hint="eastAsia" w:ascii="仿宋" w:hAnsi="仿宋" w:eastAsia="仿宋" w:cs="仿宋"/>
          <w:color w:val="auto"/>
          <w:sz w:val="24"/>
          <w:szCs w:val="24"/>
          <w:lang w:val="en-US" w:eastAsia="zh-CN"/>
        </w:rPr>
      </w:pPr>
      <w:r>
        <w:rPr>
          <w:rFonts w:hint="eastAsia" w:ascii="仿宋" w:hAnsi="仿宋" w:eastAsia="仿宋" w:cs="仿宋"/>
          <w:b/>
          <w:bCs/>
          <w:color w:val="auto"/>
          <w:sz w:val="24"/>
          <w:szCs w:val="24"/>
          <w:lang w:val="en-US" w:eastAsia="zh-CN"/>
        </w:rPr>
        <w:t>具体考核细则如下：</w:t>
      </w:r>
    </w:p>
    <w:tbl>
      <w:tblPr>
        <w:tblStyle w:val="15"/>
        <w:tblW w:w="499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25"/>
        <w:gridCol w:w="1668"/>
        <w:gridCol w:w="6722"/>
      </w:tblGrid>
      <w:tr w14:paraId="2E3ADF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8" w:hRule="atLeast"/>
        </w:trPr>
        <w:tc>
          <w:tcPr>
            <w:tcW w:w="637" w:type="pct"/>
            <w:tcBorders>
              <w:tl2br w:val="nil"/>
              <w:tr2bl w:val="nil"/>
            </w:tcBorders>
            <w:noWrap w:val="0"/>
            <w:vAlign w:val="center"/>
          </w:tcPr>
          <w:p w14:paraId="068B23ED">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项目</w:t>
            </w:r>
          </w:p>
        </w:tc>
        <w:tc>
          <w:tcPr>
            <w:tcW w:w="867" w:type="pct"/>
            <w:tcBorders>
              <w:tl2br w:val="nil"/>
              <w:tr2bl w:val="nil"/>
            </w:tcBorders>
            <w:noWrap w:val="0"/>
            <w:vAlign w:val="center"/>
          </w:tcPr>
          <w:p w14:paraId="6FE66980">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考核指标</w:t>
            </w:r>
          </w:p>
        </w:tc>
        <w:tc>
          <w:tcPr>
            <w:tcW w:w="3494" w:type="pct"/>
            <w:tcBorders>
              <w:tl2br w:val="nil"/>
              <w:tr2bl w:val="nil"/>
            </w:tcBorders>
            <w:noWrap w:val="0"/>
            <w:vAlign w:val="center"/>
          </w:tcPr>
          <w:p w14:paraId="27EF2D90">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考核说明</w:t>
            </w:r>
          </w:p>
        </w:tc>
      </w:tr>
      <w:tr w14:paraId="1CA234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37" w:hRule="atLeast"/>
        </w:trPr>
        <w:tc>
          <w:tcPr>
            <w:tcW w:w="637" w:type="pct"/>
            <w:vMerge w:val="restart"/>
            <w:tcBorders>
              <w:tl2br w:val="nil"/>
              <w:tr2bl w:val="nil"/>
            </w:tcBorders>
            <w:noWrap w:val="0"/>
            <w:vAlign w:val="center"/>
          </w:tcPr>
          <w:p w14:paraId="0D7BD0C5">
            <w:pPr>
              <w:keepNext w:val="0"/>
              <w:keepLines w:val="0"/>
              <w:suppressLineNumbers w:val="0"/>
              <w:snapToGrid w:val="0"/>
              <w:spacing w:before="0" w:beforeAutospacing="0" w:after="0" w:afterAutospacing="0" w:line="360" w:lineRule="auto"/>
              <w:ind w:left="0" w:right="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货物质量</w:t>
            </w:r>
          </w:p>
        </w:tc>
        <w:tc>
          <w:tcPr>
            <w:tcW w:w="867" w:type="pct"/>
            <w:tcBorders>
              <w:tl2br w:val="nil"/>
              <w:tr2bl w:val="nil"/>
            </w:tcBorders>
            <w:noWrap w:val="0"/>
            <w:vAlign w:val="center"/>
          </w:tcPr>
          <w:p w14:paraId="59DFCA53">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配送货物质量合格</w:t>
            </w:r>
          </w:p>
        </w:tc>
        <w:tc>
          <w:tcPr>
            <w:tcW w:w="3494" w:type="pct"/>
            <w:tcBorders>
              <w:tl2br w:val="nil"/>
              <w:tr2bl w:val="nil"/>
            </w:tcBorders>
            <w:noWrap w:val="0"/>
            <w:vAlign w:val="center"/>
          </w:tcPr>
          <w:p w14:paraId="04EA79D4">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出现货物腐烂变质，霉变等质量问题的，每个单品一次扣5分并做退货处理；出现其他质量问题的，每个单品一次扣1分，出现以次充好、夹带的，每个单品一次扣2分。</w:t>
            </w:r>
          </w:p>
        </w:tc>
      </w:tr>
      <w:tr w14:paraId="5A5E0E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2" w:hRule="atLeast"/>
        </w:trPr>
        <w:tc>
          <w:tcPr>
            <w:tcW w:w="637" w:type="pct"/>
            <w:vMerge w:val="continue"/>
            <w:tcBorders>
              <w:tl2br w:val="nil"/>
              <w:tr2bl w:val="nil"/>
            </w:tcBorders>
            <w:noWrap w:val="0"/>
            <w:vAlign w:val="center"/>
          </w:tcPr>
          <w:p w14:paraId="2D07E974">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p>
        </w:tc>
        <w:tc>
          <w:tcPr>
            <w:tcW w:w="867" w:type="pct"/>
            <w:tcBorders>
              <w:tl2br w:val="nil"/>
              <w:tr2bl w:val="nil"/>
            </w:tcBorders>
            <w:noWrap w:val="0"/>
            <w:vAlign w:val="center"/>
          </w:tcPr>
          <w:p w14:paraId="2E8457D5">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配送品种、品牌、规格、品质、含水（冰）量等符合约定标准的货物</w:t>
            </w:r>
          </w:p>
        </w:tc>
        <w:tc>
          <w:tcPr>
            <w:tcW w:w="3494" w:type="pct"/>
            <w:tcBorders>
              <w:tl2br w:val="nil"/>
              <w:tr2bl w:val="nil"/>
            </w:tcBorders>
            <w:noWrap w:val="0"/>
            <w:vAlign w:val="center"/>
          </w:tcPr>
          <w:p w14:paraId="5956CE38">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未经同意不得随意更换货物的品牌、品种、规格、型号等，随意更换的，每个单品一次扣2分并做退货处理；冻品按照约定要求无冰或少冰，如超过约定含冰量的，每个单品一次扣2分并做退货处理；成交供应商以无货品、无利润为由，拒绝配送货物的，每个单品一次扣3分。</w:t>
            </w:r>
          </w:p>
        </w:tc>
      </w:tr>
      <w:tr w14:paraId="7EADE8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8" w:hRule="atLeast"/>
        </w:trPr>
        <w:tc>
          <w:tcPr>
            <w:tcW w:w="637" w:type="pct"/>
            <w:vMerge w:val="continue"/>
            <w:tcBorders>
              <w:tl2br w:val="nil"/>
              <w:tr2bl w:val="nil"/>
            </w:tcBorders>
            <w:noWrap w:val="0"/>
            <w:vAlign w:val="center"/>
          </w:tcPr>
          <w:p w14:paraId="1ACD5DCB">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p>
        </w:tc>
        <w:tc>
          <w:tcPr>
            <w:tcW w:w="867" w:type="pct"/>
            <w:tcBorders>
              <w:tl2br w:val="nil"/>
              <w:tr2bl w:val="nil"/>
            </w:tcBorders>
            <w:noWrap w:val="0"/>
            <w:vAlign w:val="center"/>
          </w:tcPr>
          <w:p w14:paraId="457B9B4F">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配送数量浮动标准</w:t>
            </w:r>
          </w:p>
        </w:tc>
        <w:tc>
          <w:tcPr>
            <w:tcW w:w="3494" w:type="pct"/>
            <w:tcBorders>
              <w:tl2br w:val="nil"/>
              <w:tr2bl w:val="nil"/>
            </w:tcBorders>
            <w:noWrap w:val="0"/>
            <w:vAlign w:val="center"/>
          </w:tcPr>
          <w:p w14:paraId="1BC37678">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一般货物实际供应量在计划数量基础上，上下浮动不得超过±5%，如超过相应比例视作违规配送，每个单品一次扣1分（特殊情况经采购人同意的除外）。</w:t>
            </w:r>
          </w:p>
        </w:tc>
      </w:tr>
      <w:tr w14:paraId="699C9C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8" w:hRule="atLeast"/>
        </w:trPr>
        <w:tc>
          <w:tcPr>
            <w:tcW w:w="637" w:type="pct"/>
            <w:vMerge w:val="restart"/>
            <w:tcBorders>
              <w:tl2br w:val="nil"/>
              <w:tr2bl w:val="nil"/>
            </w:tcBorders>
            <w:noWrap w:val="0"/>
            <w:vAlign w:val="center"/>
          </w:tcPr>
          <w:p w14:paraId="37D1F238">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服务质量</w:t>
            </w:r>
          </w:p>
        </w:tc>
        <w:tc>
          <w:tcPr>
            <w:tcW w:w="867" w:type="pct"/>
            <w:tcBorders>
              <w:tl2br w:val="nil"/>
              <w:tr2bl w:val="nil"/>
            </w:tcBorders>
            <w:noWrap w:val="0"/>
            <w:vAlign w:val="center"/>
          </w:tcPr>
          <w:p w14:paraId="796B4FA6">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配送时间</w:t>
            </w:r>
          </w:p>
        </w:tc>
        <w:tc>
          <w:tcPr>
            <w:tcW w:w="3494" w:type="pct"/>
            <w:tcBorders>
              <w:tl2br w:val="nil"/>
              <w:tr2bl w:val="nil"/>
            </w:tcBorders>
            <w:noWrap w:val="0"/>
            <w:vAlign w:val="center"/>
          </w:tcPr>
          <w:p w14:paraId="5F3E0C16">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每日所需物品须于当日早上6：00时前送达，应急采购任务（突发事件保障）必须按照约定时间送达，迟到30分钟内，每次扣1分；迟到30分钟以上每次扣2分；影响开餐的（含因时间关系更换菜品、改变制作方式、延误开餐等情况）一次扣3分。</w:t>
            </w:r>
          </w:p>
        </w:tc>
      </w:tr>
      <w:tr w14:paraId="6ACC14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9" w:hRule="atLeast"/>
        </w:trPr>
        <w:tc>
          <w:tcPr>
            <w:tcW w:w="637" w:type="pct"/>
            <w:vMerge w:val="continue"/>
            <w:tcBorders>
              <w:tl2br w:val="nil"/>
              <w:tr2bl w:val="nil"/>
            </w:tcBorders>
            <w:noWrap w:val="0"/>
            <w:vAlign w:val="center"/>
          </w:tcPr>
          <w:p w14:paraId="2F652784">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p>
        </w:tc>
        <w:tc>
          <w:tcPr>
            <w:tcW w:w="867" w:type="pct"/>
            <w:tcBorders>
              <w:tl2br w:val="nil"/>
              <w:tr2bl w:val="nil"/>
            </w:tcBorders>
            <w:noWrap w:val="0"/>
            <w:vAlign w:val="center"/>
          </w:tcPr>
          <w:p w14:paraId="53907571">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漏送货情况，退换、补货情况</w:t>
            </w:r>
          </w:p>
        </w:tc>
        <w:tc>
          <w:tcPr>
            <w:tcW w:w="3494" w:type="pct"/>
            <w:tcBorders>
              <w:tl2br w:val="nil"/>
              <w:tr2bl w:val="nil"/>
            </w:tcBorders>
            <w:noWrap w:val="0"/>
            <w:vAlign w:val="center"/>
          </w:tcPr>
          <w:p w14:paraId="0EE29E46">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漏送货在不影响开餐的情况下，每周第一次做警告提醒，第二次起每次扣1分，超过三个品种的每次扣2分；因漏送货、退货等原因导致货物不足的，必须按照规定时间补足货物，因未补足货物影响开餐的（含因时间关系更换菜品、改变制作方式、延误开餐等情况）一次扣4分。</w:t>
            </w:r>
          </w:p>
        </w:tc>
      </w:tr>
      <w:tr w14:paraId="34D800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7" w:hRule="atLeast"/>
        </w:trPr>
        <w:tc>
          <w:tcPr>
            <w:tcW w:w="637" w:type="pct"/>
            <w:tcBorders>
              <w:tl2br w:val="nil"/>
              <w:tr2bl w:val="nil"/>
            </w:tcBorders>
            <w:noWrap w:val="0"/>
            <w:vAlign w:val="center"/>
          </w:tcPr>
          <w:p w14:paraId="5115BAE4">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人员管理</w:t>
            </w:r>
          </w:p>
        </w:tc>
        <w:tc>
          <w:tcPr>
            <w:tcW w:w="867" w:type="pct"/>
            <w:tcBorders>
              <w:tl2br w:val="nil"/>
              <w:tr2bl w:val="nil"/>
            </w:tcBorders>
            <w:noWrap w:val="0"/>
            <w:vAlign w:val="center"/>
          </w:tcPr>
          <w:p w14:paraId="0E881364">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员工健康、个人卫生管理。</w:t>
            </w:r>
          </w:p>
        </w:tc>
        <w:tc>
          <w:tcPr>
            <w:tcW w:w="3494" w:type="pct"/>
            <w:tcBorders>
              <w:tl2br w:val="nil"/>
              <w:tr2bl w:val="nil"/>
            </w:tcBorders>
            <w:noWrap w:val="0"/>
            <w:vAlign w:val="center"/>
          </w:tcPr>
          <w:p w14:paraId="6808F85E">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员工需衣着整洁，个人清洁卫生干净，不符合要求一次扣1分；抽检配送员工的《健康证》，如没有的一人次扣2分，并劝离工作岗位。</w:t>
            </w:r>
          </w:p>
        </w:tc>
      </w:tr>
      <w:tr w14:paraId="19E289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4" w:hRule="atLeast"/>
        </w:trPr>
        <w:tc>
          <w:tcPr>
            <w:tcW w:w="637" w:type="pct"/>
            <w:vMerge w:val="restart"/>
            <w:tcBorders>
              <w:tl2br w:val="nil"/>
              <w:tr2bl w:val="nil"/>
            </w:tcBorders>
            <w:noWrap w:val="0"/>
            <w:vAlign w:val="center"/>
          </w:tcPr>
          <w:p w14:paraId="65027DE0">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其他</w:t>
            </w:r>
          </w:p>
        </w:tc>
        <w:tc>
          <w:tcPr>
            <w:tcW w:w="867" w:type="pct"/>
            <w:tcBorders>
              <w:tl2br w:val="nil"/>
              <w:tr2bl w:val="nil"/>
            </w:tcBorders>
            <w:noWrap w:val="0"/>
            <w:vAlign w:val="center"/>
          </w:tcPr>
          <w:p w14:paraId="027AB03B">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应急任务</w:t>
            </w:r>
          </w:p>
        </w:tc>
        <w:tc>
          <w:tcPr>
            <w:tcW w:w="3494" w:type="pct"/>
            <w:tcBorders>
              <w:tl2br w:val="nil"/>
              <w:tr2bl w:val="nil"/>
            </w:tcBorders>
            <w:noWrap w:val="0"/>
            <w:vAlign w:val="center"/>
          </w:tcPr>
          <w:p w14:paraId="4232ACD0">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未按合同约定完成应急保障任务，每次扣10分。</w:t>
            </w:r>
          </w:p>
        </w:tc>
      </w:tr>
      <w:tr w14:paraId="563C46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8" w:hRule="atLeast"/>
        </w:trPr>
        <w:tc>
          <w:tcPr>
            <w:tcW w:w="637" w:type="pct"/>
            <w:vMerge w:val="continue"/>
            <w:tcBorders>
              <w:tl2br w:val="nil"/>
              <w:tr2bl w:val="nil"/>
            </w:tcBorders>
            <w:noWrap w:val="0"/>
            <w:vAlign w:val="center"/>
          </w:tcPr>
          <w:p w14:paraId="31C01B32">
            <w:pPr>
              <w:keepNext w:val="0"/>
              <w:keepLines w:val="0"/>
              <w:suppressLineNumbers w:val="0"/>
              <w:snapToGrid w:val="0"/>
              <w:spacing w:before="0" w:beforeAutospacing="0" w:after="0" w:afterAutospacing="0" w:line="360" w:lineRule="auto"/>
              <w:ind w:left="0" w:right="0" w:firstLine="480" w:firstLineChars="200"/>
              <w:jc w:val="center"/>
              <w:rPr>
                <w:rFonts w:hint="eastAsia" w:ascii="仿宋" w:hAnsi="仿宋" w:eastAsia="仿宋" w:cs="仿宋"/>
                <w:color w:val="auto"/>
                <w:sz w:val="24"/>
                <w:szCs w:val="24"/>
                <w:lang w:val="en-US" w:eastAsia="zh-CN"/>
              </w:rPr>
            </w:pPr>
          </w:p>
        </w:tc>
        <w:tc>
          <w:tcPr>
            <w:tcW w:w="867" w:type="pct"/>
            <w:tcBorders>
              <w:tl2br w:val="nil"/>
              <w:tr2bl w:val="nil"/>
            </w:tcBorders>
            <w:noWrap w:val="0"/>
            <w:vAlign w:val="center"/>
          </w:tcPr>
          <w:p w14:paraId="5EC83B6B">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配送物品</w:t>
            </w:r>
          </w:p>
        </w:tc>
        <w:tc>
          <w:tcPr>
            <w:tcW w:w="3494" w:type="pct"/>
            <w:tcBorders>
              <w:tl2br w:val="nil"/>
              <w:tr2bl w:val="nil"/>
            </w:tcBorders>
            <w:noWrap w:val="0"/>
            <w:vAlign w:val="center"/>
          </w:tcPr>
          <w:p w14:paraId="72AF9749">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一般性物品，急需物品按采购人要求在约定时间内采购到位，每个单品逾期一天扣2分，最多扣10分；特殊保障物品必须在规定时间内采购到位，如延误，每个单品一次扣2分。采购人提供配送物品样品的或指定采购地点的，配送商须按要求采购，未按要求采购的，一次扣2分。大型商超以外的货物，所报价格不得虚高（偏离市场价20%以上），虚假报价一经查实，每查实一个单品扣1分。</w:t>
            </w:r>
          </w:p>
        </w:tc>
      </w:tr>
      <w:tr w14:paraId="59DA88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9" w:hRule="atLeast"/>
        </w:trPr>
        <w:tc>
          <w:tcPr>
            <w:tcW w:w="637" w:type="pct"/>
            <w:vMerge w:val="continue"/>
            <w:tcBorders>
              <w:tl2br w:val="nil"/>
              <w:tr2bl w:val="nil"/>
            </w:tcBorders>
            <w:noWrap w:val="0"/>
            <w:vAlign w:val="center"/>
          </w:tcPr>
          <w:p w14:paraId="5BD04B70">
            <w:pPr>
              <w:keepNext w:val="0"/>
              <w:keepLines w:val="0"/>
              <w:suppressLineNumbers w:val="0"/>
              <w:snapToGrid w:val="0"/>
              <w:spacing w:before="0" w:beforeAutospacing="0" w:after="0" w:afterAutospacing="0" w:line="360" w:lineRule="auto"/>
              <w:ind w:left="0" w:right="0" w:firstLine="480" w:firstLineChars="200"/>
              <w:jc w:val="center"/>
              <w:rPr>
                <w:rFonts w:hint="eastAsia" w:ascii="仿宋" w:hAnsi="仿宋" w:eastAsia="仿宋" w:cs="仿宋"/>
                <w:color w:val="auto"/>
                <w:sz w:val="24"/>
                <w:szCs w:val="24"/>
                <w:lang w:val="en-US" w:eastAsia="zh-CN"/>
              </w:rPr>
            </w:pPr>
          </w:p>
        </w:tc>
        <w:tc>
          <w:tcPr>
            <w:tcW w:w="867" w:type="pct"/>
            <w:tcBorders>
              <w:tl2br w:val="nil"/>
              <w:tr2bl w:val="nil"/>
            </w:tcBorders>
            <w:noWrap w:val="0"/>
            <w:vAlign w:val="center"/>
          </w:tcPr>
          <w:p w14:paraId="2EB33977">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履行合同约定情况</w:t>
            </w:r>
          </w:p>
        </w:tc>
        <w:tc>
          <w:tcPr>
            <w:tcW w:w="3494" w:type="pct"/>
            <w:tcBorders>
              <w:tl2br w:val="nil"/>
              <w:tr2bl w:val="nil"/>
            </w:tcBorders>
            <w:noWrap w:val="0"/>
            <w:vAlign w:val="center"/>
          </w:tcPr>
          <w:p w14:paraId="125D9123">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合同、采购文件、供应商承诺书等约定或承诺的相关事项，未完成一项每次扣2分。</w:t>
            </w:r>
          </w:p>
        </w:tc>
      </w:tr>
      <w:tr w14:paraId="78D5E1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trPr>
        <w:tc>
          <w:tcPr>
            <w:tcW w:w="637" w:type="pct"/>
            <w:vMerge w:val="continue"/>
            <w:tcBorders>
              <w:tl2br w:val="nil"/>
              <w:tr2bl w:val="nil"/>
            </w:tcBorders>
            <w:noWrap w:val="0"/>
            <w:vAlign w:val="center"/>
          </w:tcPr>
          <w:p w14:paraId="0B4FA5E0">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p>
        </w:tc>
        <w:tc>
          <w:tcPr>
            <w:tcW w:w="867" w:type="pct"/>
            <w:tcBorders>
              <w:tl2br w:val="nil"/>
              <w:tr2bl w:val="nil"/>
            </w:tcBorders>
            <w:noWrap w:val="0"/>
            <w:vAlign w:val="center"/>
          </w:tcPr>
          <w:p w14:paraId="5C90B97E">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其他</w:t>
            </w:r>
          </w:p>
        </w:tc>
        <w:tc>
          <w:tcPr>
            <w:tcW w:w="3494" w:type="pct"/>
            <w:tcBorders>
              <w:tl2br w:val="nil"/>
              <w:tr2bl w:val="nil"/>
            </w:tcBorders>
            <w:noWrap w:val="0"/>
            <w:vAlign w:val="center"/>
          </w:tcPr>
          <w:p w14:paraId="6F671B65">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违反采购人管理规定被通报一次扣5分；造成恶劣影响一次扣20分。</w:t>
            </w:r>
          </w:p>
        </w:tc>
      </w:tr>
      <w:tr w14:paraId="6A0166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 w:hRule="atLeast"/>
        </w:trPr>
        <w:tc>
          <w:tcPr>
            <w:tcW w:w="637" w:type="pct"/>
            <w:tcBorders>
              <w:tl2br w:val="nil"/>
              <w:tr2bl w:val="nil"/>
            </w:tcBorders>
            <w:noWrap w:val="0"/>
            <w:vAlign w:val="center"/>
          </w:tcPr>
          <w:p w14:paraId="693D4B1E">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加分项目</w:t>
            </w:r>
          </w:p>
        </w:tc>
        <w:tc>
          <w:tcPr>
            <w:tcW w:w="867" w:type="pct"/>
            <w:tcBorders>
              <w:tl2br w:val="nil"/>
              <w:tr2bl w:val="nil"/>
            </w:tcBorders>
            <w:noWrap w:val="0"/>
            <w:vAlign w:val="center"/>
          </w:tcPr>
          <w:p w14:paraId="7D713143">
            <w:pPr>
              <w:keepNext w:val="0"/>
              <w:keepLines w:val="0"/>
              <w:suppressLineNumbers w:val="0"/>
              <w:snapToGrid w:val="0"/>
              <w:spacing w:before="0" w:beforeAutospacing="0" w:after="0" w:afterAutospacing="0" w:line="360" w:lineRule="auto"/>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应急任务</w:t>
            </w:r>
          </w:p>
        </w:tc>
        <w:tc>
          <w:tcPr>
            <w:tcW w:w="3494" w:type="pct"/>
            <w:tcBorders>
              <w:tl2br w:val="nil"/>
              <w:tr2bl w:val="nil"/>
            </w:tcBorders>
            <w:noWrap w:val="0"/>
            <w:vAlign w:val="center"/>
          </w:tcPr>
          <w:p w14:paraId="06768B44">
            <w:pPr>
              <w:keepNext w:val="0"/>
              <w:keepLines w:val="0"/>
              <w:suppressLineNumbers w:val="0"/>
              <w:snapToGrid w:val="0"/>
              <w:spacing w:before="0" w:beforeAutospacing="0" w:after="0" w:afterAutospacing="0" w:line="360" w:lineRule="auto"/>
              <w:ind w:left="0" w:right="0"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顺利完成1小时内的应急保障任务，每次加4分；顺利完成2小时以内应急保障任务，每次加2分；顺利完成综合（大型）保障任务每次加4分。</w:t>
            </w:r>
          </w:p>
        </w:tc>
      </w:tr>
    </w:tbl>
    <w:p w14:paraId="5AE63CD8">
      <w:pPr>
        <w:widowControl w:val="0"/>
        <w:numPr>
          <w:ilvl w:val="0"/>
          <w:numId w:val="0"/>
        </w:numPr>
        <w:jc w:val="both"/>
        <w:rPr>
          <w:rFonts w:hint="eastAsia"/>
          <w:color w:val="auto"/>
          <w:lang w:val="en-US" w:eastAsia="zh-CN"/>
        </w:rPr>
      </w:pPr>
    </w:p>
    <w:p w14:paraId="2CF21A09">
      <w:pPr>
        <w:pStyle w:val="4"/>
        <w:adjustRightInd w:val="0"/>
        <w:snapToGrid w:val="0"/>
        <w:spacing w:before="0" w:after="0" w:line="360" w:lineRule="auto"/>
        <w:ind w:firstLine="482" w:firstLineChars="200"/>
        <w:rPr>
          <w:rFonts w:hint="eastAsia" w:ascii="仿宋" w:hAnsi="仿宋" w:eastAsia="仿宋" w:cs="仿宋"/>
          <w:color w:val="auto"/>
          <w:sz w:val="24"/>
          <w:szCs w:val="24"/>
          <w:highlight w:val="none"/>
        </w:rPr>
      </w:pPr>
      <w:bookmarkStart w:id="87" w:name="_Toc6945"/>
      <w:bookmarkStart w:id="88" w:name="_Toc23499"/>
      <w:bookmarkStart w:id="89" w:name="_Toc14241"/>
      <w:bookmarkStart w:id="90" w:name="_Toc4423"/>
      <w:bookmarkStart w:id="91" w:name="_Toc12732"/>
      <w:bookmarkStart w:id="92" w:name="_Toc14741"/>
      <w:r>
        <w:rPr>
          <w:rFonts w:hint="eastAsia" w:ascii="仿宋" w:hAnsi="仿宋" w:eastAsia="仿宋" w:cs="仿宋"/>
          <w:color w:val="auto"/>
          <w:sz w:val="24"/>
          <w:szCs w:val="24"/>
          <w:highlight w:val="none"/>
          <w:lang w:val="en-US" w:eastAsia="zh-CN"/>
        </w:rPr>
        <w:t>五</w:t>
      </w:r>
      <w:r>
        <w:rPr>
          <w:rFonts w:hint="eastAsia" w:ascii="仿宋" w:hAnsi="仿宋" w:eastAsia="仿宋" w:cs="仿宋"/>
          <w:color w:val="auto"/>
          <w:sz w:val="24"/>
          <w:szCs w:val="24"/>
          <w:highlight w:val="none"/>
        </w:rPr>
        <w:t>、</w:t>
      </w:r>
      <w:bookmarkEnd w:id="83"/>
      <w:bookmarkEnd w:id="84"/>
      <w:bookmarkEnd w:id="85"/>
      <w:r>
        <w:rPr>
          <w:rFonts w:hint="eastAsia" w:ascii="仿宋" w:hAnsi="仿宋" w:eastAsia="仿宋" w:cs="仿宋"/>
          <w:color w:val="auto"/>
          <w:sz w:val="24"/>
          <w:szCs w:val="24"/>
          <w:highlight w:val="none"/>
        </w:rPr>
        <w:t>履约保证金</w:t>
      </w:r>
      <w:bookmarkEnd w:id="87"/>
      <w:bookmarkEnd w:id="88"/>
      <w:bookmarkEnd w:id="89"/>
      <w:bookmarkEnd w:id="90"/>
      <w:bookmarkEnd w:id="91"/>
      <w:bookmarkEnd w:id="92"/>
    </w:p>
    <w:p w14:paraId="5BF8E433">
      <w:pPr>
        <w:pageBreakBefore w:val="0"/>
        <w:widowControl w:val="0"/>
        <w:kinsoku/>
        <w:wordWrap/>
        <w:overflowPunct/>
        <w:topLinePunct w:val="0"/>
        <w:autoSpaceDE/>
        <w:autoSpaceDN/>
        <w:bidi w:val="0"/>
        <w:snapToGrid w:val="0"/>
        <w:spacing w:line="400" w:lineRule="exact"/>
        <w:ind w:firstLine="480" w:firstLineChars="200"/>
        <w:rPr>
          <w:rFonts w:hint="eastAsia" w:ascii="仿宋" w:hAnsi="仿宋" w:eastAsia="仿宋" w:cs="仿宋"/>
          <w:b w:val="0"/>
          <w:color w:val="auto"/>
          <w:kern w:val="2"/>
          <w:sz w:val="24"/>
          <w:szCs w:val="24"/>
          <w:highlight w:val="none"/>
          <w:lang w:val="en-US" w:eastAsia="zh-CN" w:bidi="ar-SA"/>
        </w:rPr>
      </w:pPr>
      <w:bookmarkStart w:id="93" w:name="OLE_LINK4"/>
      <w:bookmarkStart w:id="94" w:name="OLE_LINK3"/>
      <w:r>
        <w:rPr>
          <w:rFonts w:hint="eastAsia" w:ascii="仿宋" w:hAnsi="仿宋" w:eastAsia="仿宋" w:cs="仿宋"/>
          <w:b w:val="0"/>
          <w:bCs w:val="0"/>
          <w:color w:val="auto"/>
          <w:kern w:val="0"/>
          <w:sz w:val="24"/>
          <w:szCs w:val="24"/>
          <w:highlight w:val="none"/>
          <w:lang w:eastAsia="zh-CN"/>
        </w:rPr>
        <w:t>（一）中标人</w:t>
      </w:r>
      <w:r>
        <w:rPr>
          <w:rFonts w:hint="eastAsia" w:ascii="仿宋" w:hAnsi="仿宋" w:eastAsia="仿宋" w:cs="仿宋"/>
          <w:b w:val="0"/>
          <w:bCs w:val="0"/>
          <w:color w:val="auto"/>
          <w:kern w:val="0"/>
          <w:sz w:val="24"/>
          <w:szCs w:val="24"/>
          <w:highlight w:val="none"/>
        </w:rPr>
        <w:t>在签订合同前向采购人按照规定</w:t>
      </w:r>
      <w:r>
        <w:rPr>
          <w:rFonts w:hint="eastAsia" w:ascii="仿宋" w:hAnsi="仿宋" w:eastAsia="仿宋" w:cs="仿宋"/>
          <w:b w:val="0"/>
          <w:bCs w:val="0"/>
          <w:color w:val="auto"/>
          <w:kern w:val="0"/>
          <w:sz w:val="24"/>
          <w:szCs w:val="24"/>
          <w:highlight w:val="none"/>
          <w:lang w:eastAsia="zh-CN"/>
        </w:rPr>
        <w:t>金额缴纳</w:t>
      </w:r>
      <w:r>
        <w:rPr>
          <w:rFonts w:hint="eastAsia" w:ascii="仿宋" w:hAnsi="仿宋" w:eastAsia="仿宋" w:cs="仿宋"/>
          <w:b w:val="0"/>
          <w:bCs w:val="0"/>
          <w:color w:val="auto"/>
          <w:kern w:val="0"/>
          <w:sz w:val="24"/>
          <w:szCs w:val="24"/>
          <w:highlight w:val="none"/>
        </w:rPr>
        <w:t>履约保证金，履约保证金：</w:t>
      </w:r>
      <w:r>
        <w:rPr>
          <w:rFonts w:hint="eastAsia" w:ascii="仿宋" w:hAnsi="仿宋" w:eastAsia="仿宋" w:cs="仿宋"/>
          <w:b w:val="0"/>
          <w:bCs w:val="0"/>
          <w:color w:val="auto"/>
          <w:kern w:val="0"/>
          <w:sz w:val="24"/>
          <w:szCs w:val="24"/>
          <w:highlight w:val="none"/>
          <w:u w:val="none"/>
          <w:lang w:val="en-US" w:eastAsia="zh-CN"/>
        </w:rPr>
        <w:t>4</w:t>
      </w:r>
      <w:r>
        <w:rPr>
          <w:rFonts w:hint="eastAsia" w:ascii="仿宋" w:hAnsi="仿宋" w:eastAsia="仿宋" w:cs="仿宋"/>
          <w:b w:val="0"/>
          <w:bCs w:val="0"/>
          <w:color w:val="auto"/>
          <w:kern w:val="0"/>
          <w:sz w:val="24"/>
          <w:szCs w:val="24"/>
          <w:highlight w:val="none"/>
          <w:u w:val="none"/>
        </w:rPr>
        <w:t>0000.00元（大写：</w:t>
      </w:r>
      <w:r>
        <w:rPr>
          <w:rFonts w:hint="eastAsia" w:ascii="仿宋" w:hAnsi="仿宋" w:eastAsia="仿宋" w:cs="仿宋"/>
          <w:b w:val="0"/>
          <w:bCs w:val="0"/>
          <w:color w:val="auto"/>
          <w:kern w:val="0"/>
          <w:sz w:val="24"/>
          <w:szCs w:val="24"/>
          <w:highlight w:val="none"/>
          <w:u w:val="none"/>
          <w:lang w:val="en-US" w:eastAsia="zh-CN"/>
        </w:rPr>
        <w:t>肆</w:t>
      </w:r>
      <w:r>
        <w:rPr>
          <w:rFonts w:hint="eastAsia" w:ascii="仿宋" w:hAnsi="仿宋" w:eastAsia="仿宋" w:cs="仿宋"/>
          <w:b w:val="0"/>
          <w:bCs w:val="0"/>
          <w:color w:val="auto"/>
          <w:kern w:val="0"/>
          <w:sz w:val="24"/>
          <w:szCs w:val="24"/>
          <w:highlight w:val="none"/>
          <w:u w:val="none"/>
        </w:rPr>
        <w:t>万元整）</w:t>
      </w:r>
      <w:bookmarkEnd w:id="93"/>
      <w:bookmarkEnd w:id="94"/>
      <w:r>
        <w:rPr>
          <w:rFonts w:hint="eastAsia" w:ascii="仿宋" w:hAnsi="仿宋" w:eastAsia="仿宋" w:cs="仿宋"/>
          <w:b w:val="0"/>
          <w:color w:val="auto"/>
          <w:kern w:val="2"/>
          <w:sz w:val="24"/>
          <w:szCs w:val="24"/>
          <w:highlight w:val="none"/>
          <w:lang w:val="en-US" w:eastAsia="zh-CN" w:bidi="ar-SA"/>
        </w:rPr>
        <w:t xml:space="preserve">（以现金或保函方式提交，履约保函包括银行保函、保证保险和担保保函；履约保函的开立人应当是具有相应资格的银行、保险机构、融资担保公司，其信用资质、履约能力、担保能力、赔付流程、安全保密等应符合履约保函业务条件。中标人对所提交的履约保函的真实性、合法性、有效性负责）。 </w:t>
      </w:r>
    </w:p>
    <w:p w14:paraId="0E84FF07">
      <w:pPr>
        <w:pageBreakBefore w:val="0"/>
        <w:widowControl w:val="0"/>
        <w:kinsoku/>
        <w:wordWrap/>
        <w:overflowPunct/>
        <w:topLinePunct w:val="0"/>
        <w:autoSpaceDE/>
        <w:autoSpaceDN/>
        <w:bidi w:val="0"/>
        <w:snapToGrid w:val="0"/>
        <w:spacing w:line="400" w:lineRule="exact"/>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b w:val="0"/>
          <w:color w:val="auto"/>
          <w:kern w:val="2"/>
          <w:sz w:val="24"/>
          <w:szCs w:val="24"/>
          <w:highlight w:val="none"/>
          <w:lang w:val="en-US" w:eastAsia="zh-CN" w:bidi="ar-SA"/>
        </w:rPr>
        <w:t>注：根据《关于印发重庆市融资担保公司监管评级及分类监管办法的通知》（渝金发〔2021〕5号）文件，担保公司须在《重庆市地方金融监督管理局关于开展2022年度监管评级有关工作的通知》、《重庆市地方金融监督管理局关于开展2023年度监管评级有关工作的通知》中监管评级等级在B级及以上。</w:t>
      </w:r>
    </w:p>
    <w:p w14:paraId="7E20EA34">
      <w:pPr>
        <w:numPr>
          <w:ilvl w:val="0"/>
          <w:numId w:val="0"/>
        </w:numPr>
        <w:snapToGrid w:val="0"/>
        <w:spacing w:beforeLines="0" w:afterLines="0" w:line="360" w:lineRule="auto"/>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kern w:val="0"/>
          <w:sz w:val="24"/>
          <w:szCs w:val="24"/>
          <w:highlight w:val="none"/>
          <w:lang w:eastAsia="zh-CN"/>
        </w:rPr>
        <w:t>（</w:t>
      </w:r>
      <w:r>
        <w:rPr>
          <w:rFonts w:hint="eastAsia" w:ascii="仿宋" w:hAnsi="仿宋" w:eastAsia="仿宋" w:cs="仿宋"/>
          <w:color w:val="auto"/>
          <w:kern w:val="0"/>
          <w:sz w:val="24"/>
          <w:szCs w:val="24"/>
          <w:highlight w:val="none"/>
          <w:lang w:val="en-US" w:eastAsia="zh-CN"/>
        </w:rPr>
        <w:t>二）</w:t>
      </w:r>
      <w:r>
        <w:rPr>
          <w:rFonts w:hint="eastAsia" w:ascii="仿宋" w:hAnsi="仿宋" w:eastAsia="仿宋" w:cs="仿宋"/>
          <w:color w:val="auto"/>
          <w:kern w:val="0"/>
          <w:sz w:val="24"/>
          <w:szCs w:val="24"/>
          <w:highlight w:val="none"/>
        </w:rPr>
        <w:t>在合同执行中，若中标人有违约情况或侵权行为对</w:t>
      </w:r>
      <w:r>
        <w:rPr>
          <w:rFonts w:hint="eastAsia" w:ascii="仿宋" w:hAnsi="仿宋" w:eastAsia="仿宋" w:cs="仿宋"/>
          <w:color w:val="auto"/>
          <w:kern w:val="0"/>
          <w:sz w:val="24"/>
          <w:szCs w:val="24"/>
          <w:highlight w:val="none"/>
          <w:lang w:eastAsia="zh-CN"/>
        </w:rPr>
        <w:t>采购人</w:t>
      </w:r>
      <w:r>
        <w:rPr>
          <w:rFonts w:hint="eastAsia" w:ascii="仿宋" w:hAnsi="仿宋" w:eastAsia="仿宋" w:cs="仿宋"/>
          <w:color w:val="auto"/>
          <w:kern w:val="0"/>
          <w:sz w:val="24"/>
          <w:szCs w:val="24"/>
          <w:highlight w:val="none"/>
        </w:rPr>
        <w:t>造成损失或不良影响，采购人有权直接从履约保证金中扣划，并随时要求中标人限期补足履约保证金。</w:t>
      </w:r>
    </w:p>
    <w:p w14:paraId="382FCDAD">
      <w:pPr>
        <w:snapToGrid w:val="0"/>
        <w:spacing w:beforeLines="0" w:afterLines="0"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lang w:eastAsia="zh-CN"/>
        </w:rPr>
        <w:t>（</w:t>
      </w:r>
      <w:r>
        <w:rPr>
          <w:rFonts w:hint="eastAsia" w:ascii="仿宋" w:hAnsi="仿宋" w:eastAsia="仿宋" w:cs="仿宋"/>
          <w:color w:val="auto"/>
          <w:kern w:val="0"/>
          <w:sz w:val="24"/>
          <w:szCs w:val="24"/>
          <w:highlight w:val="none"/>
          <w:lang w:val="en-US" w:eastAsia="zh-CN"/>
        </w:rPr>
        <w:t>三）</w:t>
      </w:r>
      <w:r>
        <w:rPr>
          <w:rFonts w:hint="eastAsia" w:ascii="仿宋" w:hAnsi="仿宋" w:eastAsia="仿宋" w:cs="仿宋"/>
          <w:color w:val="auto"/>
          <w:kern w:val="0"/>
          <w:sz w:val="24"/>
          <w:szCs w:val="24"/>
          <w:highlight w:val="none"/>
        </w:rPr>
        <w:t>在合同期满后，中标人无违约情况或侵权行为，可提出书面申请，由采购人在7个工作日内将履约保证金退给中标人。</w:t>
      </w:r>
    </w:p>
    <w:p w14:paraId="66B8A0A6">
      <w:pPr>
        <w:pStyle w:val="4"/>
        <w:keepNext/>
        <w:keepLines/>
        <w:pageBreakBefore w:val="0"/>
        <w:widowControl w:val="0"/>
        <w:kinsoku/>
        <w:wordWrap/>
        <w:overflowPunct/>
        <w:topLinePunct w:val="0"/>
        <w:autoSpaceDE/>
        <w:autoSpaceDN/>
        <w:bidi w:val="0"/>
        <w:adjustRightInd/>
        <w:snapToGrid/>
        <w:spacing w:before="0" w:after="0" w:line="360" w:lineRule="auto"/>
        <w:ind w:firstLine="482" w:firstLineChars="200"/>
        <w:textAlignment w:val="auto"/>
        <w:outlineLvl w:val="1"/>
        <w:rPr>
          <w:rFonts w:hint="eastAsia" w:ascii="仿宋" w:hAnsi="仿宋" w:eastAsia="仿宋" w:cs="仿宋"/>
          <w:color w:val="auto"/>
          <w:sz w:val="24"/>
          <w:szCs w:val="24"/>
          <w:highlight w:val="none"/>
        </w:rPr>
      </w:pPr>
      <w:bookmarkStart w:id="95" w:name="_Toc25862"/>
      <w:bookmarkStart w:id="96" w:name="_Toc1767"/>
      <w:bookmarkStart w:id="97" w:name="_Toc23463"/>
      <w:bookmarkStart w:id="98" w:name="_Toc14940"/>
      <w:bookmarkStart w:id="99" w:name="_Toc29123"/>
      <w:bookmarkStart w:id="100" w:name="_Toc7930"/>
      <w:bookmarkStart w:id="101" w:name="_Toc21057"/>
      <w:bookmarkStart w:id="102" w:name="_Toc11469"/>
      <w:bookmarkStart w:id="103" w:name="_Toc344475124"/>
      <w:bookmarkStart w:id="104" w:name="_Toc106030886"/>
      <w:bookmarkStart w:id="105" w:name="_Toc76462331"/>
      <w:r>
        <w:rPr>
          <w:rFonts w:hint="eastAsia" w:ascii="仿宋" w:hAnsi="仿宋" w:eastAsia="仿宋" w:cs="仿宋"/>
          <w:color w:val="auto"/>
          <w:sz w:val="24"/>
          <w:szCs w:val="24"/>
          <w:highlight w:val="none"/>
          <w:lang w:eastAsia="zh-CN"/>
        </w:rPr>
        <w:t>六</w:t>
      </w:r>
      <w:r>
        <w:rPr>
          <w:rFonts w:hint="eastAsia" w:ascii="仿宋" w:hAnsi="仿宋" w:eastAsia="仿宋" w:cs="仿宋"/>
          <w:color w:val="auto"/>
          <w:sz w:val="24"/>
          <w:szCs w:val="24"/>
          <w:highlight w:val="none"/>
        </w:rPr>
        <w:t>、</w:t>
      </w:r>
      <w:bookmarkStart w:id="106" w:name="_Toc2024"/>
      <w:r>
        <w:rPr>
          <w:rFonts w:hint="eastAsia" w:ascii="仿宋" w:hAnsi="仿宋" w:eastAsia="仿宋" w:cs="仿宋"/>
          <w:color w:val="auto"/>
          <w:sz w:val="24"/>
          <w:szCs w:val="24"/>
          <w:highlight w:val="none"/>
        </w:rPr>
        <w:t>食材询定价与结算</w:t>
      </w:r>
      <w:bookmarkEnd w:id="95"/>
      <w:bookmarkEnd w:id="96"/>
      <w:bookmarkEnd w:id="97"/>
      <w:bookmarkEnd w:id="98"/>
      <w:bookmarkEnd w:id="99"/>
      <w:bookmarkEnd w:id="100"/>
      <w:bookmarkEnd w:id="101"/>
      <w:bookmarkEnd w:id="102"/>
      <w:bookmarkEnd w:id="106"/>
    </w:p>
    <w:p w14:paraId="0975AE85">
      <w:pPr>
        <w:pageBreakBefore w:val="0"/>
        <w:widowControl w:val="0"/>
        <w:kinsoku/>
        <w:wordWrap/>
        <w:overflowPunct/>
        <w:topLinePunct w:val="0"/>
        <w:autoSpaceDE/>
        <w:autoSpaceDN/>
        <w:bidi w:val="0"/>
        <w:adjustRightInd/>
        <w:snapToGrid/>
        <w:spacing w:beforeLines="0" w:afterLines="0" w:line="360" w:lineRule="auto"/>
        <w:ind w:firstLine="480" w:firstLineChars="200"/>
        <w:textAlignment w:val="auto"/>
        <w:outlineLvl w:val="9"/>
        <w:rPr>
          <w:rFonts w:hint="eastAsia" w:ascii="仿宋" w:hAnsi="仿宋" w:eastAsia="仿宋" w:cs="仿宋"/>
          <w:color w:val="auto"/>
          <w:sz w:val="24"/>
          <w:szCs w:val="24"/>
          <w:highlight w:val="none"/>
        </w:rPr>
      </w:pPr>
      <w:bookmarkStart w:id="107" w:name="_Toc4707"/>
      <w:bookmarkStart w:id="108" w:name="OLE_LINK35"/>
      <w:r>
        <w:rPr>
          <w:rFonts w:hint="eastAsia" w:ascii="仿宋" w:hAnsi="仿宋" w:eastAsia="仿宋" w:cs="仿宋"/>
          <w:color w:val="auto"/>
          <w:sz w:val="24"/>
          <w:szCs w:val="24"/>
          <w:highlight w:val="none"/>
        </w:rPr>
        <w:t>（一）询定价</w:t>
      </w:r>
      <w:bookmarkEnd w:id="107"/>
    </w:p>
    <w:p w14:paraId="338D4566">
      <w:pPr>
        <w:pageBreakBefore w:val="0"/>
        <w:widowControl w:val="0"/>
        <w:numPr>
          <w:ilvl w:val="0"/>
          <w:numId w:val="0"/>
        </w:numPr>
        <w:kinsoku/>
        <w:wordWrap/>
        <w:overflowPunct/>
        <w:topLinePunct w:val="0"/>
        <w:autoSpaceDE/>
        <w:autoSpaceDN/>
        <w:bidi w:val="0"/>
        <w:adjustRightInd/>
        <w:snapToGrid/>
        <w:spacing w:beforeLines="0" w:afterLines="0" w:line="360" w:lineRule="auto"/>
        <w:ind w:leftChars="200"/>
        <w:textAlignment w:val="auto"/>
        <w:outlineLvl w:val="9"/>
        <w:rPr>
          <w:rFonts w:hint="eastAsia" w:ascii="仿宋" w:hAnsi="仿宋" w:eastAsia="仿宋" w:cs="仿宋"/>
          <w:color w:val="auto"/>
          <w:sz w:val="24"/>
          <w:szCs w:val="24"/>
          <w:highlight w:val="none"/>
        </w:rPr>
      </w:pPr>
      <w:bookmarkStart w:id="109" w:name="_Toc6336"/>
      <w:bookmarkStart w:id="110" w:name="OLE_LINK36"/>
      <w:r>
        <w:rPr>
          <w:rFonts w:hint="eastAsia" w:ascii="仿宋" w:hAnsi="仿宋" w:eastAsia="仿宋" w:cs="仿宋"/>
          <w:color w:val="auto"/>
          <w:sz w:val="24"/>
          <w:szCs w:val="24"/>
          <w:highlight w:val="none"/>
          <w:lang w:val="en-US" w:eastAsia="zh-CN"/>
        </w:rPr>
        <w:t>1、</w:t>
      </w:r>
      <w:r>
        <w:rPr>
          <w:rFonts w:hint="eastAsia" w:ascii="仿宋" w:hAnsi="仿宋" w:eastAsia="仿宋" w:cs="仿宋"/>
          <w:color w:val="auto"/>
          <w:sz w:val="24"/>
          <w:szCs w:val="24"/>
          <w:highlight w:val="none"/>
        </w:rPr>
        <w:t>原则上每月询</w:t>
      </w:r>
      <w:r>
        <w:rPr>
          <w:rFonts w:hint="eastAsia" w:ascii="仿宋" w:hAnsi="仿宋" w:eastAsia="仿宋" w:cs="仿宋"/>
          <w:color w:val="auto"/>
          <w:sz w:val="24"/>
          <w:szCs w:val="24"/>
          <w:highlight w:val="none"/>
          <w:lang w:val="en-US" w:eastAsia="zh-CN"/>
        </w:rPr>
        <w:t>价1次，</w:t>
      </w:r>
      <w:r>
        <w:rPr>
          <w:rFonts w:hint="eastAsia" w:ascii="仿宋" w:hAnsi="仿宋" w:eastAsia="仿宋" w:cs="仿宋"/>
          <w:color w:val="auto"/>
          <w:sz w:val="24"/>
          <w:szCs w:val="24"/>
          <w:highlight w:val="none"/>
        </w:rPr>
        <w:t>定价</w:t>
      </w:r>
      <w:r>
        <w:rPr>
          <w:rFonts w:hint="eastAsia" w:ascii="仿宋" w:hAnsi="仿宋" w:eastAsia="仿宋" w:cs="仿宋"/>
          <w:color w:val="auto"/>
          <w:sz w:val="24"/>
          <w:szCs w:val="24"/>
          <w:highlight w:val="none"/>
          <w:lang w:val="en-US" w:eastAsia="zh-CN"/>
        </w:rPr>
        <w:t>1</w:t>
      </w:r>
      <w:r>
        <w:rPr>
          <w:rFonts w:hint="eastAsia" w:ascii="仿宋" w:hAnsi="仿宋" w:eastAsia="仿宋" w:cs="仿宋"/>
          <w:color w:val="auto"/>
          <w:sz w:val="24"/>
          <w:szCs w:val="24"/>
          <w:highlight w:val="none"/>
        </w:rPr>
        <w:t>次。</w:t>
      </w:r>
      <w:bookmarkEnd w:id="109"/>
    </w:p>
    <w:p w14:paraId="6F778BC5">
      <w:pPr>
        <w:pageBreakBefore w:val="0"/>
        <w:widowControl w:val="0"/>
        <w:numPr>
          <w:ilvl w:val="0"/>
          <w:numId w:val="0"/>
        </w:numPr>
        <w:kinsoku/>
        <w:wordWrap/>
        <w:overflowPunct/>
        <w:topLinePunct w:val="0"/>
        <w:autoSpaceDE/>
        <w:autoSpaceDN/>
        <w:bidi w:val="0"/>
        <w:adjustRightInd/>
        <w:snapToGrid/>
        <w:spacing w:beforeLines="0" w:afterLines="0" w:line="360" w:lineRule="auto"/>
        <w:ind w:firstLine="480" w:firstLineChars="200"/>
        <w:textAlignment w:val="auto"/>
        <w:outlineLvl w:val="9"/>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每次询价的时间为</w:t>
      </w:r>
      <w:r>
        <w:rPr>
          <w:rFonts w:hint="eastAsia" w:ascii="仿宋" w:hAnsi="仿宋" w:eastAsia="仿宋" w:cs="仿宋"/>
          <w:color w:val="auto"/>
          <w:sz w:val="24"/>
          <w:szCs w:val="24"/>
          <w:highlight w:val="none"/>
          <w:lang w:val="en-US" w:eastAsia="zh-CN"/>
        </w:rPr>
        <w:t>上月</w:t>
      </w:r>
      <w:r>
        <w:rPr>
          <w:rFonts w:hint="eastAsia" w:ascii="仿宋" w:hAnsi="仿宋" w:eastAsia="仿宋" w:cs="仿宋"/>
          <w:b w:val="0"/>
          <w:bCs w:val="0"/>
          <w:color w:val="auto"/>
          <w:sz w:val="24"/>
          <w:szCs w:val="24"/>
          <w:highlight w:val="none"/>
          <w:lang w:val="en-US" w:eastAsia="zh-CN"/>
        </w:rPr>
        <w:t>26日</w:t>
      </w:r>
      <w:r>
        <w:rPr>
          <w:rFonts w:hint="eastAsia" w:ascii="仿宋" w:hAnsi="仿宋" w:eastAsia="仿宋" w:cs="仿宋"/>
          <w:color w:val="auto"/>
          <w:sz w:val="24"/>
          <w:szCs w:val="24"/>
          <w:highlight w:val="none"/>
        </w:rPr>
        <w:t>（节假日顺延至正常工作日</w:t>
      </w:r>
      <w:bookmarkStart w:id="111" w:name="OLE_LINK32"/>
      <w:r>
        <w:rPr>
          <w:rFonts w:hint="eastAsia" w:ascii="仿宋" w:hAnsi="仿宋" w:eastAsia="仿宋" w:cs="仿宋"/>
          <w:color w:val="auto"/>
          <w:sz w:val="24"/>
          <w:szCs w:val="24"/>
          <w:highlight w:val="none"/>
        </w:rPr>
        <w:t>）</w:t>
      </w:r>
      <w:r>
        <w:rPr>
          <w:rFonts w:hint="eastAsia" w:ascii="仿宋" w:hAnsi="仿宋" w:eastAsia="仿宋" w:cs="仿宋"/>
          <w:color w:val="auto"/>
          <w:sz w:val="24"/>
          <w:szCs w:val="24"/>
          <w:highlight w:val="none"/>
          <w:lang w:eastAsia="zh-CN"/>
        </w:rPr>
        <w:t>；</w:t>
      </w:r>
      <w:r>
        <w:rPr>
          <w:rFonts w:hint="eastAsia" w:ascii="仿宋" w:hAnsi="仿宋" w:eastAsia="仿宋" w:cs="仿宋"/>
          <w:color w:val="auto"/>
          <w:sz w:val="24"/>
          <w:szCs w:val="24"/>
          <w:highlight w:val="none"/>
          <w:lang w:val="en-US" w:eastAsia="zh-CN"/>
        </w:rPr>
        <w:t>由文旅集团食堂管理部门和中标供应商组成询价小组，以辖区内永辉超市、新世纪、足购鲜等超市商品挂牌价（不含特价商品）的最低价作为基础价</w:t>
      </w:r>
      <w:r>
        <w:rPr>
          <w:rFonts w:hint="eastAsia" w:ascii="仿宋" w:hAnsi="仿宋" w:eastAsia="仿宋" w:cs="仿宋"/>
          <w:color w:val="auto"/>
          <w:sz w:val="24"/>
          <w:szCs w:val="24"/>
          <w:highlight w:val="none"/>
        </w:rPr>
        <w:t>。</w:t>
      </w:r>
    </w:p>
    <w:bookmarkEnd w:id="110"/>
    <w:p w14:paraId="51F2B673">
      <w:pPr>
        <w:pageBreakBefore w:val="0"/>
        <w:widowControl w:val="0"/>
        <w:numPr>
          <w:ilvl w:val="0"/>
          <w:numId w:val="0"/>
        </w:numPr>
        <w:kinsoku/>
        <w:wordWrap/>
        <w:overflowPunct/>
        <w:topLinePunct w:val="0"/>
        <w:autoSpaceDE/>
        <w:autoSpaceDN/>
        <w:bidi w:val="0"/>
        <w:adjustRightInd/>
        <w:snapToGrid/>
        <w:spacing w:beforeLines="0" w:afterLines="0" w:line="360" w:lineRule="auto"/>
        <w:ind w:firstLine="480" w:firstLineChars="200"/>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2、个别品种在约定商超无法询价的，由双方商定其他市场或超市询价作为依据并按合同确定结算价。</w:t>
      </w:r>
    </w:p>
    <w:bookmarkEnd w:id="108"/>
    <w:bookmarkEnd w:id="111"/>
    <w:p w14:paraId="7CC07581">
      <w:pPr>
        <w:keepNext w:val="0"/>
        <w:keepLines w:val="0"/>
        <w:pageBreakBefore w:val="0"/>
        <w:widowControl w:val="0"/>
        <w:kinsoku/>
        <w:wordWrap/>
        <w:overflowPunct/>
        <w:topLinePunct w:val="0"/>
        <w:autoSpaceDE/>
        <w:autoSpaceDN/>
        <w:bidi w:val="0"/>
        <w:adjustRightInd/>
        <w:snapToGrid/>
        <w:spacing w:beforeLines="0" w:afterLines="0" w:line="360" w:lineRule="auto"/>
        <w:ind w:firstLine="480" w:firstLineChars="200"/>
        <w:textAlignment w:val="auto"/>
        <w:outlineLvl w:val="9"/>
        <w:rPr>
          <w:rFonts w:hint="eastAsia" w:ascii="仿宋" w:hAnsi="仿宋" w:eastAsia="仿宋" w:cs="仿宋"/>
          <w:color w:val="auto"/>
          <w:sz w:val="24"/>
          <w:szCs w:val="24"/>
          <w:highlight w:val="none"/>
        </w:rPr>
      </w:pPr>
      <w:bookmarkStart w:id="112" w:name="_Toc23934"/>
      <w:r>
        <w:rPr>
          <w:rFonts w:hint="eastAsia" w:ascii="仿宋" w:hAnsi="仿宋" w:eastAsia="仿宋" w:cs="仿宋"/>
          <w:color w:val="auto"/>
          <w:sz w:val="24"/>
          <w:szCs w:val="24"/>
          <w:highlight w:val="none"/>
        </w:rPr>
        <w:t>（二）结算</w:t>
      </w:r>
      <w:bookmarkEnd w:id="112"/>
    </w:p>
    <w:p w14:paraId="5CF82769">
      <w:pPr>
        <w:pageBreakBefore w:val="0"/>
        <w:widowControl w:val="0"/>
        <w:numPr>
          <w:ilvl w:val="0"/>
          <w:numId w:val="0"/>
        </w:numPr>
        <w:kinsoku/>
        <w:wordWrap/>
        <w:overflowPunct/>
        <w:topLinePunct w:val="0"/>
        <w:autoSpaceDE/>
        <w:autoSpaceDN/>
        <w:bidi w:val="0"/>
        <w:adjustRightInd/>
        <w:snapToGrid/>
        <w:spacing w:beforeLines="0" w:afterLines="0" w:line="360" w:lineRule="auto"/>
        <w:ind w:firstLine="480" w:firstLineChars="200"/>
        <w:textAlignment w:val="auto"/>
        <w:outlineLvl w:val="9"/>
        <w:rPr>
          <w:rFonts w:hint="eastAsia" w:ascii="仿宋" w:hAnsi="仿宋" w:eastAsia="仿宋" w:cs="仿宋"/>
          <w:color w:val="auto"/>
          <w:sz w:val="24"/>
          <w:szCs w:val="24"/>
          <w:highlight w:val="none"/>
          <w:lang w:val="en-US" w:eastAsia="zh-CN"/>
        </w:rPr>
      </w:pPr>
      <w:bookmarkStart w:id="113" w:name="_Toc12359"/>
      <w:bookmarkStart w:id="114" w:name="_Toc24305"/>
      <w:bookmarkStart w:id="115" w:name="_Toc23854"/>
      <w:bookmarkStart w:id="116" w:name="_Toc5336"/>
      <w:bookmarkStart w:id="117" w:name="_Toc17832"/>
      <w:bookmarkStart w:id="118" w:name="_Toc17415"/>
      <w:r>
        <w:rPr>
          <w:rFonts w:hint="eastAsia" w:ascii="仿宋" w:hAnsi="仿宋" w:eastAsia="仿宋" w:cs="仿宋"/>
          <w:color w:val="auto"/>
          <w:sz w:val="24"/>
          <w:szCs w:val="24"/>
          <w:highlight w:val="none"/>
          <w:lang w:val="en-US" w:eastAsia="zh-CN"/>
        </w:rPr>
        <w:t>1、结算单价：以采购人和成交供应商双方确认的各食材的单价定价金额乘以中标折扣作为“结算单价”，结算单价=单价定价×中标折扣；（若供应商填报的折扣报价为95%，以市场询价的零售即时价格10元/斤为例，则采购人与供应商实际签订合同的供货价格为10*0.95=9.5元/斤）。</w:t>
      </w:r>
    </w:p>
    <w:p w14:paraId="2BA6E42D">
      <w:pPr>
        <w:pageBreakBefore w:val="0"/>
        <w:widowControl w:val="0"/>
        <w:numPr>
          <w:ilvl w:val="0"/>
          <w:numId w:val="0"/>
        </w:numPr>
        <w:kinsoku/>
        <w:wordWrap/>
        <w:overflowPunct/>
        <w:topLinePunct w:val="0"/>
        <w:autoSpaceDE/>
        <w:autoSpaceDN/>
        <w:bidi w:val="0"/>
        <w:adjustRightInd/>
        <w:snapToGrid/>
        <w:spacing w:beforeLines="0" w:afterLines="0" w:line="360" w:lineRule="auto"/>
        <w:ind w:firstLine="480" w:firstLineChars="200"/>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2、结算金额：当月最终结算金额=（各品类结算单价×各品类实际配送数量）-应扣除金额（如有）。</w:t>
      </w:r>
    </w:p>
    <w:p w14:paraId="59BA469F">
      <w:pPr>
        <w:pageBreakBefore w:val="0"/>
        <w:widowControl w:val="0"/>
        <w:numPr>
          <w:ilvl w:val="0"/>
          <w:numId w:val="0"/>
        </w:numPr>
        <w:kinsoku/>
        <w:wordWrap/>
        <w:overflowPunct/>
        <w:topLinePunct w:val="0"/>
        <w:autoSpaceDE/>
        <w:autoSpaceDN/>
        <w:bidi w:val="0"/>
        <w:adjustRightInd/>
        <w:snapToGrid/>
        <w:spacing w:beforeLines="0" w:afterLines="0" w:line="360" w:lineRule="auto"/>
        <w:ind w:firstLine="480" w:firstLineChars="200"/>
        <w:textAlignment w:val="auto"/>
        <w:outlineLvl w:val="9"/>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lang w:val="en-US" w:eastAsia="zh-CN"/>
        </w:rPr>
        <w:t>3、供应商对个别结算价格有异议的品种（当月定价品种总数的10%以内），由双方共同进行市场询价和价格复核。</w:t>
      </w:r>
    </w:p>
    <w:p w14:paraId="72EAE9D7">
      <w:pPr>
        <w:pStyle w:val="4"/>
        <w:keepNext/>
        <w:keepLines/>
        <w:pageBreakBefore w:val="0"/>
        <w:widowControl w:val="0"/>
        <w:kinsoku/>
        <w:wordWrap/>
        <w:overflowPunct/>
        <w:topLinePunct w:val="0"/>
        <w:autoSpaceDE/>
        <w:autoSpaceDN/>
        <w:bidi w:val="0"/>
        <w:adjustRightInd/>
        <w:snapToGrid/>
        <w:spacing w:before="0" w:after="0" w:line="360" w:lineRule="auto"/>
        <w:ind w:firstLine="482" w:firstLineChars="200"/>
        <w:textAlignment w:val="auto"/>
        <w:outlineLvl w:val="1"/>
        <w:rPr>
          <w:rFonts w:hint="eastAsia" w:ascii="仿宋" w:hAnsi="仿宋" w:eastAsia="仿宋" w:cs="仿宋"/>
          <w:color w:val="auto"/>
          <w:sz w:val="24"/>
          <w:szCs w:val="24"/>
          <w:highlight w:val="none"/>
        </w:rPr>
      </w:pPr>
      <w:bookmarkStart w:id="119" w:name="_Toc22044"/>
      <w:r>
        <w:rPr>
          <w:rFonts w:hint="eastAsia" w:ascii="仿宋" w:hAnsi="仿宋" w:eastAsia="仿宋" w:cs="仿宋"/>
          <w:color w:val="auto"/>
          <w:sz w:val="24"/>
          <w:szCs w:val="24"/>
          <w:highlight w:val="none"/>
          <w:lang w:eastAsia="zh-CN"/>
        </w:rPr>
        <w:t>七</w:t>
      </w:r>
      <w:r>
        <w:rPr>
          <w:rFonts w:hint="eastAsia" w:ascii="仿宋" w:hAnsi="仿宋" w:eastAsia="仿宋" w:cs="仿宋"/>
          <w:color w:val="auto"/>
          <w:sz w:val="24"/>
          <w:szCs w:val="24"/>
          <w:highlight w:val="none"/>
        </w:rPr>
        <w:t>、付款方式</w:t>
      </w:r>
      <w:bookmarkEnd w:id="113"/>
      <w:bookmarkEnd w:id="114"/>
      <w:bookmarkEnd w:id="115"/>
      <w:bookmarkEnd w:id="116"/>
      <w:bookmarkEnd w:id="117"/>
      <w:bookmarkEnd w:id="118"/>
      <w:bookmarkEnd w:id="119"/>
    </w:p>
    <w:p w14:paraId="5DA6959A">
      <w:pPr>
        <w:numPr>
          <w:ilvl w:val="0"/>
          <w:numId w:val="4"/>
        </w:numPr>
        <w:spacing w:beforeLines="0" w:afterLines="0" w:line="360" w:lineRule="auto"/>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每月结算一次；</w:t>
      </w:r>
    </w:p>
    <w:p w14:paraId="3DFF8FF4">
      <w:pPr>
        <w:numPr>
          <w:ilvl w:val="0"/>
          <w:numId w:val="4"/>
        </w:numPr>
        <w:spacing w:beforeLines="0" w:afterLines="0" w:line="360" w:lineRule="auto"/>
        <w:ind w:firstLine="480" w:firstLineChars="200"/>
        <w:rPr>
          <w:rFonts w:hint="eastAsia" w:ascii="仿宋" w:hAnsi="仿宋" w:eastAsia="仿宋" w:cs="仿宋"/>
          <w:color w:val="auto"/>
          <w:sz w:val="24"/>
          <w:szCs w:val="24"/>
          <w:highlight w:val="none"/>
          <w:lang w:val="en-US" w:eastAsia="zh-CN"/>
        </w:rPr>
      </w:pPr>
      <w:r>
        <w:rPr>
          <w:rFonts w:hint="eastAsia" w:ascii="仿宋" w:hAnsi="仿宋" w:eastAsia="仿宋" w:cs="仿宋"/>
          <w:color w:val="auto"/>
          <w:sz w:val="24"/>
          <w:szCs w:val="24"/>
          <w:highlight w:val="none"/>
        </w:rPr>
        <w:t>采购人财务部门凭需求部门验收清单、中标供应商向采购人开具正式发票，按合同价转帐支付货款。</w:t>
      </w:r>
      <w:bookmarkStart w:id="120" w:name="_Toc363"/>
      <w:bookmarkStart w:id="121" w:name="_Toc905"/>
      <w:bookmarkStart w:id="122" w:name="_Toc15101"/>
      <w:bookmarkStart w:id="123" w:name="_Toc7285"/>
      <w:bookmarkStart w:id="124" w:name="_Toc28833"/>
    </w:p>
    <w:bookmarkEnd w:id="103"/>
    <w:bookmarkEnd w:id="104"/>
    <w:bookmarkEnd w:id="105"/>
    <w:bookmarkEnd w:id="120"/>
    <w:bookmarkEnd w:id="121"/>
    <w:bookmarkEnd w:id="122"/>
    <w:bookmarkEnd w:id="123"/>
    <w:bookmarkEnd w:id="124"/>
    <w:p w14:paraId="726BE3E3">
      <w:pPr>
        <w:pStyle w:val="4"/>
        <w:adjustRightInd w:val="0"/>
        <w:snapToGrid w:val="0"/>
        <w:spacing w:before="0" w:after="0" w:line="360" w:lineRule="auto"/>
        <w:ind w:firstLine="482" w:firstLineChars="200"/>
        <w:rPr>
          <w:rFonts w:hint="eastAsia" w:ascii="仿宋" w:hAnsi="仿宋" w:eastAsia="仿宋" w:cs="仿宋"/>
          <w:b/>
          <w:color w:val="auto"/>
          <w:sz w:val="24"/>
          <w:szCs w:val="24"/>
          <w:highlight w:val="none"/>
          <w:lang w:val="en-US" w:eastAsia="zh-CN"/>
        </w:rPr>
      </w:pPr>
      <w:r>
        <w:rPr>
          <w:rFonts w:hint="eastAsia" w:ascii="仿宋" w:hAnsi="仿宋" w:eastAsia="仿宋" w:cs="仿宋"/>
          <w:b/>
          <w:color w:val="auto"/>
          <w:sz w:val="24"/>
          <w:szCs w:val="24"/>
          <w:highlight w:val="none"/>
          <w:lang w:val="en-US" w:eastAsia="zh-CN"/>
        </w:rPr>
        <w:t>八、退出机制</w:t>
      </w:r>
    </w:p>
    <w:p w14:paraId="5C4CBBD3">
      <w:pPr>
        <w:snapToGrid w:val="0"/>
        <w:spacing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rPr>
        <w:t>中标人在履行协议期间出现下列行为之一，采购人有权单方面无条件终止合同，取消配送资格，并没收全部履约保证金及纳入黑名单：</w:t>
      </w:r>
    </w:p>
    <w:p w14:paraId="5CFB0154">
      <w:pPr>
        <w:snapToGrid w:val="0"/>
        <w:spacing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rPr>
        <w:t>1、若供应商违反食品安全法律法规，被食品药品监管部门吊销或注销食品生产或食品流通许可证的；违反相关法律法规，被登记机关吊销营业执照的；</w:t>
      </w:r>
    </w:p>
    <w:p w14:paraId="59C6E4C8">
      <w:pPr>
        <w:snapToGrid w:val="0"/>
        <w:spacing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rPr>
        <w:t>2、合同期内因食品安全质量问题引发食品安全事故的，采购人保留对供应商追究法律责任的权利；</w:t>
      </w:r>
    </w:p>
    <w:p w14:paraId="1E3DF895">
      <w:pPr>
        <w:snapToGrid w:val="0"/>
        <w:spacing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rPr>
        <w:t>3、供应商进行转包、分包的；</w:t>
      </w:r>
    </w:p>
    <w:p w14:paraId="600CCAF3">
      <w:pPr>
        <w:snapToGrid w:val="0"/>
        <w:spacing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rPr>
        <w:t>4、伪造销售凭证、签收手续等资料的；</w:t>
      </w:r>
    </w:p>
    <w:p w14:paraId="414901AE">
      <w:pPr>
        <w:snapToGrid w:val="0"/>
        <w:spacing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rPr>
        <w:t>5、合同期内，采购人将随机抽取供应商所配送的商品送至国家相关检验机构进行检验，若送检质量不合格且情节严重的；</w:t>
      </w:r>
    </w:p>
    <w:p w14:paraId="47A58E3A">
      <w:pPr>
        <w:snapToGrid w:val="0"/>
        <w:spacing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rPr>
        <w:t>6、合同签订后，公司仍有权随时对供应商履约能力及投标时所提供的包括但不限于经营场地、资质材料、合同文书、财务票据等响应材料的真实性进行询问、调查和实地考察。发现供应商入库所提供的材料虚假或对公司招选时要求说明的情况故意隐瞒、虚报或伪造的；</w:t>
      </w:r>
    </w:p>
    <w:p w14:paraId="3F657FF7">
      <w:pPr>
        <w:snapToGrid w:val="0"/>
        <w:spacing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rPr>
        <w:t>7、供应商提供的商品不满足</w:t>
      </w:r>
      <w:r>
        <w:rPr>
          <w:rFonts w:hint="eastAsia" w:ascii="仿宋" w:hAnsi="仿宋" w:eastAsia="仿宋" w:cs="仿宋"/>
          <w:color w:val="auto"/>
          <w:kern w:val="0"/>
          <w:sz w:val="24"/>
          <w:szCs w:val="24"/>
          <w:highlight w:val="none"/>
          <w:lang w:eastAsia="zh-CN"/>
        </w:rPr>
        <w:t>采购文件</w:t>
      </w:r>
      <w:r>
        <w:rPr>
          <w:rFonts w:hint="eastAsia" w:ascii="仿宋" w:hAnsi="仿宋" w:eastAsia="仿宋" w:cs="仿宋"/>
          <w:color w:val="auto"/>
          <w:kern w:val="0"/>
          <w:sz w:val="24"/>
          <w:szCs w:val="24"/>
          <w:highlight w:val="none"/>
        </w:rPr>
        <w:t>要求，质量、服务、安全、卫生条件不符合相关标准，对</w:t>
      </w:r>
      <w:r>
        <w:rPr>
          <w:rFonts w:hint="eastAsia" w:ascii="仿宋" w:hAnsi="仿宋" w:eastAsia="仿宋" w:cs="仿宋"/>
          <w:color w:val="auto"/>
          <w:kern w:val="0"/>
          <w:sz w:val="24"/>
          <w:szCs w:val="24"/>
          <w:highlight w:val="none"/>
          <w:lang w:eastAsia="zh-CN"/>
        </w:rPr>
        <w:t>采购人</w:t>
      </w:r>
      <w:r>
        <w:rPr>
          <w:rFonts w:hint="eastAsia" w:ascii="仿宋" w:hAnsi="仿宋" w:eastAsia="仿宋" w:cs="仿宋"/>
          <w:color w:val="auto"/>
          <w:kern w:val="0"/>
          <w:sz w:val="24"/>
          <w:szCs w:val="24"/>
          <w:highlight w:val="none"/>
        </w:rPr>
        <w:t>造成损失的，由供应商承担一切责任，并赔偿所造成的损失。</w:t>
      </w:r>
    </w:p>
    <w:p w14:paraId="41038702">
      <w:pPr>
        <w:snapToGrid w:val="0"/>
        <w:spacing w:line="360" w:lineRule="auto"/>
        <w:ind w:firstLine="480" w:firstLineChars="200"/>
        <w:rPr>
          <w:rFonts w:hint="eastAsia" w:ascii="仿宋" w:hAnsi="仿宋" w:eastAsia="仿宋" w:cs="仿宋"/>
          <w:color w:val="auto"/>
          <w:kern w:val="0"/>
          <w:sz w:val="24"/>
          <w:szCs w:val="24"/>
          <w:highlight w:val="none"/>
        </w:rPr>
      </w:pPr>
      <w:r>
        <w:rPr>
          <w:rFonts w:hint="eastAsia" w:ascii="仿宋" w:hAnsi="仿宋" w:eastAsia="仿宋" w:cs="仿宋"/>
          <w:color w:val="auto"/>
          <w:kern w:val="0"/>
          <w:sz w:val="24"/>
          <w:szCs w:val="24"/>
          <w:highlight w:val="none"/>
        </w:rPr>
        <w:t>8、采购人具有随时查看供应商除预包装外为公司配送的所有商品的生产采购源头。若供应商拒绝或未及时提供的。</w:t>
      </w:r>
    </w:p>
    <w:p w14:paraId="63F2F8FD">
      <w:pPr>
        <w:snapToGrid w:val="0"/>
        <w:spacing w:line="360" w:lineRule="auto"/>
        <w:ind w:firstLine="480" w:firstLineChars="200"/>
        <w:rPr>
          <w:rFonts w:hint="eastAsia"/>
          <w:color w:val="auto"/>
          <w:lang w:val="en-US" w:eastAsia="zh-CN"/>
        </w:rPr>
      </w:pPr>
      <w:r>
        <w:rPr>
          <w:rFonts w:hint="eastAsia" w:ascii="仿宋" w:hAnsi="仿宋" w:eastAsia="仿宋" w:cs="仿宋"/>
          <w:color w:val="auto"/>
          <w:kern w:val="0"/>
          <w:sz w:val="24"/>
          <w:szCs w:val="24"/>
          <w:highlight w:val="none"/>
        </w:rPr>
        <w:t>9、其他未满足采购人要求及相关法律法规的。</w:t>
      </w:r>
    </w:p>
    <w:p w14:paraId="0C938CA0">
      <w:pPr>
        <w:pStyle w:val="4"/>
        <w:adjustRightInd w:val="0"/>
        <w:snapToGrid w:val="0"/>
        <w:spacing w:before="0" w:after="0" w:line="360" w:lineRule="auto"/>
        <w:ind w:firstLine="482" w:firstLineChars="200"/>
        <w:rPr>
          <w:rFonts w:hint="eastAsia" w:ascii="仿宋" w:hAnsi="仿宋" w:eastAsia="仿宋" w:cs="仿宋"/>
          <w:color w:val="auto"/>
          <w:sz w:val="24"/>
          <w:szCs w:val="24"/>
          <w:highlight w:val="none"/>
        </w:rPr>
      </w:pPr>
      <w:bookmarkStart w:id="125" w:name="_Toc12766"/>
      <w:r>
        <w:rPr>
          <w:rFonts w:hint="eastAsia" w:ascii="仿宋" w:hAnsi="仿宋" w:eastAsia="仿宋" w:cs="仿宋"/>
          <w:color w:val="auto"/>
          <w:sz w:val="24"/>
          <w:szCs w:val="24"/>
          <w:highlight w:val="none"/>
          <w:lang w:val="en-US" w:eastAsia="zh-CN"/>
        </w:rPr>
        <w:t>九</w:t>
      </w:r>
      <w:r>
        <w:rPr>
          <w:rFonts w:hint="eastAsia" w:ascii="仿宋" w:hAnsi="仿宋" w:eastAsia="仿宋" w:cs="仿宋"/>
          <w:color w:val="auto"/>
          <w:sz w:val="24"/>
          <w:szCs w:val="24"/>
          <w:highlight w:val="none"/>
        </w:rPr>
        <w:t>、</w:t>
      </w:r>
      <w:bookmarkStart w:id="126" w:name="_Toc344475125"/>
      <w:r>
        <w:rPr>
          <w:rFonts w:hint="eastAsia" w:ascii="仿宋" w:hAnsi="仿宋" w:eastAsia="仿宋" w:cs="仿宋"/>
          <w:color w:val="auto"/>
          <w:sz w:val="24"/>
          <w:szCs w:val="24"/>
          <w:highlight w:val="none"/>
        </w:rPr>
        <w:t>其他</w:t>
      </w:r>
      <w:bookmarkEnd w:id="125"/>
    </w:p>
    <w:bookmarkEnd w:id="126"/>
    <w:p w14:paraId="27D15BA2">
      <w:pPr>
        <w:snapToGrid w:val="0"/>
        <w:spacing w:beforeLines="0" w:afterLines="0" w:line="360" w:lineRule="auto"/>
        <w:ind w:firstLine="480" w:firstLineChars="200"/>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（一）其他未尽事宜由供需双方在采购合同中详细约定，在未改变</w:t>
      </w:r>
      <w:r>
        <w:rPr>
          <w:rFonts w:hint="eastAsia" w:ascii="仿宋" w:hAnsi="仿宋" w:eastAsia="仿宋" w:cs="仿宋"/>
          <w:color w:val="auto"/>
          <w:sz w:val="24"/>
          <w:szCs w:val="24"/>
          <w:highlight w:val="none"/>
          <w:lang w:eastAsia="zh-CN"/>
        </w:rPr>
        <w:t>询比</w:t>
      </w:r>
      <w:r>
        <w:rPr>
          <w:rFonts w:hint="eastAsia" w:ascii="仿宋" w:hAnsi="仿宋" w:eastAsia="仿宋" w:cs="仿宋"/>
          <w:color w:val="auto"/>
          <w:sz w:val="24"/>
          <w:szCs w:val="24"/>
          <w:highlight w:val="none"/>
        </w:rPr>
        <w:t>文件实质性条款的情况下，以采购人主张为主。</w:t>
      </w:r>
    </w:p>
    <w:p w14:paraId="5053DF23">
      <w:pPr>
        <w:pStyle w:val="2"/>
        <w:spacing w:line="360" w:lineRule="auto"/>
        <w:rPr>
          <w:rFonts w:hint="eastAsia" w:ascii="仿宋" w:hAnsi="仿宋" w:eastAsia="仿宋" w:cs="仿宋"/>
          <w:color w:val="auto"/>
        </w:rPr>
      </w:pPr>
    </w:p>
    <w:p w14:paraId="1A3BE62E">
      <w:pPr>
        <w:pStyle w:val="2"/>
        <w:spacing w:line="360" w:lineRule="auto"/>
        <w:rPr>
          <w:rFonts w:hint="eastAsia" w:ascii="仿宋" w:hAnsi="仿宋" w:eastAsia="仿宋" w:cs="仿宋"/>
          <w:color w:val="auto"/>
        </w:rPr>
      </w:pPr>
    </w:p>
    <w:p w14:paraId="71D50CD0">
      <w:pPr>
        <w:pStyle w:val="4"/>
        <w:pageBreakBefore/>
        <w:spacing w:before="0" w:after="0" w:line="360" w:lineRule="auto"/>
        <w:jc w:val="center"/>
        <w:rPr>
          <w:rFonts w:hint="eastAsia" w:ascii="仿宋" w:hAnsi="仿宋" w:eastAsia="仿宋" w:cs="仿宋"/>
          <w:b w:val="0"/>
          <w:color w:val="auto"/>
          <w:sz w:val="36"/>
          <w:szCs w:val="30"/>
        </w:rPr>
      </w:pPr>
      <w:bookmarkStart w:id="127" w:name="_Toc115126148"/>
      <w:bookmarkStart w:id="128" w:name="_Toc487"/>
      <w:bookmarkStart w:id="129" w:name="_Toc76462332"/>
      <w:bookmarkStart w:id="130" w:name="_Toc102227320"/>
      <w:bookmarkStart w:id="131" w:name="_Toc342913394"/>
      <w:r>
        <w:rPr>
          <w:rFonts w:hint="eastAsia" w:ascii="仿宋" w:hAnsi="仿宋" w:eastAsia="仿宋" w:cs="仿宋"/>
          <w:b w:val="0"/>
          <w:color w:val="auto"/>
          <w:sz w:val="36"/>
          <w:szCs w:val="30"/>
        </w:rPr>
        <w:t xml:space="preserve">第四篇  </w:t>
      </w:r>
      <w:r>
        <w:rPr>
          <w:rFonts w:hint="eastAsia" w:ascii="仿宋" w:hAnsi="仿宋" w:eastAsia="仿宋" w:cs="仿宋"/>
          <w:b w:val="0"/>
          <w:color w:val="auto"/>
          <w:sz w:val="36"/>
          <w:szCs w:val="30"/>
          <w:lang w:eastAsia="zh-CN"/>
        </w:rPr>
        <w:t>评审</w:t>
      </w:r>
      <w:r>
        <w:rPr>
          <w:rFonts w:hint="eastAsia" w:ascii="仿宋" w:hAnsi="仿宋" w:eastAsia="仿宋" w:cs="仿宋"/>
          <w:b w:val="0"/>
          <w:color w:val="auto"/>
          <w:sz w:val="36"/>
          <w:szCs w:val="30"/>
        </w:rPr>
        <w:t>程序及方法、评审标准、无效响应和</w:t>
      </w:r>
      <w:r>
        <w:rPr>
          <w:rFonts w:hint="eastAsia" w:ascii="仿宋" w:hAnsi="仿宋" w:eastAsia="仿宋" w:cs="仿宋"/>
          <w:b w:val="0"/>
          <w:color w:val="auto"/>
          <w:sz w:val="36"/>
          <w:szCs w:val="36"/>
        </w:rPr>
        <w:t>采购终止</w:t>
      </w:r>
      <w:bookmarkEnd w:id="127"/>
      <w:bookmarkEnd w:id="128"/>
      <w:bookmarkEnd w:id="129"/>
    </w:p>
    <w:p w14:paraId="74DF2AA8">
      <w:pPr>
        <w:pStyle w:val="4"/>
        <w:adjustRightInd w:val="0"/>
        <w:snapToGrid w:val="0"/>
        <w:spacing w:before="0" w:after="0" w:line="360" w:lineRule="auto"/>
        <w:ind w:firstLine="482" w:firstLineChars="200"/>
        <w:rPr>
          <w:rFonts w:hint="eastAsia" w:ascii="仿宋" w:hAnsi="仿宋" w:eastAsia="仿宋" w:cs="仿宋"/>
          <w:color w:val="auto"/>
          <w:sz w:val="24"/>
        </w:rPr>
      </w:pPr>
      <w:bookmarkStart w:id="132" w:name="_Toc76462333"/>
      <w:bookmarkStart w:id="133" w:name="_Toc4251"/>
      <w:bookmarkStart w:id="134" w:name="_Toc115126149"/>
      <w:r>
        <w:rPr>
          <w:rFonts w:hint="eastAsia" w:ascii="仿宋" w:hAnsi="仿宋" w:eastAsia="仿宋" w:cs="仿宋"/>
          <w:color w:val="auto"/>
          <w:sz w:val="24"/>
        </w:rPr>
        <w:t>一、</w:t>
      </w:r>
      <w:r>
        <w:rPr>
          <w:rFonts w:hint="eastAsia" w:ascii="仿宋" w:hAnsi="仿宋" w:eastAsia="仿宋" w:cs="仿宋"/>
          <w:color w:val="auto"/>
          <w:sz w:val="24"/>
          <w:lang w:eastAsia="zh-CN"/>
        </w:rPr>
        <w:t>评审</w:t>
      </w:r>
      <w:r>
        <w:rPr>
          <w:rFonts w:hint="eastAsia" w:ascii="仿宋" w:hAnsi="仿宋" w:eastAsia="仿宋" w:cs="仿宋"/>
          <w:color w:val="auto"/>
          <w:sz w:val="24"/>
        </w:rPr>
        <w:t>程序及方法</w:t>
      </w:r>
      <w:bookmarkEnd w:id="132"/>
      <w:bookmarkEnd w:id="133"/>
      <w:bookmarkEnd w:id="134"/>
    </w:p>
    <w:p w14:paraId="26C67087">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w:t>
      </w:r>
      <w:r>
        <w:rPr>
          <w:rFonts w:hint="eastAsia" w:ascii="仿宋" w:hAnsi="仿宋" w:eastAsia="仿宋" w:cs="仿宋"/>
          <w:color w:val="auto"/>
          <w:sz w:val="24"/>
          <w:szCs w:val="24"/>
          <w:lang w:eastAsia="zh-CN"/>
        </w:rPr>
        <w:t>按询比文件</w:t>
      </w:r>
      <w:r>
        <w:rPr>
          <w:rFonts w:hint="eastAsia" w:ascii="仿宋" w:hAnsi="仿宋" w:eastAsia="仿宋" w:cs="仿宋"/>
          <w:color w:val="auto"/>
          <w:sz w:val="24"/>
          <w:szCs w:val="24"/>
        </w:rPr>
        <w:t>规定的时间和地点进行，供应商须有法定代表人（或其授权代表）或自然人参加并签到。</w:t>
      </w:r>
    </w:p>
    <w:p w14:paraId="6BACE16E">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（二）</w:t>
      </w:r>
      <w:r>
        <w:rPr>
          <w:rFonts w:hint="eastAsia" w:ascii="仿宋" w:hAnsi="仿宋" w:eastAsia="仿宋" w:cs="仿宋"/>
          <w:color w:val="auto"/>
          <w:sz w:val="24"/>
          <w:szCs w:val="24"/>
          <w:lang w:eastAsia="zh-CN"/>
        </w:rPr>
        <w:t>评审小组</w:t>
      </w:r>
      <w:r>
        <w:rPr>
          <w:rFonts w:hint="eastAsia" w:ascii="仿宋" w:hAnsi="仿宋" w:eastAsia="仿宋" w:cs="仿宋"/>
          <w:color w:val="auto"/>
          <w:sz w:val="24"/>
          <w:szCs w:val="24"/>
        </w:rPr>
        <w:t>对各供应商的资格条件、响应文件的有效性、完整性和响应程度进行审查。各供应商只有在完全符合要求的前提下，</w:t>
      </w:r>
      <w:r>
        <w:rPr>
          <w:rFonts w:hint="eastAsia" w:ascii="仿宋" w:hAnsi="仿宋" w:eastAsia="仿宋" w:cs="仿宋"/>
          <w:color w:val="auto"/>
          <w:sz w:val="24"/>
          <w:szCs w:val="24"/>
          <w:lang w:val="en-US" w:eastAsia="zh-CN"/>
        </w:rPr>
        <w:t>才能进入评审环节。</w:t>
      </w:r>
    </w:p>
    <w:p w14:paraId="086194D1">
      <w:pPr>
        <w:snapToGrid w:val="0"/>
        <w:spacing w:line="360" w:lineRule="auto"/>
        <w:ind w:firstLine="480" w:firstLineChars="200"/>
        <w:rPr>
          <w:rFonts w:hint="eastAsia" w:ascii="仿宋" w:hAnsi="仿宋" w:eastAsia="仿宋" w:cs="仿宋"/>
          <w:color w:val="auto"/>
          <w:kern w:val="0"/>
          <w:sz w:val="24"/>
          <w:szCs w:val="24"/>
        </w:rPr>
      </w:pPr>
      <w:r>
        <w:rPr>
          <w:rFonts w:hint="eastAsia" w:ascii="仿宋" w:hAnsi="仿宋" w:eastAsia="仿宋" w:cs="仿宋"/>
          <w:color w:val="auto"/>
          <w:sz w:val="24"/>
          <w:szCs w:val="24"/>
        </w:rPr>
        <w:t>1.</w:t>
      </w:r>
      <w:r>
        <w:rPr>
          <w:rFonts w:hint="eastAsia" w:ascii="仿宋" w:hAnsi="仿宋" w:eastAsia="仿宋" w:cs="仿宋"/>
          <w:color w:val="auto"/>
          <w:kern w:val="0"/>
          <w:sz w:val="24"/>
          <w:szCs w:val="24"/>
        </w:rPr>
        <w:t>资格性审查。依据法律法规和</w:t>
      </w:r>
      <w:r>
        <w:rPr>
          <w:rFonts w:hint="eastAsia" w:ascii="仿宋" w:hAnsi="仿宋" w:eastAsia="仿宋" w:cs="仿宋"/>
          <w:color w:val="auto"/>
          <w:kern w:val="0"/>
          <w:sz w:val="24"/>
          <w:szCs w:val="24"/>
          <w:lang w:eastAsia="zh-CN"/>
        </w:rPr>
        <w:t>询比文件</w:t>
      </w:r>
      <w:r>
        <w:rPr>
          <w:rFonts w:hint="eastAsia" w:ascii="仿宋" w:hAnsi="仿宋" w:eastAsia="仿宋" w:cs="仿宋"/>
          <w:color w:val="auto"/>
          <w:kern w:val="0"/>
          <w:sz w:val="24"/>
          <w:szCs w:val="24"/>
        </w:rPr>
        <w:t>的规定，对响应文件中的资格证明、等进行审查。资格性审查资料表如下：</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709"/>
        <w:gridCol w:w="3118"/>
        <w:gridCol w:w="4984"/>
      </w:tblGrid>
      <w:tr w14:paraId="08EB06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tcBorders>
              <w:top w:val="single" w:color="auto" w:sz="4" w:space="0"/>
              <w:left w:val="single" w:color="auto" w:sz="4" w:space="0"/>
              <w:bottom w:val="single" w:color="auto" w:sz="4" w:space="0"/>
              <w:right w:val="single" w:color="auto" w:sz="4" w:space="0"/>
            </w:tcBorders>
            <w:noWrap w:val="0"/>
            <w:vAlign w:val="center"/>
          </w:tcPr>
          <w:p w14:paraId="42336BB2">
            <w:pPr>
              <w:spacing w:line="240" w:lineRule="auto"/>
              <w:jc w:val="center"/>
              <w:rPr>
                <w:rFonts w:hint="eastAsia" w:ascii="仿宋" w:hAnsi="仿宋" w:eastAsia="仿宋" w:cs="仿宋"/>
                <w:b/>
                <w:color w:val="auto"/>
                <w:kern w:val="0"/>
                <w:sz w:val="21"/>
                <w:szCs w:val="21"/>
              </w:rPr>
            </w:pPr>
            <w:r>
              <w:rPr>
                <w:rFonts w:hint="eastAsia" w:ascii="仿宋" w:hAnsi="仿宋" w:eastAsia="仿宋" w:cs="仿宋"/>
                <w:b/>
                <w:color w:val="auto"/>
                <w:kern w:val="0"/>
                <w:sz w:val="21"/>
                <w:szCs w:val="21"/>
              </w:rPr>
              <w:t>序号</w:t>
            </w:r>
          </w:p>
        </w:tc>
        <w:tc>
          <w:tcPr>
            <w:tcW w:w="3827" w:type="dxa"/>
            <w:gridSpan w:val="2"/>
            <w:tcBorders>
              <w:top w:val="single" w:color="auto" w:sz="4" w:space="0"/>
              <w:left w:val="single" w:color="auto" w:sz="4" w:space="0"/>
              <w:bottom w:val="single" w:color="auto" w:sz="4" w:space="0"/>
              <w:right w:val="single" w:color="auto" w:sz="4" w:space="0"/>
            </w:tcBorders>
            <w:noWrap w:val="0"/>
            <w:vAlign w:val="center"/>
          </w:tcPr>
          <w:p w14:paraId="69779FD8">
            <w:pPr>
              <w:spacing w:line="240" w:lineRule="auto"/>
              <w:jc w:val="center"/>
              <w:rPr>
                <w:rFonts w:hint="eastAsia" w:ascii="仿宋" w:hAnsi="仿宋" w:eastAsia="仿宋" w:cs="仿宋"/>
                <w:b/>
                <w:color w:val="auto"/>
                <w:kern w:val="0"/>
                <w:sz w:val="21"/>
                <w:szCs w:val="21"/>
              </w:rPr>
            </w:pPr>
            <w:r>
              <w:rPr>
                <w:rFonts w:hint="eastAsia" w:ascii="仿宋" w:hAnsi="仿宋" w:eastAsia="仿宋" w:cs="仿宋"/>
                <w:b/>
                <w:color w:val="auto"/>
                <w:kern w:val="0"/>
                <w:sz w:val="21"/>
                <w:szCs w:val="21"/>
              </w:rPr>
              <w:t>检查因素</w:t>
            </w:r>
          </w:p>
        </w:tc>
        <w:tc>
          <w:tcPr>
            <w:tcW w:w="4984" w:type="dxa"/>
            <w:tcBorders>
              <w:top w:val="single" w:color="auto" w:sz="4" w:space="0"/>
              <w:left w:val="single" w:color="auto" w:sz="4" w:space="0"/>
              <w:bottom w:val="single" w:color="auto" w:sz="4" w:space="0"/>
              <w:right w:val="single" w:color="auto" w:sz="4" w:space="0"/>
            </w:tcBorders>
            <w:noWrap w:val="0"/>
            <w:vAlign w:val="center"/>
          </w:tcPr>
          <w:p w14:paraId="143F2067">
            <w:pPr>
              <w:spacing w:line="240" w:lineRule="auto"/>
              <w:jc w:val="center"/>
              <w:rPr>
                <w:rFonts w:hint="eastAsia" w:ascii="仿宋" w:hAnsi="仿宋" w:eastAsia="仿宋" w:cs="仿宋"/>
                <w:b/>
                <w:color w:val="auto"/>
                <w:kern w:val="0"/>
                <w:sz w:val="21"/>
                <w:szCs w:val="21"/>
              </w:rPr>
            </w:pPr>
            <w:r>
              <w:rPr>
                <w:rFonts w:hint="eastAsia" w:ascii="仿宋" w:hAnsi="仿宋" w:eastAsia="仿宋" w:cs="仿宋"/>
                <w:b/>
                <w:color w:val="auto"/>
                <w:kern w:val="0"/>
                <w:sz w:val="21"/>
                <w:szCs w:val="21"/>
              </w:rPr>
              <w:t>检查内容</w:t>
            </w:r>
          </w:p>
        </w:tc>
      </w:tr>
      <w:tr w14:paraId="718944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Merge w:val="restart"/>
            <w:noWrap w:val="0"/>
            <w:vAlign w:val="center"/>
          </w:tcPr>
          <w:p w14:paraId="1B7F94C5">
            <w:pPr>
              <w:spacing w:line="240" w:lineRule="auto"/>
              <w:jc w:val="center"/>
              <w:rPr>
                <w:rFonts w:hint="eastAsia" w:ascii="仿宋" w:hAnsi="仿宋" w:eastAsia="仿宋" w:cs="仿宋"/>
                <w:color w:val="auto"/>
                <w:sz w:val="21"/>
                <w:szCs w:val="21"/>
              </w:rPr>
            </w:pPr>
            <w:r>
              <w:rPr>
                <w:rFonts w:hint="eastAsia" w:ascii="仿宋" w:hAnsi="仿宋" w:eastAsia="仿宋" w:cs="仿宋"/>
                <w:color w:val="auto"/>
                <w:sz w:val="21"/>
                <w:szCs w:val="21"/>
              </w:rPr>
              <w:t>（一）</w:t>
            </w:r>
          </w:p>
        </w:tc>
        <w:tc>
          <w:tcPr>
            <w:tcW w:w="709" w:type="dxa"/>
            <w:vMerge w:val="restart"/>
            <w:noWrap w:val="0"/>
            <w:vAlign w:val="center"/>
          </w:tcPr>
          <w:p w14:paraId="76828B17">
            <w:pPr>
              <w:spacing w:line="240" w:lineRule="auto"/>
              <w:rPr>
                <w:rFonts w:hint="eastAsia" w:ascii="仿宋" w:hAnsi="仿宋" w:eastAsia="仿宋" w:cs="仿宋"/>
                <w:color w:val="auto"/>
                <w:sz w:val="21"/>
                <w:szCs w:val="21"/>
                <w:lang w:val="zh-CN"/>
              </w:rPr>
            </w:pPr>
            <w:r>
              <w:rPr>
                <w:rFonts w:hint="eastAsia" w:ascii="仿宋" w:hAnsi="仿宋" w:eastAsia="仿宋" w:cs="仿宋"/>
                <w:color w:val="auto"/>
                <w:sz w:val="21"/>
                <w:szCs w:val="21"/>
                <w:lang w:val="zh-CN"/>
              </w:rPr>
              <w:t>《中华人民共和国政府采购法》第二十二条规定</w:t>
            </w:r>
          </w:p>
        </w:tc>
        <w:tc>
          <w:tcPr>
            <w:tcW w:w="3118" w:type="dxa"/>
            <w:noWrap w:val="0"/>
            <w:vAlign w:val="center"/>
          </w:tcPr>
          <w:p w14:paraId="6E74F8E7">
            <w:pPr>
              <w:spacing w:line="240" w:lineRule="auto"/>
              <w:rPr>
                <w:rFonts w:hint="eastAsia" w:ascii="仿宋" w:hAnsi="仿宋" w:eastAsia="仿宋" w:cs="仿宋"/>
                <w:color w:val="auto"/>
                <w:sz w:val="21"/>
                <w:szCs w:val="21"/>
              </w:rPr>
            </w:pPr>
            <w:r>
              <w:rPr>
                <w:rFonts w:hint="eastAsia" w:ascii="仿宋" w:hAnsi="仿宋" w:eastAsia="仿宋" w:cs="仿宋"/>
                <w:color w:val="auto"/>
                <w:sz w:val="21"/>
                <w:szCs w:val="21"/>
              </w:rPr>
              <w:t>1.具有独立承担民事责任的能力</w:t>
            </w:r>
          </w:p>
        </w:tc>
        <w:tc>
          <w:tcPr>
            <w:tcW w:w="4984" w:type="dxa"/>
            <w:noWrap w:val="0"/>
            <w:vAlign w:val="center"/>
          </w:tcPr>
          <w:p w14:paraId="656EB347">
            <w:pPr>
              <w:spacing w:line="240" w:lineRule="auto"/>
              <w:rPr>
                <w:rFonts w:hint="eastAsia" w:ascii="仿宋" w:hAnsi="仿宋" w:eastAsia="仿宋" w:cs="仿宋"/>
                <w:color w:val="auto"/>
                <w:sz w:val="21"/>
                <w:szCs w:val="21"/>
              </w:rPr>
            </w:pPr>
            <w:r>
              <w:rPr>
                <w:rFonts w:hint="eastAsia" w:ascii="仿宋" w:hAnsi="仿宋" w:eastAsia="仿宋" w:cs="仿宋"/>
                <w:color w:val="auto"/>
                <w:sz w:val="21"/>
                <w:szCs w:val="21"/>
              </w:rPr>
              <w:t xml:space="preserve">1. 供应商法人营业执照（副本）或事业单位法人证书（副本）或个体工商户营业执照或有效的自然人身份证明复印件； </w:t>
            </w:r>
          </w:p>
          <w:p w14:paraId="5AA22EF7">
            <w:pPr>
              <w:spacing w:line="240" w:lineRule="auto"/>
              <w:rPr>
                <w:rFonts w:hint="eastAsia" w:ascii="仿宋" w:hAnsi="仿宋" w:eastAsia="仿宋" w:cs="仿宋"/>
                <w:color w:val="auto"/>
                <w:sz w:val="21"/>
                <w:szCs w:val="21"/>
              </w:rPr>
            </w:pPr>
            <w:r>
              <w:rPr>
                <w:rFonts w:hint="eastAsia" w:ascii="仿宋" w:hAnsi="仿宋" w:eastAsia="仿宋" w:cs="仿宋"/>
                <w:color w:val="auto"/>
                <w:sz w:val="21"/>
                <w:szCs w:val="21"/>
              </w:rPr>
              <w:t>2.供应商法定代表人身份证明和法定代表人授权代表委托书。</w:t>
            </w:r>
          </w:p>
        </w:tc>
      </w:tr>
      <w:tr w14:paraId="56C537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Merge w:val="continue"/>
            <w:noWrap w:val="0"/>
            <w:vAlign w:val="center"/>
          </w:tcPr>
          <w:p w14:paraId="51C6B88F">
            <w:pPr>
              <w:spacing w:line="240" w:lineRule="auto"/>
              <w:jc w:val="center"/>
              <w:rPr>
                <w:rFonts w:hint="eastAsia" w:ascii="仿宋" w:hAnsi="仿宋" w:eastAsia="仿宋" w:cs="仿宋"/>
                <w:color w:val="auto"/>
                <w:sz w:val="21"/>
                <w:szCs w:val="21"/>
              </w:rPr>
            </w:pPr>
          </w:p>
        </w:tc>
        <w:tc>
          <w:tcPr>
            <w:tcW w:w="709" w:type="dxa"/>
            <w:vMerge w:val="continue"/>
            <w:noWrap w:val="0"/>
            <w:vAlign w:val="center"/>
          </w:tcPr>
          <w:p w14:paraId="205FADCA">
            <w:pPr>
              <w:spacing w:line="240" w:lineRule="auto"/>
              <w:rPr>
                <w:rFonts w:hint="eastAsia" w:ascii="仿宋" w:hAnsi="仿宋" w:eastAsia="仿宋" w:cs="仿宋"/>
                <w:color w:val="auto"/>
                <w:sz w:val="21"/>
                <w:szCs w:val="21"/>
                <w:lang w:val="zh-CN"/>
              </w:rPr>
            </w:pPr>
          </w:p>
        </w:tc>
        <w:tc>
          <w:tcPr>
            <w:tcW w:w="3118" w:type="dxa"/>
            <w:noWrap w:val="0"/>
            <w:vAlign w:val="center"/>
          </w:tcPr>
          <w:p w14:paraId="403869DD">
            <w:pPr>
              <w:spacing w:line="240" w:lineRule="auto"/>
              <w:rPr>
                <w:rFonts w:hint="eastAsia" w:ascii="仿宋" w:hAnsi="仿宋" w:eastAsia="仿宋" w:cs="仿宋"/>
                <w:color w:val="auto"/>
                <w:sz w:val="21"/>
                <w:szCs w:val="21"/>
              </w:rPr>
            </w:pPr>
            <w:r>
              <w:rPr>
                <w:rFonts w:hint="eastAsia" w:ascii="仿宋" w:hAnsi="仿宋" w:eastAsia="仿宋" w:cs="仿宋"/>
                <w:color w:val="auto"/>
                <w:sz w:val="21"/>
                <w:szCs w:val="21"/>
                <w:lang w:val="zh-CN"/>
              </w:rPr>
              <w:t>2.</w:t>
            </w:r>
            <w:r>
              <w:rPr>
                <w:rFonts w:hint="eastAsia" w:ascii="仿宋" w:hAnsi="仿宋" w:eastAsia="仿宋" w:cs="仿宋"/>
                <w:color w:val="auto"/>
                <w:sz w:val="21"/>
                <w:szCs w:val="21"/>
              </w:rPr>
              <w:t>具有良好的商业信誉和健全的财务会计制度</w:t>
            </w:r>
          </w:p>
        </w:tc>
        <w:tc>
          <w:tcPr>
            <w:tcW w:w="4984" w:type="dxa"/>
            <w:vMerge w:val="restart"/>
            <w:noWrap w:val="0"/>
            <w:vAlign w:val="center"/>
          </w:tcPr>
          <w:p w14:paraId="63DBC9B0">
            <w:pPr>
              <w:spacing w:line="240" w:lineRule="auto"/>
              <w:rPr>
                <w:rFonts w:hint="eastAsia" w:ascii="仿宋" w:hAnsi="仿宋" w:eastAsia="仿宋" w:cs="仿宋"/>
                <w:b/>
                <w:color w:val="auto"/>
                <w:sz w:val="21"/>
                <w:szCs w:val="21"/>
              </w:rPr>
            </w:pPr>
            <w:r>
              <w:rPr>
                <w:rFonts w:hint="eastAsia" w:ascii="仿宋" w:hAnsi="仿宋" w:eastAsia="仿宋" w:cs="仿宋"/>
                <w:color w:val="auto"/>
                <w:sz w:val="21"/>
                <w:szCs w:val="21"/>
              </w:rPr>
              <w:t>供应商提供“基本资格条件承诺函”（格式详见第七篇）</w:t>
            </w:r>
          </w:p>
        </w:tc>
      </w:tr>
      <w:tr w14:paraId="68C874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Merge w:val="continue"/>
            <w:noWrap w:val="0"/>
            <w:vAlign w:val="center"/>
          </w:tcPr>
          <w:p w14:paraId="59CB7D60">
            <w:pPr>
              <w:spacing w:line="240" w:lineRule="auto"/>
              <w:jc w:val="center"/>
              <w:rPr>
                <w:rFonts w:hint="eastAsia" w:ascii="仿宋" w:hAnsi="仿宋" w:eastAsia="仿宋" w:cs="仿宋"/>
                <w:color w:val="auto"/>
                <w:sz w:val="21"/>
                <w:szCs w:val="21"/>
              </w:rPr>
            </w:pPr>
          </w:p>
        </w:tc>
        <w:tc>
          <w:tcPr>
            <w:tcW w:w="709" w:type="dxa"/>
            <w:vMerge w:val="continue"/>
            <w:noWrap w:val="0"/>
            <w:vAlign w:val="center"/>
          </w:tcPr>
          <w:p w14:paraId="4EECD4EC">
            <w:pPr>
              <w:spacing w:line="240" w:lineRule="auto"/>
              <w:rPr>
                <w:rFonts w:hint="eastAsia" w:ascii="仿宋" w:hAnsi="仿宋" w:eastAsia="仿宋" w:cs="仿宋"/>
                <w:color w:val="auto"/>
                <w:sz w:val="21"/>
                <w:szCs w:val="21"/>
                <w:lang w:val="zh-CN"/>
              </w:rPr>
            </w:pPr>
          </w:p>
        </w:tc>
        <w:tc>
          <w:tcPr>
            <w:tcW w:w="3118" w:type="dxa"/>
            <w:noWrap w:val="0"/>
            <w:vAlign w:val="center"/>
          </w:tcPr>
          <w:p w14:paraId="5D1FBF2A">
            <w:pPr>
              <w:spacing w:line="240" w:lineRule="auto"/>
              <w:rPr>
                <w:rFonts w:hint="eastAsia" w:ascii="仿宋" w:hAnsi="仿宋" w:eastAsia="仿宋" w:cs="仿宋"/>
                <w:color w:val="auto"/>
                <w:sz w:val="21"/>
                <w:szCs w:val="21"/>
                <w:lang w:val="zh-CN"/>
              </w:rPr>
            </w:pPr>
            <w:r>
              <w:rPr>
                <w:rFonts w:hint="eastAsia" w:ascii="仿宋" w:hAnsi="仿宋" w:eastAsia="仿宋" w:cs="仿宋"/>
                <w:color w:val="auto"/>
                <w:sz w:val="21"/>
                <w:szCs w:val="21"/>
                <w:lang w:val="zh-CN"/>
              </w:rPr>
              <w:t>3.具有履行合同所必需的设备和专业技术能力</w:t>
            </w:r>
          </w:p>
        </w:tc>
        <w:tc>
          <w:tcPr>
            <w:tcW w:w="4984" w:type="dxa"/>
            <w:vMerge w:val="continue"/>
            <w:noWrap w:val="0"/>
            <w:vAlign w:val="center"/>
          </w:tcPr>
          <w:p w14:paraId="0071401D">
            <w:pPr>
              <w:spacing w:line="240" w:lineRule="auto"/>
              <w:rPr>
                <w:rFonts w:hint="eastAsia" w:ascii="仿宋" w:hAnsi="仿宋" w:eastAsia="仿宋" w:cs="仿宋"/>
                <w:color w:val="auto"/>
                <w:sz w:val="21"/>
                <w:szCs w:val="21"/>
              </w:rPr>
            </w:pPr>
          </w:p>
        </w:tc>
      </w:tr>
      <w:tr w14:paraId="46B49D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Merge w:val="continue"/>
            <w:noWrap w:val="0"/>
            <w:vAlign w:val="center"/>
          </w:tcPr>
          <w:p w14:paraId="52351BAB">
            <w:pPr>
              <w:spacing w:line="240" w:lineRule="auto"/>
              <w:jc w:val="center"/>
              <w:rPr>
                <w:rFonts w:hint="eastAsia" w:ascii="仿宋" w:hAnsi="仿宋" w:eastAsia="仿宋" w:cs="仿宋"/>
                <w:color w:val="auto"/>
                <w:sz w:val="21"/>
                <w:szCs w:val="21"/>
              </w:rPr>
            </w:pPr>
          </w:p>
        </w:tc>
        <w:tc>
          <w:tcPr>
            <w:tcW w:w="709" w:type="dxa"/>
            <w:vMerge w:val="continue"/>
            <w:noWrap w:val="0"/>
            <w:vAlign w:val="center"/>
          </w:tcPr>
          <w:p w14:paraId="516372FE">
            <w:pPr>
              <w:spacing w:line="240" w:lineRule="auto"/>
              <w:rPr>
                <w:rFonts w:hint="eastAsia" w:ascii="仿宋" w:hAnsi="仿宋" w:eastAsia="仿宋" w:cs="仿宋"/>
                <w:color w:val="auto"/>
                <w:sz w:val="21"/>
                <w:szCs w:val="21"/>
                <w:lang w:val="zh-CN"/>
              </w:rPr>
            </w:pPr>
          </w:p>
        </w:tc>
        <w:tc>
          <w:tcPr>
            <w:tcW w:w="3118" w:type="dxa"/>
            <w:noWrap w:val="0"/>
            <w:vAlign w:val="center"/>
          </w:tcPr>
          <w:p w14:paraId="40327A60">
            <w:pPr>
              <w:spacing w:line="240" w:lineRule="auto"/>
              <w:rPr>
                <w:rFonts w:hint="eastAsia" w:ascii="仿宋" w:hAnsi="仿宋" w:eastAsia="仿宋" w:cs="仿宋"/>
                <w:color w:val="auto"/>
                <w:sz w:val="21"/>
                <w:szCs w:val="21"/>
                <w:lang w:val="zh-CN"/>
              </w:rPr>
            </w:pPr>
            <w:r>
              <w:rPr>
                <w:rFonts w:hint="eastAsia" w:ascii="仿宋" w:hAnsi="仿宋" w:eastAsia="仿宋" w:cs="仿宋"/>
                <w:color w:val="auto"/>
                <w:sz w:val="21"/>
                <w:szCs w:val="21"/>
                <w:lang w:val="zh-CN"/>
              </w:rPr>
              <w:t>4.有依法缴纳税收和社会保障金的良好记录</w:t>
            </w:r>
          </w:p>
        </w:tc>
        <w:tc>
          <w:tcPr>
            <w:tcW w:w="4984" w:type="dxa"/>
            <w:vMerge w:val="continue"/>
            <w:noWrap w:val="0"/>
            <w:vAlign w:val="center"/>
          </w:tcPr>
          <w:p w14:paraId="723D17B7">
            <w:pPr>
              <w:spacing w:line="240" w:lineRule="auto"/>
              <w:rPr>
                <w:rFonts w:hint="eastAsia" w:ascii="仿宋" w:hAnsi="仿宋" w:eastAsia="仿宋" w:cs="仿宋"/>
                <w:color w:val="auto"/>
                <w:sz w:val="21"/>
                <w:szCs w:val="21"/>
              </w:rPr>
            </w:pPr>
          </w:p>
        </w:tc>
      </w:tr>
      <w:tr w14:paraId="230C11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7" w:type="dxa"/>
            <w:vMerge w:val="continue"/>
            <w:noWrap w:val="0"/>
            <w:vAlign w:val="center"/>
          </w:tcPr>
          <w:p w14:paraId="07B47369">
            <w:pPr>
              <w:spacing w:line="240" w:lineRule="auto"/>
              <w:jc w:val="center"/>
              <w:rPr>
                <w:rFonts w:hint="eastAsia" w:ascii="仿宋" w:hAnsi="仿宋" w:eastAsia="仿宋" w:cs="仿宋"/>
                <w:color w:val="auto"/>
                <w:sz w:val="21"/>
                <w:szCs w:val="21"/>
              </w:rPr>
            </w:pPr>
          </w:p>
        </w:tc>
        <w:tc>
          <w:tcPr>
            <w:tcW w:w="709" w:type="dxa"/>
            <w:vMerge w:val="continue"/>
            <w:noWrap w:val="0"/>
            <w:vAlign w:val="center"/>
          </w:tcPr>
          <w:p w14:paraId="2680BA01">
            <w:pPr>
              <w:spacing w:line="240" w:lineRule="auto"/>
              <w:rPr>
                <w:rFonts w:hint="eastAsia" w:ascii="仿宋" w:hAnsi="仿宋" w:eastAsia="仿宋" w:cs="仿宋"/>
                <w:color w:val="auto"/>
                <w:sz w:val="21"/>
                <w:szCs w:val="21"/>
                <w:lang w:val="zh-CN"/>
              </w:rPr>
            </w:pPr>
          </w:p>
        </w:tc>
        <w:tc>
          <w:tcPr>
            <w:tcW w:w="3118" w:type="dxa"/>
            <w:noWrap w:val="0"/>
            <w:vAlign w:val="center"/>
          </w:tcPr>
          <w:p w14:paraId="20AC49D3">
            <w:pPr>
              <w:spacing w:line="240" w:lineRule="auto"/>
              <w:rPr>
                <w:rFonts w:hint="eastAsia" w:ascii="仿宋" w:hAnsi="仿宋" w:eastAsia="仿宋" w:cs="仿宋"/>
                <w:color w:val="auto"/>
                <w:sz w:val="21"/>
                <w:szCs w:val="21"/>
                <w:lang w:val="zh-CN"/>
              </w:rPr>
            </w:pPr>
            <w:r>
              <w:rPr>
                <w:rFonts w:hint="eastAsia" w:ascii="仿宋" w:hAnsi="仿宋" w:eastAsia="仿宋" w:cs="仿宋"/>
                <w:color w:val="auto"/>
                <w:sz w:val="21"/>
                <w:szCs w:val="21"/>
              </w:rPr>
              <w:t>5.参加政府采购活动前三年内，在经营活动中没有重大违法记录</w:t>
            </w:r>
          </w:p>
        </w:tc>
        <w:tc>
          <w:tcPr>
            <w:tcW w:w="4984" w:type="dxa"/>
            <w:vMerge w:val="continue"/>
            <w:noWrap w:val="0"/>
            <w:vAlign w:val="center"/>
          </w:tcPr>
          <w:p w14:paraId="63BF88EE">
            <w:pPr>
              <w:spacing w:line="240" w:lineRule="auto"/>
              <w:rPr>
                <w:rFonts w:hint="eastAsia" w:ascii="仿宋" w:hAnsi="仿宋" w:eastAsia="仿宋" w:cs="仿宋"/>
                <w:b/>
                <w:color w:val="auto"/>
                <w:sz w:val="21"/>
                <w:szCs w:val="21"/>
              </w:rPr>
            </w:pPr>
          </w:p>
        </w:tc>
      </w:tr>
      <w:tr w14:paraId="33F2FF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817" w:type="dxa"/>
            <w:vMerge w:val="continue"/>
            <w:noWrap w:val="0"/>
            <w:vAlign w:val="center"/>
          </w:tcPr>
          <w:p w14:paraId="1219C5D4">
            <w:pPr>
              <w:spacing w:line="240" w:lineRule="auto"/>
              <w:jc w:val="center"/>
              <w:rPr>
                <w:rFonts w:hint="eastAsia" w:ascii="仿宋" w:hAnsi="仿宋" w:eastAsia="仿宋" w:cs="仿宋"/>
                <w:color w:val="auto"/>
                <w:sz w:val="21"/>
                <w:szCs w:val="21"/>
              </w:rPr>
            </w:pPr>
          </w:p>
        </w:tc>
        <w:tc>
          <w:tcPr>
            <w:tcW w:w="709" w:type="dxa"/>
            <w:vMerge w:val="continue"/>
            <w:noWrap w:val="0"/>
            <w:vAlign w:val="center"/>
          </w:tcPr>
          <w:p w14:paraId="7EB0E12E">
            <w:pPr>
              <w:spacing w:line="240" w:lineRule="auto"/>
              <w:rPr>
                <w:rFonts w:hint="eastAsia" w:ascii="仿宋" w:hAnsi="仿宋" w:eastAsia="仿宋" w:cs="仿宋"/>
                <w:color w:val="auto"/>
                <w:sz w:val="21"/>
                <w:szCs w:val="21"/>
              </w:rPr>
            </w:pPr>
          </w:p>
        </w:tc>
        <w:tc>
          <w:tcPr>
            <w:tcW w:w="3118" w:type="dxa"/>
            <w:noWrap w:val="0"/>
            <w:vAlign w:val="center"/>
          </w:tcPr>
          <w:p w14:paraId="2FDAFFB4">
            <w:pPr>
              <w:spacing w:line="240" w:lineRule="auto"/>
              <w:rPr>
                <w:rFonts w:hint="eastAsia" w:ascii="仿宋" w:hAnsi="仿宋" w:eastAsia="仿宋" w:cs="仿宋"/>
                <w:color w:val="auto"/>
                <w:sz w:val="21"/>
                <w:szCs w:val="21"/>
              </w:rPr>
            </w:pPr>
            <w:r>
              <w:rPr>
                <w:rFonts w:hint="eastAsia" w:ascii="仿宋" w:hAnsi="仿宋" w:eastAsia="仿宋" w:cs="仿宋"/>
                <w:color w:val="auto"/>
                <w:sz w:val="21"/>
                <w:szCs w:val="21"/>
              </w:rPr>
              <w:t>6.法律、行政法规规定的其他条件</w:t>
            </w:r>
          </w:p>
        </w:tc>
        <w:tc>
          <w:tcPr>
            <w:tcW w:w="4984" w:type="dxa"/>
            <w:noWrap w:val="0"/>
            <w:vAlign w:val="center"/>
          </w:tcPr>
          <w:p w14:paraId="0755ED80">
            <w:pPr>
              <w:spacing w:line="240" w:lineRule="auto"/>
              <w:rPr>
                <w:rFonts w:hint="eastAsia" w:ascii="仿宋" w:hAnsi="仿宋" w:eastAsia="仿宋" w:cs="仿宋"/>
                <w:color w:val="auto"/>
                <w:sz w:val="21"/>
                <w:szCs w:val="21"/>
              </w:rPr>
            </w:pPr>
          </w:p>
        </w:tc>
      </w:tr>
      <w:tr w14:paraId="7C0BDE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trPr>
        <w:tc>
          <w:tcPr>
            <w:tcW w:w="817" w:type="dxa"/>
            <w:noWrap w:val="0"/>
            <w:vAlign w:val="center"/>
          </w:tcPr>
          <w:p w14:paraId="30B84ACF">
            <w:pPr>
              <w:spacing w:line="240" w:lineRule="auto"/>
              <w:rPr>
                <w:rFonts w:hint="eastAsia" w:ascii="仿宋" w:hAnsi="仿宋" w:eastAsia="仿宋" w:cs="仿宋"/>
                <w:color w:val="auto"/>
                <w:sz w:val="21"/>
                <w:szCs w:val="21"/>
              </w:rPr>
            </w:pPr>
            <w:r>
              <w:rPr>
                <w:rFonts w:hint="eastAsia" w:ascii="仿宋" w:hAnsi="仿宋" w:eastAsia="仿宋" w:cs="仿宋"/>
                <w:color w:val="auto"/>
                <w:sz w:val="21"/>
                <w:szCs w:val="21"/>
              </w:rPr>
              <w:t>（</w:t>
            </w:r>
            <w:r>
              <w:rPr>
                <w:rFonts w:hint="eastAsia" w:ascii="仿宋" w:hAnsi="仿宋" w:eastAsia="仿宋" w:cs="仿宋"/>
                <w:color w:val="auto"/>
                <w:sz w:val="21"/>
                <w:szCs w:val="21"/>
                <w:lang w:eastAsia="zh-CN"/>
              </w:rPr>
              <w:t>二</w:t>
            </w:r>
            <w:r>
              <w:rPr>
                <w:rFonts w:hint="eastAsia" w:ascii="仿宋" w:hAnsi="仿宋" w:eastAsia="仿宋" w:cs="仿宋"/>
                <w:color w:val="auto"/>
                <w:sz w:val="21"/>
                <w:szCs w:val="21"/>
              </w:rPr>
              <w:t xml:space="preserve"> ）</w:t>
            </w:r>
          </w:p>
        </w:tc>
        <w:tc>
          <w:tcPr>
            <w:tcW w:w="3827" w:type="dxa"/>
            <w:gridSpan w:val="2"/>
            <w:noWrap w:val="0"/>
            <w:vAlign w:val="center"/>
          </w:tcPr>
          <w:p w14:paraId="269ADD92">
            <w:pPr>
              <w:spacing w:line="240" w:lineRule="auto"/>
              <w:rPr>
                <w:rFonts w:hint="eastAsia" w:ascii="仿宋" w:hAnsi="仿宋" w:eastAsia="仿宋" w:cs="仿宋"/>
                <w:color w:val="auto"/>
                <w:sz w:val="21"/>
                <w:szCs w:val="21"/>
              </w:rPr>
            </w:pPr>
            <w:r>
              <w:rPr>
                <w:rFonts w:hint="eastAsia" w:ascii="仿宋" w:hAnsi="仿宋" w:eastAsia="仿宋" w:cs="仿宋"/>
                <w:color w:val="auto"/>
                <w:sz w:val="21"/>
                <w:szCs w:val="21"/>
              </w:rPr>
              <w:t>本项目的特定资格要求</w:t>
            </w:r>
          </w:p>
        </w:tc>
        <w:tc>
          <w:tcPr>
            <w:tcW w:w="4984" w:type="dxa"/>
            <w:noWrap w:val="0"/>
            <w:vAlign w:val="center"/>
          </w:tcPr>
          <w:p w14:paraId="7440CD89">
            <w:pPr>
              <w:spacing w:line="240" w:lineRule="auto"/>
              <w:rPr>
                <w:rFonts w:hint="eastAsia" w:ascii="仿宋" w:hAnsi="仿宋" w:eastAsia="仿宋" w:cs="仿宋"/>
                <w:color w:val="auto"/>
                <w:sz w:val="21"/>
                <w:szCs w:val="21"/>
              </w:rPr>
            </w:pPr>
            <w:r>
              <w:rPr>
                <w:rFonts w:hint="eastAsia" w:ascii="仿宋" w:hAnsi="仿宋" w:eastAsia="仿宋" w:cs="仿宋"/>
                <w:color w:val="auto"/>
                <w:sz w:val="21"/>
                <w:szCs w:val="21"/>
              </w:rPr>
              <w:t>按“第一篇 三、供应商资格要求（二）本项目的特定资格要求”的要求提交（如果有）。</w:t>
            </w:r>
          </w:p>
        </w:tc>
      </w:tr>
    </w:tbl>
    <w:p w14:paraId="2E133B33">
      <w:pPr>
        <w:snapToGrid w:val="0"/>
        <w:spacing w:line="360" w:lineRule="auto"/>
        <w:ind w:firstLine="480" w:firstLineChars="200"/>
        <w:rPr>
          <w:rFonts w:hint="eastAsia" w:ascii="仿宋" w:hAnsi="仿宋" w:eastAsia="仿宋" w:cs="仿宋"/>
          <w:color w:val="auto"/>
          <w:kern w:val="0"/>
          <w:sz w:val="24"/>
          <w:szCs w:val="24"/>
        </w:rPr>
      </w:pPr>
      <w:r>
        <w:rPr>
          <w:rFonts w:hint="eastAsia" w:ascii="仿宋" w:hAnsi="仿宋" w:eastAsia="仿宋" w:cs="仿宋"/>
          <w:color w:val="auto"/>
          <w:kern w:val="0"/>
          <w:sz w:val="24"/>
          <w:szCs w:val="24"/>
        </w:rPr>
        <w:t>注：</w:t>
      </w:r>
    </w:p>
    <w:p w14:paraId="487B59D7">
      <w:pPr>
        <w:snapToGrid w:val="0"/>
        <w:spacing w:line="360" w:lineRule="auto"/>
        <w:ind w:firstLine="480" w:firstLineChars="200"/>
        <w:rPr>
          <w:rFonts w:hint="eastAsia" w:ascii="仿宋" w:hAnsi="仿宋" w:eastAsia="仿宋" w:cs="仿宋"/>
          <w:color w:val="auto"/>
          <w:kern w:val="0"/>
          <w:sz w:val="24"/>
          <w:szCs w:val="24"/>
        </w:rPr>
      </w:pPr>
      <w:r>
        <w:rPr>
          <w:rFonts w:hint="eastAsia" w:ascii="仿宋" w:hAnsi="仿宋" w:eastAsia="仿宋" w:cs="仿宋"/>
          <w:color w:val="auto"/>
          <w:kern w:val="0"/>
          <w:sz w:val="24"/>
          <w:szCs w:val="24"/>
        </w:rPr>
        <w:fldChar w:fldCharType="begin"/>
      </w:r>
      <w:r>
        <w:rPr>
          <w:rFonts w:hint="eastAsia" w:ascii="仿宋" w:hAnsi="仿宋" w:eastAsia="仿宋" w:cs="仿宋"/>
          <w:color w:val="auto"/>
          <w:kern w:val="0"/>
          <w:sz w:val="24"/>
          <w:szCs w:val="24"/>
        </w:rPr>
        <w:instrText xml:space="preserve"> eq \o\ac(○,</w:instrText>
      </w:r>
      <w:r>
        <w:rPr>
          <w:rFonts w:hint="eastAsia" w:ascii="仿宋" w:hAnsi="仿宋" w:eastAsia="仿宋" w:cs="仿宋"/>
          <w:color w:val="auto"/>
          <w:kern w:val="0"/>
          <w:position w:val="3"/>
          <w:sz w:val="16"/>
          <w:szCs w:val="24"/>
        </w:rPr>
        <w:instrText xml:space="preserve">1</w:instrText>
      </w:r>
      <w:r>
        <w:rPr>
          <w:rFonts w:hint="eastAsia" w:ascii="仿宋" w:hAnsi="仿宋" w:eastAsia="仿宋" w:cs="仿宋"/>
          <w:color w:val="auto"/>
          <w:kern w:val="0"/>
          <w:sz w:val="24"/>
          <w:szCs w:val="24"/>
        </w:rPr>
        <w:instrText xml:space="preserve">)</w:instrText>
      </w:r>
      <w:r>
        <w:rPr>
          <w:rFonts w:hint="eastAsia" w:ascii="仿宋" w:hAnsi="仿宋" w:eastAsia="仿宋" w:cs="仿宋"/>
          <w:color w:val="auto"/>
          <w:kern w:val="0"/>
          <w:sz w:val="24"/>
          <w:szCs w:val="24"/>
        </w:rPr>
        <w:fldChar w:fldCharType="end"/>
      </w:r>
      <w:r>
        <w:rPr>
          <w:rFonts w:hint="eastAsia" w:ascii="仿宋" w:hAnsi="仿宋" w:eastAsia="仿宋" w:cs="仿宋"/>
          <w:color w:val="auto"/>
          <w:kern w:val="0"/>
          <w:sz w:val="24"/>
          <w:szCs w:val="24"/>
        </w:rPr>
        <w:t>根据《中华人民共和国政府采购法实施条例》第十九条“参加政府采购活动前三年内，在经营活动中没有重大违法记录”中“重大违法记录”，是指供应商因违法经营受到刑事处罚或者责令停产停业、吊销许可证或者执照、较大数额罚款等行政处罚。行政处罚中“较大数额”的认定标准，按照“财政部关于《中华人民共和国政府采购法实施条例》第十九条第一款“较大数额罚款”具体适用问题的意见（财库〔2022〕3 号）”执行。供应商可于响应文件递交截止时间前通过 “信用中国”网站(www.creditchina.gov.cn)、"中国政府采购网"(www.ccgp.gov.cn)等渠道查询信用记录。</w:t>
      </w:r>
    </w:p>
    <w:p w14:paraId="31CAA7F7">
      <w:pPr>
        <w:snapToGrid w:val="0"/>
        <w:spacing w:line="360" w:lineRule="auto"/>
        <w:ind w:firstLine="480" w:firstLineChars="200"/>
        <w:rPr>
          <w:rFonts w:hint="eastAsia" w:ascii="仿宋" w:hAnsi="仿宋" w:eastAsia="仿宋" w:cs="仿宋"/>
          <w:color w:val="auto"/>
          <w:kern w:val="0"/>
          <w:sz w:val="24"/>
          <w:szCs w:val="24"/>
        </w:rPr>
      </w:pPr>
      <w:r>
        <w:rPr>
          <w:rFonts w:hint="eastAsia" w:ascii="仿宋" w:hAnsi="仿宋" w:eastAsia="仿宋" w:cs="仿宋"/>
          <w:color w:val="auto"/>
          <w:kern w:val="0"/>
          <w:sz w:val="24"/>
          <w:szCs w:val="24"/>
        </w:rPr>
        <w:t>2.符合性审查。依据</w:t>
      </w:r>
      <w:r>
        <w:rPr>
          <w:rFonts w:hint="eastAsia" w:ascii="仿宋" w:hAnsi="仿宋" w:eastAsia="仿宋" w:cs="仿宋"/>
          <w:color w:val="auto"/>
          <w:kern w:val="0"/>
          <w:sz w:val="24"/>
          <w:szCs w:val="24"/>
          <w:lang w:eastAsia="zh-CN"/>
        </w:rPr>
        <w:t>询比文件</w:t>
      </w:r>
      <w:r>
        <w:rPr>
          <w:rFonts w:hint="eastAsia" w:ascii="仿宋" w:hAnsi="仿宋" w:eastAsia="仿宋" w:cs="仿宋"/>
          <w:color w:val="auto"/>
          <w:kern w:val="0"/>
          <w:sz w:val="24"/>
          <w:szCs w:val="24"/>
        </w:rPr>
        <w:t>的规定，从响应文件的有效性、完整性和对</w:t>
      </w:r>
      <w:r>
        <w:rPr>
          <w:rFonts w:hint="eastAsia" w:ascii="仿宋" w:hAnsi="仿宋" w:eastAsia="仿宋" w:cs="仿宋"/>
          <w:color w:val="auto"/>
          <w:kern w:val="0"/>
          <w:sz w:val="24"/>
          <w:szCs w:val="24"/>
          <w:lang w:eastAsia="zh-CN"/>
        </w:rPr>
        <w:t>询比文件</w:t>
      </w:r>
      <w:r>
        <w:rPr>
          <w:rFonts w:hint="eastAsia" w:ascii="仿宋" w:hAnsi="仿宋" w:eastAsia="仿宋" w:cs="仿宋"/>
          <w:color w:val="auto"/>
          <w:kern w:val="0"/>
          <w:sz w:val="24"/>
          <w:szCs w:val="24"/>
        </w:rPr>
        <w:t>的响应程度进行审查，以确定是否对</w:t>
      </w:r>
      <w:r>
        <w:rPr>
          <w:rFonts w:hint="eastAsia" w:ascii="仿宋" w:hAnsi="仿宋" w:eastAsia="仿宋" w:cs="仿宋"/>
          <w:color w:val="auto"/>
          <w:kern w:val="0"/>
          <w:sz w:val="24"/>
          <w:szCs w:val="24"/>
          <w:lang w:eastAsia="zh-CN"/>
        </w:rPr>
        <w:t>询比文件</w:t>
      </w:r>
      <w:r>
        <w:rPr>
          <w:rFonts w:hint="eastAsia" w:ascii="仿宋" w:hAnsi="仿宋" w:eastAsia="仿宋" w:cs="仿宋"/>
          <w:color w:val="auto"/>
          <w:kern w:val="0"/>
          <w:sz w:val="24"/>
          <w:szCs w:val="24"/>
        </w:rPr>
        <w:t>的实质性要求作出响应。符合性审查资料表如下：</w:t>
      </w:r>
    </w:p>
    <w:tbl>
      <w:tblPr>
        <w:tblStyle w:val="1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5"/>
        <w:gridCol w:w="1560"/>
        <w:gridCol w:w="1984"/>
        <w:gridCol w:w="5409"/>
      </w:tblGrid>
      <w:tr w14:paraId="068E5C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1" w:hRule="atLeast"/>
        </w:trPr>
        <w:tc>
          <w:tcPr>
            <w:tcW w:w="675" w:type="dxa"/>
            <w:noWrap w:val="0"/>
            <w:vAlign w:val="center"/>
          </w:tcPr>
          <w:p w14:paraId="6197E5B4">
            <w:pPr>
              <w:spacing w:line="240" w:lineRule="auto"/>
              <w:jc w:val="both"/>
              <w:rPr>
                <w:rFonts w:hint="eastAsia" w:ascii="仿宋" w:hAnsi="仿宋" w:eastAsia="仿宋" w:cs="仿宋"/>
                <w:b/>
                <w:color w:val="auto"/>
                <w:kern w:val="0"/>
                <w:sz w:val="21"/>
                <w:szCs w:val="21"/>
              </w:rPr>
            </w:pPr>
            <w:r>
              <w:rPr>
                <w:rFonts w:hint="eastAsia" w:ascii="仿宋" w:hAnsi="仿宋" w:eastAsia="仿宋" w:cs="仿宋"/>
                <w:b/>
                <w:color w:val="auto"/>
                <w:kern w:val="0"/>
                <w:sz w:val="21"/>
                <w:szCs w:val="21"/>
              </w:rPr>
              <w:t>序号</w:t>
            </w:r>
          </w:p>
        </w:tc>
        <w:tc>
          <w:tcPr>
            <w:tcW w:w="3544" w:type="dxa"/>
            <w:gridSpan w:val="2"/>
            <w:noWrap w:val="0"/>
            <w:vAlign w:val="center"/>
          </w:tcPr>
          <w:p w14:paraId="39C93330">
            <w:pPr>
              <w:spacing w:line="240" w:lineRule="auto"/>
              <w:jc w:val="both"/>
              <w:rPr>
                <w:rFonts w:hint="eastAsia" w:ascii="仿宋" w:hAnsi="仿宋" w:eastAsia="仿宋" w:cs="仿宋"/>
                <w:b/>
                <w:color w:val="auto"/>
                <w:kern w:val="0"/>
                <w:sz w:val="21"/>
                <w:szCs w:val="21"/>
              </w:rPr>
            </w:pPr>
            <w:r>
              <w:rPr>
                <w:rFonts w:hint="eastAsia" w:ascii="仿宋" w:hAnsi="仿宋" w:eastAsia="仿宋" w:cs="仿宋"/>
                <w:b/>
                <w:color w:val="auto"/>
                <w:kern w:val="0"/>
                <w:sz w:val="21"/>
                <w:szCs w:val="21"/>
              </w:rPr>
              <w:t>评审因素</w:t>
            </w:r>
          </w:p>
        </w:tc>
        <w:tc>
          <w:tcPr>
            <w:tcW w:w="5409" w:type="dxa"/>
            <w:noWrap w:val="0"/>
            <w:vAlign w:val="center"/>
          </w:tcPr>
          <w:p w14:paraId="2B2DACA9">
            <w:pPr>
              <w:spacing w:line="240" w:lineRule="auto"/>
              <w:jc w:val="both"/>
              <w:rPr>
                <w:rFonts w:hint="eastAsia" w:ascii="仿宋" w:hAnsi="仿宋" w:eastAsia="仿宋" w:cs="仿宋"/>
                <w:b/>
                <w:color w:val="auto"/>
                <w:kern w:val="0"/>
                <w:sz w:val="21"/>
                <w:szCs w:val="21"/>
              </w:rPr>
            </w:pPr>
            <w:r>
              <w:rPr>
                <w:rFonts w:hint="eastAsia" w:ascii="仿宋" w:hAnsi="仿宋" w:eastAsia="仿宋" w:cs="仿宋"/>
                <w:b/>
                <w:color w:val="auto"/>
                <w:kern w:val="0"/>
                <w:sz w:val="21"/>
                <w:szCs w:val="21"/>
              </w:rPr>
              <w:t>评审标准</w:t>
            </w:r>
          </w:p>
        </w:tc>
      </w:tr>
      <w:tr w14:paraId="051861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4" w:hRule="atLeast"/>
        </w:trPr>
        <w:tc>
          <w:tcPr>
            <w:tcW w:w="675" w:type="dxa"/>
            <w:vMerge w:val="restart"/>
            <w:noWrap w:val="0"/>
            <w:vAlign w:val="center"/>
          </w:tcPr>
          <w:p w14:paraId="5233C100">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1</w:t>
            </w:r>
          </w:p>
        </w:tc>
        <w:tc>
          <w:tcPr>
            <w:tcW w:w="1560" w:type="dxa"/>
            <w:vMerge w:val="restart"/>
            <w:noWrap w:val="0"/>
            <w:vAlign w:val="center"/>
          </w:tcPr>
          <w:p w14:paraId="01709BED">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有效性审查</w:t>
            </w:r>
          </w:p>
        </w:tc>
        <w:tc>
          <w:tcPr>
            <w:tcW w:w="1984" w:type="dxa"/>
            <w:noWrap w:val="0"/>
            <w:vAlign w:val="center"/>
          </w:tcPr>
          <w:p w14:paraId="67041B07">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sz w:val="21"/>
                <w:szCs w:val="21"/>
              </w:rPr>
              <w:t>响应文件签署或盖章</w:t>
            </w:r>
          </w:p>
        </w:tc>
        <w:tc>
          <w:tcPr>
            <w:tcW w:w="5409" w:type="dxa"/>
            <w:noWrap w:val="0"/>
            <w:vAlign w:val="center"/>
          </w:tcPr>
          <w:p w14:paraId="11EC51A1">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sz w:val="21"/>
                <w:szCs w:val="21"/>
              </w:rPr>
              <w:t>按</w:t>
            </w:r>
            <w:r>
              <w:rPr>
                <w:rFonts w:hint="eastAsia" w:ascii="仿宋" w:hAnsi="仿宋" w:eastAsia="仿宋" w:cs="仿宋"/>
                <w:color w:val="auto"/>
                <w:sz w:val="21"/>
                <w:szCs w:val="21"/>
                <w:lang w:eastAsia="zh-CN"/>
              </w:rPr>
              <w:t>询比文件</w:t>
            </w:r>
            <w:r>
              <w:rPr>
                <w:rFonts w:hint="eastAsia" w:ascii="仿宋" w:hAnsi="仿宋" w:eastAsia="仿宋" w:cs="仿宋"/>
                <w:color w:val="auto"/>
                <w:sz w:val="21"/>
                <w:szCs w:val="21"/>
              </w:rPr>
              <w:t>“第七篇响应文件编制要求”要求签署或盖章。</w:t>
            </w:r>
          </w:p>
        </w:tc>
      </w:tr>
      <w:tr w14:paraId="4E5159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9" w:hRule="atLeast"/>
        </w:trPr>
        <w:tc>
          <w:tcPr>
            <w:tcW w:w="675" w:type="dxa"/>
            <w:vMerge w:val="continue"/>
            <w:noWrap w:val="0"/>
            <w:vAlign w:val="center"/>
          </w:tcPr>
          <w:p w14:paraId="68E52368">
            <w:pPr>
              <w:spacing w:line="240" w:lineRule="auto"/>
              <w:jc w:val="both"/>
              <w:rPr>
                <w:rFonts w:hint="eastAsia" w:ascii="仿宋" w:hAnsi="仿宋" w:eastAsia="仿宋" w:cs="仿宋"/>
                <w:color w:val="auto"/>
                <w:kern w:val="0"/>
                <w:sz w:val="21"/>
                <w:szCs w:val="21"/>
              </w:rPr>
            </w:pPr>
          </w:p>
        </w:tc>
        <w:tc>
          <w:tcPr>
            <w:tcW w:w="1560" w:type="dxa"/>
            <w:vMerge w:val="continue"/>
            <w:noWrap w:val="0"/>
            <w:vAlign w:val="center"/>
          </w:tcPr>
          <w:p w14:paraId="530217EE">
            <w:pPr>
              <w:spacing w:line="240" w:lineRule="auto"/>
              <w:jc w:val="both"/>
              <w:rPr>
                <w:rFonts w:hint="eastAsia" w:ascii="仿宋" w:hAnsi="仿宋" w:eastAsia="仿宋" w:cs="仿宋"/>
                <w:color w:val="auto"/>
                <w:kern w:val="0"/>
                <w:sz w:val="21"/>
                <w:szCs w:val="21"/>
              </w:rPr>
            </w:pPr>
          </w:p>
        </w:tc>
        <w:tc>
          <w:tcPr>
            <w:tcW w:w="1984" w:type="dxa"/>
            <w:noWrap w:val="0"/>
            <w:vAlign w:val="center"/>
          </w:tcPr>
          <w:p w14:paraId="4BA8FEBC">
            <w:pPr>
              <w:spacing w:line="240" w:lineRule="auto"/>
              <w:jc w:val="both"/>
              <w:rPr>
                <w:rFonts w:hint="eastAsia" w:ascii="仿宋" w:hAnsi="仿宋" w:eastAsia="仿宋" w:cs="仿宋"/>
                <w:color w:val="auto"/>
                <w:sz w:val="21"/>
                <w:szCs w:val="21"/>
              </w:rPr>
            </w:pPr>
            <w:r>
              <w:rPr>
                <w:rFonts w:hint="eastAsia" w:ascii="仿宋" w:hAnsi="仿宋" w:eastAsia="仿宋" w:cs="仿宋"/>
                <w:color w:val="auto"/>
                <w:sz w:val="21"/>
                <w:szCs w:val="21"/>
              </w:rPr>
              <w:t>法定代表人身份证明及授权委托书</w:t>
            </w:r>
          </w:p>
        </w:tc>
        <w:tc>
          <w:tcPr>
            <w:tcW w:w="5409" w:type="dxa"/>
            <w:noWrap w:val="0"/>
            <w:vAlign w:val="center"/>
          </w:tcPr>
          <w:p w14:paraId="73EB9AD1">
            <w:pPr>
              <w:spacing w:line="240" w:lineRule="auto"/>
              <w:jc w:val="both"/>
              <w:rPr>
                <w:rFonts w:hint="eastAsia" w:ascii="仿宋" w:hAnsi="仿宋" w:eastAsia="仿宋" w:cs="仿宋"/>
                <w:color w:val="auto"/>
                <w:sz w:val="21"/>
                <w:szCs w:val="21"/>
              </w:rPr>
            </w:pPr>
            <w:r>
              <w:rPr>
                <w:rFonts w:hint="eastAsia" w:ascii="仿宋" w:hAnsi="仿宋" w:eastAsia="仿宋" w:cs="仿宋"/>
                <w:color w:val="auto"/>
                <w:sz w:val="21"/>
                <w:szCs w:val="21"/>
              </w:rPr>
              <w:t>法定代表人身份证明及授权委托书有效，符合</w:t>
            </w:r>
            <w:r>
              <w:rPr>
                <w:rFonts w:hint="eastAsia" w:ascii="仿宋" w:hAnsi="仿宋" w:eastAsia="仿宋" w:cs="仿宋"/>
                <w:color w:val="auto"/>
                <w:sz w:val="21"/>
                <w:szCs w:val="21"/>
                <w:lang w:eastAsia="zh-CN"/>
              </w:rPr>
              <w:t>询比文件</w:t>
            </w:r>
            <w:r>
              <w:rPr>
                <w:rFonts w:hint="eastAsia" w:ascii="仿宋" w:hAnsi="仿宋" w:eastAsia="仿宋" w:cs="仿宋"/>
                <w:color w:val="auto"/>
                <w:sz w:val="21"/>
                <w:szCs w:val="21"/>
              </w:rPr>
              <w:t>规定的格式，签署或盖章齐全。</w:t>
            </w:r>
          </w:p>
        </w:tc>
      </w:tr>
      <w:tr w14:paraId="34726D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6" w:hRule="atLeast"/>
        </w:trPr>
        <w:tc>
          <w:tcPr>
            <w:tcW w:w="675" w:type="dxa"/>
            <w:vMerge w:val="continue"/>
            <w:noWrap w:val="0"/>
            <w:vAlign w:val="center"/>
          </w:tcPr>
          <w:p w14:paraId="67866670">
            <w:pPr>
              <w:spacing w:line="240" w:lineRule="auto"/>
              <w:jc w:val="both"/>
              <w:rPr>
                <w:rFonts w:hint="eastAsia" w:ascii="仿宋" w:hAnsi="仿宋" w:eastAsia="仿宋" w:cs="仿宋"/>
                <w:color w:val="auto"/>
                <w:kern w:val="0"/>
                <w:sz w:val="21"/>
                <w:szCs w:val="21"/>
              </w:rPr>
            </w:pPr>
          </w:p>
        </w:tc>
        <w:tc>
          <w:tcPr>
            <w:tcW w:w="1560" w:type="dxa"/>
            <w:vMerge w:val="continue"/>
            <w:noWrap w:val="0"/>
            <w:vAlign w:val="center"/>
          </w:tcPr>
          <w:p w14:paraId="4CC3CA5F">
            <w:pPr>
              <w:spacing w:line="240" w:lineRule="auto"/>
              <w:jc w:val="both"/>
              <w:rPr>
                <w:rFonts w:hint="eastAsia" w:ascii="仿宋" w:hAnsi="仿宋" w:eastAsia="仿宋" w:cs="仿宋"/>
                <w:color w:val="auto"/>
                <w:kern w:val="0"/>
                <w:sz w:val="21"/>
                <w:szCs w:val="21"/>
              </w:rPr>
            </w:pPr>
          </w:p>
        </w:tc>
        <w:tc>
          <w:tcPr>
            <w:tcW w:w="1984" w:type="dxa"/>
            <w:noWrap w:val="0"/>
            <w:vAlign w:val="center"/>
          </w:tcPr>
          <w:p w14:paraId="6F5F5FB8">
            <w:pPr>
              <w:spacing w:line="240" w:lineRule="auto"/>
              <w:jc w:val="both"/>
              <w:rPr>
                <w:rFonts w:hint="eastAsia" w:ascii="仿宋" w:hAnsi="仿宋" w:eastAsia="仿宋" w:cs="仿宋"/>
                <w:color w:val="auto"/>
                <w:sz w:val="21"/>
                <w:szCs w:val="21"/>
                <w:lang w:val="zh-CN"/>
              </w:rPr>
            </w:pPr>
            <w:r>
              <w:rPr>
                <w:rFonts w:hint="eastAsia" w:ascii="仿宋" w:hAnsi="仿宋" w:eastAsia="仿宋" w:cs="仿宋"/>
                <w:color w:val="auto"/>
                <w:sz w:val="21"/>
                <w:szCs w:val="21"/>
              </w:rPr>
              <w:t>响应</w:t>
            </w:r>
            <w:r>
              <w:rPr>
                <w:rFonts w:hint="eastAsia" w:ascii="仿宋" w:hAnsi="仿宋" w:eastAsia="仿宋" w:cs="仿宋"/>
                <w:color w:val="auto"/>
                <w:sz w:val="21"/>
                <w:szCs w:val="21"/>
                <w:lang w:val="zh-CN"/>
              </w:rPr>
              <w:t>方案</w:t>
            </w:r>
          </w:p>
        </w:tc>
        <w:tc>
          <w:tcPr>
            <w:tcW w:w="5409" w:type="dxa"/>
            <w:noWrap w:val="0"/>
            <w:vAlign w:val="center"/>
          </w:tcPr>
          <w:p w14:paraId="574E4724">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sz w:val="21"/>
                <w:szCs w:val="21"/>
                <w:lang w:val="zh-CN"/>
              </w:rPr>
              <w:t>每个包只能有一个</w:t>
            </w:r>
            <w:r>
              <w:rPr>
                <w:rFonts w:hint="eastAsia" w:ascii="仿宋" w:hAnsi="仿宋" w:eastAsia="仿宋" w:cs="仿宋"/>
                <w:color w:val="auto"/>
                <w:sz w:val="21"/>
                <w:szCs w:val="21"/>
              </w:rPr>
              <w:t>响应</w:t>
            </w:r>
            <w:r>
              <w:rPr>
                <w:rFonts w:hint="eastAsia" w:ascii="仿宋" w:hAnsi="仿宋" w:eastAsia="仿宋" w:cs="仿宋"/>
                <w:color w:val="auto"/>
                <w:sz w:val="21"/>
                <w:szCs w:val="21"/>
                <w:lang w:val="zh-CN"/>
              </w:rPr>
              <w:t>方案。</w:t>
            </w:r>
          </w:p>
        </w:tc>
      </w:tr>
      <w:tr w14:paraId="427D2A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675" w:type="dxa"/>
            <w:vMerge w:val="continue"/>
            <w:noWrap w:val="0"/>
            <w:vAlign w:val="center"/>
          </w:tcPr>
          <w:p w14:paraId="25AC4207">
            <w:pPr>
              <w:spacing w:line="240" w:lineRule="auto"/>
              <w:jc w:val="both"/>
              <w:rPr>
                <w:rFonts w:hint="eastAsia" w:ascii="仿宋" w:hAnsi="仿宋" w:eastAsia="仿宋" w:cs="仿宋"/>
                <w:color w:val="auto"/>
                <w:kern w:val="0"/>
                <w:sz w:val="21"/>
                <w:szCs w:val="21"/>
              </w:rPr>
            </w:pPr>
          </w:p>
        </w:tc>
        <w:tc>
          <w:tcPr>
            <w:tcW w:w="1560" w:type="dxa"/>
            <w:vMerge w:val="continue"/>
            <w:noWrap w:val="0"/>
            <w:vAlign w:val="center"/>
          </w:tcPr>
          <w:p w14:paraId="2C5F034C">
            <w:pPr>
              <w:spacing w:line="240" w:lineRule="auto"/>
              <w:jc w:val="both"/>
              <w:rPr>
                <w:rFonts w:hint="eastAsia" w:ascii="仿宋" w:hAnsi="仿宋" w:eastAsia="仿宋" w:cs="仿宋"/>
                <w:color w:val="auto"/>
                <w:kern w:val="0"/>
                <w:sz w:val="21"/>
                <w:szCs w:val="21"/>
              </w:rPr>
            </w:pPr>
          </w:p>
        </w:tc>
        <w:tc>
          <w:tcPr>
            <w:tcW w:w="1984" w:type="dxa"/>
            <w:noWrap w:val="0"/>
            <w:vAlign w:val="center"/>
          </w:tcPr>
          <w:p w14:paraId="6CB0AE86">
            <w:pPr>
              <w:spacing w:line="240" w:lineRule="auto"/>
              <w:jc w:val="both"/>
              <w:rPr>
                <w:rFonts w:hint="eastAsia" w:ascii="仿宋" w:hAnsi="仿宋" w:eastAsia="仿宋" w:cs="仿宋"/>
                <w:color w:val="auto"/>
                <w:sz w:val="21"/>
                <w:szCs w:val="21"/>
                <w:lang w:val="zh-CN"/>
              </w:rPr>
            </w:pPr>
            <w:r>
              <w:rPr>
                <w:rFonts w:hint="eastAsia" w:ascii="仿宋" w:hAnsi="仿宋" w:eastAsia="仿宋" w:cs="仿宋"/>
                <w:color w:val="auto"/>
                <w:sz w:val="21"/>
                <w:szCs w:val="21"/>
              </w:rPr>
              <w:t>报价唯一</w:t>
            </w:r>
          </w:p>
        </w:tc>
        <w:tc>
          <w:tcPr>
            <w:tcW w:w="5409" w:type="dxa"/>
            <w:noWrap w:val="0"/>
            <w:vAlign w:val="center"/>
          </w:tcPr>
          <w:p w14:paraId="25623377">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sz w:val="21"/>
                <w:szCs w:val="21"/>
              </w:rPr>
              <w:t>只能有一个有效报价，不得超过最高限价，不得提交选择性报价。</w:t>
            </w:r>
          </w:p>
        </w:tc>
      </w:tr>
      <w:tr w14:paraId="27EEC3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1" w:hRule="atLeast"/>
        </w:trPr>
        <w:tc>
          <w:tcPr>
            <w:tcW w:w="675" w:type="dxa"/>
            <w:noWrap w:val="0"/>
            <w:vAlign w:val="center"/>
          </w:tcPr>
          <w:p w14:paraId="43F1C8FE">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2</w:t>
            </w:r>
          </w:p>
        </w:tc>
        <w:tc>
          <w:tcPr>
            <w:tcW w:w="1560" w:type="dxa"/>
            <w:noWrap w:val="0"/>
            <w:vAlign w:val="center"/>
          </w:tcPr>
          <w:p w14:paraId="730FC409">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完整性审查</w:t>
            </w:r>
          </w:p>
        </w:tc>
        <w:tc>
          <w:tcPr>
            <w:tcW w:w="1984" w:type="dxa"/>
            <w:noWrap w:val="0"/>
            <w:vAlign w:val="center"/>
          </w:tcPr>
          <w:p w14:paraId="7C542F6B">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sz w:val="21"/>
                <w:szCs w:val="21"/>
              </w:rPr>
              <w:t>响应</w:t>
            </w:r>
            <w:r>
              <w:rPr>
                <w:rFonts w:hint="eastAsia" w:ascii="仿宋" w:hAnsi="仿宋" w:eastAsia="仿宋" w:cs="仿宋"/>
                <w:color w:val="auto"/>
                <w:sz w:val="21"/>
                <w:szCs w:val="21"/>
                <w:lang w:val="zh-CN"/>
              </w:rPr>
              <w:t>文件份数</w:t>
            </w:r>
          </w:p>
        </w:tc>
        <w:tc>
          <w:tcPr>
            <w:tcW w:w="5409" w:type="dxa"/>
            <w:noWrap w:val="0"/>
            <w:vAlign w:val="center"/>
          </w:tcPr>
          <w:p w14:paraId="6239C5C0">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sz w:val="21"/>
                <w:szCs w:val="21"/>
              </w:rPr>
              <w:t>响应</w:t>
            </w:r>
            <w:r>
              <w:rPr>
                <w:rFonts w:hint="eastAsia" w:ascii="仿宋" w:hAnsi="仿宋" w:eastAsia="仿宋" w:cs="仿宋"/>
                <w:color w:val="auto"/>
                <w:sz w:val="21"/>
                <w:szCs w:val="21"/>
                <w:lang w:val="zh-CN"/>
              </w:rPr>
              <w:t>文件正、副本、电子文件数量符合</w:t>
            </w:r>
            <w:r>
              <w:rPr>
                <w:rFonts w:hint="eastAsia" w:ascii="仿宋" w:hAnsi="仿宋" w:eastAsia="仿宋" w:cs="仿宋"/>
                <w:color w:val="auto"/>
                <w:sz w:val="21"/>
                <w:szCs w:val="21"/>
                <w:lang w:eastAsia="zh-CN"/>
              </w:rPr>
              <w:t>询比文件</w:t>
            </w:r>
            <w:r>
              <w:rPr>
                <w:rFonts w:hint="eastAsia" w:ascii="仿宋" w:hAnsi="仿宋" w:eastAsia="仿宋" w:cs="仿宋"/>
                <w:color w:val="auto"/>
                <w:sz w:val="21"/>
                <w:szCs w:val="21"/>
                <w:lang w:val="zh-CN"/>
              </w:rPr>
              <w:t>要求。</w:t>
            </w:r>
          </w:p>
        </w:tc>
      </w:tr>
      <w:tr w14:paraId="33E726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5" w:hRule="atLeast"/>
        </w:trPr>
        <w:tc>
          <w:tcPr>
            <w:tcW w:w="675" w:type="dxa"/>
            <w:vMerge w:val="restart"/>
            <w:noWrap w:val="0"/>
            <w:vAlign w:val="center"/>
          </w:tcPr>
          <w:p w14:paraId="4E535867">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3</w:t>
            </w:r>
          </w:p>
        </w:tc>
        <w:tc>
          <w:tcPr>
            <w:tcW w:w="1560" w:type="dxa"/>
            <w:vMerge w:val="restart"/>
            <w:noWrap w:val="0"/>
            <w:vAlign w:val="center"/>
          </w:tcPr>
          <w:p w14:paraId="479A48E4">
            <w:pPr>
              <w:spacing w:line="240" w:lineRule="auto"/>
              <w:jc w:val="both"/>
              <w:rPr>
                <w:rFonts w:hint="eastAsia" w:ascii="仿宋" w:hAnsi="仿宋" w:eastAsia="仿宋" w:cs="仿宋"/>
                <w:color w:val="auto"/>
                <w:sz w:val="21"/>
                <w:szCs w:val="21"/>
                <w:lang w:val="zh-CN"/>
              </w:rPr>
            </w:pPr>
            <w:r>
              <w:rPr>
                <w:rFonts w:hint="eastAsia" w:ascii="仿宋" w:hAnsi="仿宋" w:eastAsia="仿宋" w:cs="仿宋"/>
                <w:color w:val="auto"/>
                <w:kern w:val="0"/>
                <w:sz w:val="21"/>
                <w:szCs w:val="21"/>
              </w:rPr>
              <w:t>响应程度审查</w:t>
            </w:r>
          </w:p>
        </w:tc>
        <w:tc>
          <w:tcPr>
            <w:tcW w:w="1984" w:type="dxa"/>
            <w:noWrap w:val="0"/>
            <w:vAlign w:val="center"/>
          </w:tcPr>
          <w:p w14:paraId="47ABA75D">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实质性响应</w:t>
            </w:r>
          </w:p>
        </w:tc>
        <w:tc>
          <w:tcPr>
            <w:tcW w:w="5409" w:type="dxa"/>
            <w:noWrap w:val="0"/>
            <w:vAlign w:val="center"/>
          </w:tcPr>
          <w:p w14:paraId="50B2C960">
            <w:pPr>
              <w:pStyle w:val="8"/>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对</w:t>
            </w:r>
            <w:r>
              <w:rPr>
                <w:rFonts w:hint="eastAsia" w:ascii="仿宋" w:hAnsi="仿宋" w:eastAsia="仿宋" w:cs="仿宋"/>
                <w:color w:val="auto"/>
                <w:kern w:val="0"/>
                <w:sz w:val="21"/>
                <w:szCs w:val="21"/>
                <w:lang w:eastAsia="zh-CN"/>
              </w:rPr>
              <w:t>询比文件</w:t>
            </w:r>
            <w:r>
              <w:rPr>
                <w:rFonts w:hint="eastAsia" w:ascii="仿宋" w:hAnsi="仿宋" w:eastAsia="仿宋" w:cs="仿宋"/>
                <w:color w:val="auto"/>
                <w:kern w:val="0"/>
                <w:sz w:val="21"/>
                <w:szCs w:val="21"/>
              </w:rPr>
              <w:t>第二、三篇条款的实质性内容逐条作出实质性响应。</w:t>
            </w:r>
          </w:p>
        </w:tc>
      </w:tr>
      <w:tr w14:paraId="48CC2F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3" w:hRule="atLeast"/>
        </w:trPr>
        <w:tc>
          <w:tcPr>
            <w:tcW w:w="675" w:type="dxa"/>
            <w:vMerge w:val="continue"/>
            <w:noWrap w:val="0"/>
            <w:vAlign w:val="center"/>
          </w:tcPr>
          <w:p w14:paraId="02C23450">
            <w:pPr>
              <w:spacing w:line="240" w:lineRule="auto"/>
              <w:jc w:val="both"/>
              <w:rPr>
                <w:rFonts w:hint="eastAsia" w:ascii="仿宋" w:hAnsi="仿宋" w:eastAsia="仿宋" w:cs="仿宋"/>
                <w:color w:val="auto"/>
                <w:kern w:val="0"/>
                <w:sz w:val="21"/>
                <w:szCs w:val="21"/>
              </w:rPr>
            </w:pPr>
          </w:p>
        </w:tc>
        <w:tc>
          <w:tcPr>
            <w:tcW w:w="1560" w:type="dxa"/>
            <w:vMerge w:val="continue"/>
            <w:noWrap w:val="0"/>
            <w:vAlign w:val="center"/>
          </w:tcPr>
          <w:p w14:paraId="48A0DEA4">
            <w:pPr>
              <w:spacing w:line="240" w:lineRule="auto"/>
              <w:jc w:val="both"/>
              <w:rPr>
                <w:rFonts w:hint="eastAsia" w:ascii="仿宋" w:hAnsi="仿宋" w:eastAsia="仿宋" w:cs="仿宋"/>
                <w:color w:val="auto"/>
                <w:sz w:val="21"/>
                <w:szCs w:val="21"/>
                <w:lang w:val="zh-CN"/>
              </w:rPr>
            </w:pPr>
          </w:p>
        </w:tc>
        <w:tc>
          <w:tcPr>
            <w:tcW w:w="1984" w:type="dxa"/>
            <w:noWrap w:val="0"/>
            <w:vAlign w:val="center"/>
          </w:tcPr>
          <w:p w14:paraId="7F4407E1">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kern w:val="0"/>
                <w:sz w:val="21"/>
                <w:szCs w:val="21"/>
                <w:lang w:eastAsia="zh-CN"/>
              </w:rPr>
              <w:t>询比</w:t>
            </w:r>
            <w:r>
              <w:rPr>
                <w:rFonts w:hint="eastAsia" w:ascii="仿宋" w:hAnsi="仿宋" w:eastAsia="仿宋" w:cs="仿宋"/>
                <w:color w:val="auto"/>
                <w:kern w:val="0"/>
                <w:sz w:val="21"/>
                <w:szCs w:val="21"/>
              </w:rPr>
              <w:t>有效期</w:t>
            </w:r>
          </w:p>
        </w:tc>
        <w:tc>
          <w:tcPr>
            <w:tcW w:w="5409" w:type="dxa"/>
            <w:noWrap w:val="0"/>
            <w:vAlign w:val="center"/>
          </w:tcPr>
          <w:p w14:paraId="0916E4D6">
            <w:pPr>
              <w:spacing w:line="240" w:lineRule="auto"/>
              <w:jc w:val="both"/>
              <w:rPr>
                <w:rFonts w:hint="eastAsia" w:ascii="仿宋" w:hAnsi="仿宋" w:eastAsia="仿宋" w:cs="仿宋"/>
                <w:color w:val="auto"/>
                <w:kern w:val="0"/>
                <w:sz w:val="21"/>
                <w:szCs w:val="21"/>
              </w:rPr>
            </w:pPr>
            <w:r>
              <w:rPr>
                <w:rFonts w:hint="eastAsia" w:ascii="仿宋" w:hAnsi="仿宋" w:eastAsia="仿宋" w:cs="仿宋"/>
                <w:color w:val="auto"/>
                <w:kern w:val="0"/>
                <w:sz w:val="21"/>
                <w:szCs w:val="21"/>
              </w:rPr>
              <w:t>响应文件及有关承诺文件有效期为提交响应文件截止时间起90天。</w:t>
            </w:r>
          </w:p>
        </w:tc>
      </w:tr>
    </w:tbl>
    <w:p w14:paraId="5D48B0F3">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（三）澄清有关问题。</w:t>
      </w:r>
      <w:r>
        <w:rPr>
          <w:rFonts w:hint="eastAsia" w:ascii="仿宋" w:hAnsi="仿宋" w:eastAsia="仿宋" w:cs="仿宋"/>
          <w:color w:val="auto"/>
          <w:sz w:val="24"/>
          <w:szCs w:val="24"/>
          <w:lang w:eastAsia="zh-CN"/>
        </w:rPr>
        <w:t>评审小组</w:t>
      </w:r>
      <w:r>
        <w:rPr>
          <w:rFonts w:hint="eastAsia" w:ascii="仿宋" w:hAnsi="仿宋" w:eastAsia="仿宋" w:cs="仿宋"/>
          <w:color w:val="auto"/>
          <w:sz w:val="24"/>
          <w:szCs w:val="24"/>
        </w:rPr>
        <w:t>在对响应文件的有效性、完整性和响应程度进行审查时，可以要求供应商对响应文件中含义不明确、同类问题表述不一致或者有明显文字和计算错误的内容等作出必要的澄清、说明或者更正。供应商的澄清、说明或者更正不得超出响应文件的范围或者改变响应文件的实质性内容。</w:t>
      </w:r>
    </w:p>
    <w:p w14:paraId="1702AEC6">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（四）</w:t>
      </w:r>
      <w:r>
        <w:rPr>
          <w:rFonts w:hint="eastAsia" w:ascii="仿宋" w:hAnsi="仿宋" w:eastAsia="仿宋" w:cs="仿宋"/>
          <w:color w:val="auto"/>
          <w:sz w:val="24"/>
          <w:szCs w:val="24"/>
          <w:lang w:eastAsia="zh-CN"/>
        </w:rPr>
        <w:t>评审小组</w:t>
      </w:r>
      <w:r>
        <w:rPr>
          <w:rFonts w:hint="eastAsia" w:ascii="仿宋" w:hAnsi="仿宋" w:eastAsia="仿宋" w:cs="仿宋"/>
          <w:color w:val="auto"/>
          <w:sz w:val="24"/>
          <w:szCs w:val="24"/>
        </w:rPr>
        <w:t>要求供应商澄清、说明或者更正响应文件应当以书面形式作出。供应商的澄清、说明或者更正应当由法定代表人（或其授权代表）或自然人（供应商为自然人）签署或者加盖公章。由授权代表签署的，应当附法定代表人授权书。供应商为自然人的，应当由本人签署并附身份证明。</w:t>
      </w:r>
    </w:p>
    <w:p w14:paraId="6020D0E9">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（五）在</w:t>
      </w:r>
      <w:r>
        <w:rPr>
          <w:rFonts w:hint="eastAsia" w:ascii="仿宋" w:hAnsi="仿宋" w:eastAsia="仿宋" w:cs="仿宋"/>
          <w:color w:val="auto"/>
          <w:sz w:val="24"/>
          <w:szCs w:val="24"/>
          <w:lang w:eastAsia="zh-CN"/>
        </w:rPr>
        <w:t>采购</w:t>
      </w:r>
      <w:r>
        <w:rPr>
          <w:rFonts w:hint="eastAsia" w:ascii="仿宋" w:hAnsi="仿宋" w:eastAsia="仿宋" w:cs="仿宋"/>
          <w:color w:val="auto"/>
          <w:sz w:val="24"/>
          <w:szCs w:val="24"/>
        </w:rPr>
        <w:t>过程中</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任何一方不得向他人透露与</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有关的服务资料、价格或其他信息。</w:t>
      </w:r>
    </w:p>
    <w:p w14:paraId="4DE5117E">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eastAsia="zh-CN"/>
        </w:rPr>
        <w:t>六</w:t>
      </w:r>
      <w:r>
        <w:rPr>
          <w:rFonts w:hint="eastAsia" w:ascii="仿宋" w:hAnsi="仿宋" w:eastAsia="仿宋" w:cs="仿宋"/>
          <w:color w:val="auto"/>
          <w:sz w:val="24"/>
          <w:szCs w:val="24"/>
        </w:rPr>
        <w:t>）供应商在</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时作出的所有书面承诺须由法定代表人（或其授权代表）或自然人（供应商为自然人）签署。</w:t>
      </w:r>
    </w:p>
    <w:p w14:paraId="6CCE5E65">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eastAsia="zh-CN"/>
        </w:rPr>
        <w:t>七</w:t>
      </w:r>
      <w:r>
        <w:rPr>
          <w:rFonts w:hint="eastAsia" w:ascii="仿宋" w:hAnsi="仿宋" w:eastAsia="仿宋" w:cs="仿宋"/>
          <w:color w:val="auto"/>
          <w:sz w:val="24"/>
          <w:szCs w:val="24"/>
        </w:rPr>
        <w:t>）</w:t>
      </w:r>
      <w:r>
        <w:rPr>
          <w:rFonts w:hint="eastAsia" w:ascii="仿宋" w:hAnsi="仿宋" w:eastAsia="仿宋" w:cs="仿宋"/>
          <w:color w:val="auto"/>
          <w:kern w:val="0"/>
          <w:sz w:val="24"/>
          <w:szCs w:val="24"/>
        </w:rPr>
        <w:t>综合评分法，是指响应文件满足</w:t>
      </w:r>
      <w:r>
        <w:rPr>
          <w:rFonts w:hint="eastAsia" w:ascii="仿宋" w:hAnsi="仿宋" w:eastAsia="仿宋" w:cs="仿宋"/>
          <w:color w:val="auto"/>
          <w:kern w:val="0"/>
          <w:sz w:val="24"/>
          <w:szCs w:val="24"/>
          <w:lang w:eastAsia="zh-CN"/>
        </w:rPr>
        <w:t>询比文件</w:t>
      </w:r>
      <w:r>
        <w:rPr>
          <w:rFonts w:hint="eastAsia" w:ascii="仿宋" w:hAnsi="仿宋" w:eastAsia="仿宋" w:cs="仿宋"/>
          <w:color w:val="auto"/>
          <w:kern w:val="0"/>
          <w:sz w:val="24"/>
          <w:szCs w:val="24"/>
        </w:rPr>
        <w:t>全部实质性要求且按照评审因素的量化指标评审得分最高的供应商为成交候选供应商的评审方法。供应商总得分为价格、服务、商务等评定因素分别按照相应权重值计算分项得分后相加，满分为100分</w:t>
      </w:r>
      <w:r>
        <w:rPr>
          <w:rFonts w:hint="eastAsia" w:ascii="仿宋" w:hAnsi="仿宋" w:eastAsia="仿宋" w:cs="仿宋"/>
          <w:color w:val="auto"/>
          <w:sz w:val="24"/>
          <w:szCs w:val="24"/>
        </w:rPr>
        <w:t>。</w:t>
      </w:r>
    </w:p>
    <w:p w14:paraId="3C708423">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eastAsia="zh-CN"/>
        </w:rPr>
        <w:t>八</w:t>
      </w:r>
      <w:r>
        <w:rPr>
          <w:rFonts w:hint="eastAsia" w:ascii="仿宋" w:hAnsi="仿宋" w:eastAsia="仿宋" w:cs="仿宋"/>
          <w:color w:val="auto"/>
          <w:sz w:val="24"/>
          <w:szCs w:val="24"/>
        </w:rPr>
        <w:t>）</w:t>
      </w:r>
      <w:r>
        <w:rPr>
          <w:rFonts w:hint="eastAsia" w:ascii="仿宋" w:hAnsi="仿宋" w:eastAsia="仿宋" w:cs="仿宋"/>
          <w:color w:val="auto"/>
          <w:sz w:val="24"/>
          <w:szCs w:val="24"/>
          <w:lang w:eastAsia="zh-CN"/>
        </w:rPr>
        <w:t>评审小组</w:t>
      </w:r>
      <w:r>
        <w:rPr>
          <w:rFonts w:hint="eastAsia" w:ascii="仿宋" w:hAnsi="仿宋" w:eastAsia="仿宋" w:cs="仿宋"/>
          <w:color w:val="auto"/>
          <w:sz w:val="24"/>
          <w:szCs w:val="24"/>
        </w:rPr>
        <w:t>各成员独立对每个有效响应（通过资格性审查、</w:t>
      </w:r>
      <w:r>
        <w:rPr>
          <w:rFonts w:hint="eastAsia" w:ascii="仿宋" w:hAnsi="仿宋" w:eastAsia="仿宋" w:cs="仿宋"/>
          <w:color w:val="auto"/>
          <w:kern w:val="0"/>
          <w:sz w:val="24"/>
          <w:szCs w:val="24"/>
        </w:rPr>
        <w:t>符合性审查的供应商</w:t>
      </w:r>
      <w:r>
        <w:rPr>
          <w:rFonts w:hint="eastAsia" w:ascii="仿宋" w:hAnsi="仿宋" w:eastAsia="仿宋" w:cs="仿宋"/>
          <w:color w:val="auto"/>
          <w:sz w:val="24"/>
          <w:szCs w:val="24"/>
        </w:rPr>
        <w:t>）的文件进行评价、打分，然后汇总每个供应商每项评分因素的得分，并根据综合评分情况按照评审得分由高到低顺序推荐3名以上成交候选供应商，并编写评审报告。若供应商的评审得分相同的，按照最后报价由低到高的顺序排列推荐。评审得分且最后报价相同的，按照服务指标优劣顺序排列推荐。以上都相同的，按商务条款的优劣顺序排列推荐。）</w:t>
      </w:r>
    </w:p>
    <w:p w14:paraId="102C6E2B">
      <w:pPr>
        <w:pStyle w:val="4"/>
        <w:adjustRightInd w:val="0"/>
        <w:snapToGrid w:val="0"/>
        <w:spacing w:before="0" w:after="0" w:line="360" w:lineRule="auto"/>
        <w:ind w:firstLine="482" w:firstLineChars="200"/>
        <w:rPr>
          <w:rFonts w:hint="eastAsia" w:ascii="仿宋" w:hAnsi="仿宋" w:eastAsia="仿宋" w:cs="仿宋"/>
          <w:color w:val="auto"/>
          <w:sz w:val="24"/>
        </w:rPr>
      </w:pPr>
      <w:bookmarkStart w:id="135" w:name="_Toc115126150"/>
      <w:bookmarkStart w:id="136" w:name="_Toc76462334"/>
      <w:bookmarkStart w:id="137" w:name="_Toc11734"/>
      <w:r>
        <w:rPr>
          <w:rFonts w:hint="eastAsia" w:ascii="仿宋" w:hAnsi="仿宋" w:eastAsia="仿宋" w:cs="仿宋"/>
          <w:color w:val="auto"/>
          <w:sz w:val="24"/>
        </w:rPr>
        <w:t>二、评审标准</w:t>
      </w:r>
      <w:bookmarkEnd w:id="135"/>
      <w:bookmarkEnd w:id="136"/>
      <w:bookmarkEnd w:id="137"/>
    </w:p>
    <w:tbl>
      <w:tblPr>
        <w:tblStyle w:val="15"/>
        <w:tblW w:w="9868" w:type="dxa"/>
        <w:jc w:val="center"/>
        <w:tblLayout w:type="fixed"/>
        <w:tblCellMar>
          <w:top w:w="15" w:type="dxa"/>
          <w:left w:w="15" w:type="dxa"/>
          <w:bottom w:w="15" w:type="dxa"/>
          <w:right w:w="15" w:type="dxa"/>
        </w:tblCellMar>
      </w:tblPr>
      <w:tblGrid>
        <w:gridCol w:w="581"/>
        <w:gridCol w:w="1032"/>
        <w:gridCol w:w="947"/>
        <w:gridCol w:w="5191"/>
        <w:gridCol w:w="2117"/>
      </w:tblGrid>
      <w:tr w14:paraId="3008BCFE">
        <w:tblPrEx>
          <w:tblCellMar>
            <w:top w:w="15" w:type="dxa"/>
            <w:left w:w="15" w:type="dxa"/>
            <w:bottom w:w="15" w:type="dxa"/>
            <w:right w:w="15" w:type="dxa"/>
          </w:tblCellMar>
        </w:tblPrEx>
        <w:trPr>
          <w:trHeight w:val="610" w:hRule="atLeast"/>
          <w:tblHeader/>
          <w:jc w:val="center"/>
        </w:trPr>
        <w:tc>
          <w:tcPr>
            <w:tcW w:w="581" w:type="dxa"/>
            <w:tcBorders>
              <w:top w:val="single" w:color="000000" w:sz="4" w:space="0"/>
              <w:left w:val="single" w:color="000000" w:sz="4" w:space="0"/>
              <w:bottom w:val="single" w:color="000000" w:sz="4" w:space="0"/>
              <w:right w:val="single" w:color="000000" w:sz="4" w:space="0"/>
            </w:tcBorders>
            <w:noWrap w:val="0"/>
            <w:vAlign w:val="center"/>
          </w:tcPr>
          <w:p w14:paraId="14D16E30">
            <w:pPr>
              <w:snapToGrid w:val="0"/>
              <w:spacing w:line="240" w:lineRule="auto"/>
              <w:jc w:val="center"/>
              <w:rPr>
                <w:rFonts w:hint="eastAsia" w:ascii="仿宋" w:hAnsi="仿宋" w:eastAsia="仿宋" w:cs="仿宋"/>
                <w:color w:val="auto"/>
                <w:sz w:val="21"/>
                <w:szCs w:val="21"/>
              </w:rPr>
            </w:pPr>
            <w:bookmarkStart w:id="138" w:name="_Toc115126151"/>
            <w:bookmarkStart w:id="139" w:name="_Toc76462335"/>
            <w:r>
              <w:rPr>
                <w:rFonts w:hint="eastAsia" w:ascii="仿宋" w:hAnsi="仿宋" w:eastAsia="仿宋" w:cs="仿宋"/>
                <w:color w:val="auto"/>
                <w:sz w:val="21"/>
                <w:szCs w:val="21"/>
              </w:rPr>
              <w:t>序号</w:t>
            </w:r>
          </w:p>
        </w:tc>
        <w:tc>
          <w:tcPr>
            <w:tcW w:w="1032" w:type="dxa"/>
            <w:tcBorders>
              <w:top w:val="single" w:color="000000" w:sz="4" w:space="0"/>
              <w:left w:val="single" w:color="000000" w:sz="4" w:space="0"/>
              <w:bottom w:val="single" w:color="000000" w:sz="4" w:space="0"/>
              <w:right w:val="single" w:color="000000" w:sz="4" w:space="0"/>
            </w:tcBorders>
            <w:noWrap w:val="0"/>
            <w:vAlign w:val="center"/>
          </w:tcPr>
          <w:p w14:paraId="30FDE23F">
            <w:pPr>
              <w:snapToGrid w:val="0"/>
              <w:spacing w:line="240" w:lineRule="auto"/>
              <w:jc w:val="center"/>
              <w:rPr>
                <w:rFonts w:hint="eastAsia" w:ascii="仿宋" w:hAnsi="仿宋" w:eastAsia="仿宋" w:cs="仿宋"/>
                <w:color w:val="auto"/>
                <w:sz w:val="21"/>
                <w:szCs w:val="21"/>
              </w:rPr>
            </w:pPr>
            <w:r>
              <w:rPr>
                <w:rFonts w:hint="eastAsia" w:ascii="仿宋" w:hAnsi="仿宋" w:eastAsia="仿宋" w:cs="仿宋"/>
                <w:color w:val="auto"/>
                <w:sz w:val="21"/>
                <w:szCs w:val="21"/>
              </w:rPr>
              <w:t>评分因素</w:t>
            </w:r>
          </w:p>
        </w:tc>
        <w:tc>
          <w:tcPr>
            <w:tcW w:w="947" w:type="dxa"/>
            <w:tcBorders>
              <w:top w:val="single" w:color="000000" w:sz="4" w:space="0"/>
              <w:left w:val="single" w:color="000000" w:sz="4" w:space="0"/>
              <w:bottom w:val="single" w:color="000000" w:sz="4" w:space="0"/>
              <w:right w:val="single" w:color="000000" w:sz="4" w:space="0"/>
            </w:tcBorders>
            <w:noWrap w:val="0"/>
            <w:vAlign w:val="center"/>
          </w:tcPr>
          <w:p w14:paraId="1A9C65F3">
            <w:pPr>
              <w:snapToGrid w:val="0"/>
              <w:spacing w:line="240" w:lineRule="auto"/>
              <w:jc w:val="center"/>
              <w:rPr>
                <w:rFonts w:hint="eastAsia" w:ascii="仿宋" w:hAnsi="仿宋" w:eastAsia="仿宋" w:cs="仿宋"/>
                <w:color w:val="auto"/>
                <w:sz w:val="21"/>
                <w:szCs w:val="21"/>
              </w:rPr>
            </w:pPr>
            <w:r>
              <w:rPr>
                <w:rFonts w:hint="eastAsia" w:ascii="仿宋" w:hAnsi="仿宋" w:eastAsia="仿宋" w:cs="仿宋"/>
                <w:color w:val="auto"/>
                <w:sz w:val="21"/>
                <w:szCs w:val="21"/>
              </w:rPr>
              <w:t>分值</w:t>
            </w:r>
          </w:p>
        </w:tc>
        <w:tc>
          <w:tcPr>
            <w:tcW w:w="5191" w:type="dxa"/>
            <w:tcBorders>
              <w:top w:val="single" w:color="000000" w:sz="4" w:space="0"/>
              <w:left w:val="single" w:color="000000" w:sz="4" w:space="0"/>
              <w:bottom w:val="single" w:color="000000" w:sz="4" w:space="0"/>
              <w:right w:val="single" w:color="000000" w:sz="4" w:space="0"/>
            </w:tcBorders>
            <w:noWrap w:val="0"/>
            <w:vAlign w:val="center"/>
          </w:tcPr>
          <w:p w14:paraId="06B9AD7E">
            <w:pPr>
              <w:snapToGrid w:val="0"/>
              <w:spacing w:line="240" w:lineRule="auto"/>
              <w:jc w:val="center"/>
              <w:rPr>
                <w:rFonts w:hint="eastAsia" w:ascii="仿宋" w:hAnsi="仿宋" w:eastAsia="仿宋" w:cs="仿宋"/>
                <w:color w:val="auto"/>
                <w:sz w:val="21"/>
                <w:szCs w:val="21"/>
              </w:rPr>
            </w:pPr>
            <w:r>
              <w:rPr>
                <w:rFonts w:hint="eastAsia" w:ascii="仿宋" w:hAnsi="仿宋" w:eastAsia="仿宋" w:cs="仿宋"/>
                <w:color w:val="auto"/>
                <w:sz w:val="21"/>
                <w:szCs w:val="21"/>
              </w:rPr>
              <w:t>评分标准</w:t>
            </w:r>
          </w:p>
        </w:tc>
        <w:tc>
          <w:tcPr>
            <w:tcW w:w="2117" w:type="dxa"/>
            <w:tcBorders>
              <w:top w:val="single" w:color="000000" w:sz="4" w:space="0"/>
              <w:left w:val="single" w:color="000000" w:sz="4" w:space="0"/>
              <w:bottom w:val="single" w:color="000000" w:sz="4" w:space="0"/>
              <w:right w:val="single" w:color="000000" w:sz="4" w:space="0"/>
            </w:tcBorders>
            <w:noWrap w:val="0"/>
            <w:vAlign w:val="center"/>
          </w:tcPr>
          <w:p w14:paraId="2421FABD">
            <w:pPr>
              <w:snapToGrid w:val="0"/>
              <w:spacing w:line="240" w:lineRule="auto"/>
              <w:jc w:val="center"/>
              <w:rPr>
                <w:rFonts w:hint="eastAsia" w:ascii="仿宋" w:hAnsi="仿宋" w:eastAsia="仿宋" w:cs="仿宋"/>
                <w:color w:val="auto"/>
                <w:sz w:val="21"/>
                <w:szCs w:val="21"/>
              </w:rPr>
            </w:pPr>
            <w:r>
              <w:rPr>
                <w:rFonts w:hint="eastAsia" w:ascii="仿宋" w:hAnsi="仿宋" w:eastAsia="仿宋" w:cs="仿宋"/>
                <w:color w:val="auto"/>
                <w:sz w:val="21"/>
                <w:szCs w:val="21"/>
              </w:rPr>
              <w:t>说明</w:t>
            </w:r>
          </w:p>
        </w:tc>
      </w:tr>
      <w:tr w14:paraId="53ECA3F6">
        <w:tblPrEx>
          <w:tblCellMar>
            <w:top w:w="15" w:type="dxa"/>
            <w:left w:w="15" w:type="dxa"/>
            <w:bottom w:w="15" w:type="dxa"/>
            <w:right w:w="15" w:type="dxa"/>
          </w:tblCellMar>
        </w:tblPrEx>
        <w:trPr>
          <w:trHeight w:val="1826" w:hRule="atLeast"/>
          <w:jc w:val="center"/>
        </w:trPr>
        <w:tc>
          <w:tcPr>
            <w:tcW w:w="581" w:type="dxa"/>
            <w:tcBorders>
              <w:top w:val="single" w:color="000000" w:sz="4" w:space="0"/>
              <w:left w:val="single" w:color="000000" w:sz="4" w:space="0"/>
              <w:bottom w:val="single" w:color="auto" w:sz="4" w:space="0"/>
              <w:right w:val="single" w:color="000000" w:sz="4" w:space="0"/>
            </w:tcBorders>
            <w:noWrap w:val="0"/>
            <w:vAlign w:val="center"/>
          </w:tcPr>
          <w:p w14:paraId="6C843D9F">
            <w:pPr>
              <w:snapToGrid w:val="0"/>
              <w:spacing w:line="240" w:lineRule="auto"/>
              <w:jc w:val="center"/>
              <w:rPr>
                <w:rFonts w:hint="eastAsia" w:ascii="仿宋" w:hAnsi="仿宋" w:eastAsia="仿宋" w:cs="仿宋"/>
                <w:color w:val="auto"/>
                <w:sz w:val="21"/>
                <w:szCs w:val="21"/>
              </w:rPr>
            </w:pPr>
            <w:r>
              <w:rPr>
                <w:rFonts w:hint="eastAsia" w:ascii="仿宋" w:hAnsi="仿宋" w:eastAsia="仿宋" w:cs="仿宋"/>
                <w:color w:val="auto"/>
                <w:sz w:val="21"/>
                <w:szCs w:val="21"/>
              </w:rPr>
              <w:t>1</w:t>
            </w:r>
          </w:p>
        </w:tc>
        <w:tc>
          <w:tcPr>
            <w:tcW w:w="1032" w:type="dxa"/>
            <w:tcBorders>
              <w:top w:val="single" w:color="000000" w:sz="4" w:space="0"/>
              <w:left w:val="single" w:color="000000" w:sz="4" w:space="0"/>
              <w:bottom w:val="single" w:color="auto" w:sz="4" w:space="0"/>
              <w:right w:val="single" w:color="000000" w:sz="4" w:space="0"/>
            </w:tcBorders>
            <w:noWrap w:val="0"/>
            <w:vAlign w:val="center"/>
          </w:tcPr>
          <w:p w14:paraId="31F514D5">
            <w:pPr>
              <w:snapToGrid w:val="0"/>
              <w:spacing w:line="240" w:lineRule="auto"/>
              <w:jc w:val="center"/>
              <w:rPr>
                <w:rFonts w:hint="eastAsia" w:ascii="仿宋" w:hAnsi="仿宋" w:eastAsia="仿宋" w:cs="仿宋"/>
                <w:color w:val="auto"/>
                <w:sz w:val="21"/>
                <w:szCs w:val="21"/>
              </w:rPr>
            </w:pPr>
            <w:r>
              <w:rPr>
                <w:rFonts w:hint="eastAsia" w:ascii="仿宋" w:hAnsi="仿宋" w:eastAsia="仿宋" w:cs="仿宋"/>
                <w:color w:val="auto"/>
                <w:sz w:val="21"/>
                <w:szCs w:val="21"/>
              </w:rPr>
              <w:t>投标报价</w:t>
            </w:r>
          </w:p>
          <w:p w14:paraId="591A6ABB">
            <w:pPr>
              <w:snapToGrid w:val="0"/>
              <w:spacing w:line="240" w:lineRule="auto"/>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20</w:t>
            </w:r>
            <w:r>
              <w:rPr>
                <w:rFonts w:hint="eastAsia" w:ascii="仿宋" w:hAnsi="仿宋" w:eastAsia="仿宋" w:cs="仿宋"/>
                <w:color w:val="auto"/>
                <w:sz w:val="21"/>
                <w:szCs w:val="21"/>
              </w:rPr>
              <w:t>%</w:t>
            </w:r>
          </w:p>
        </w:tc>
        <w:tc>
          <w:tcPr>
            <w:tcW w:w="947" w:type="dxa"/>
            <w:tcBorders>
              <w:top w:val="single" w:color="000000" w:sz="4" w:space="0"/>
              <w:left w:val="single" w:color="000000" w:sz="4" w:space="0"/>
              <w:bottom w:val="single" w:color="auto" w:sz="4" w:space="0"/>
              <w:right w:val="single" w:color="000000" w:sz="4" w:space="0"/>
            </w:tcBorders>
            <w:noWrap w:val="0"/>
            <w:vAlign w:val="center"/>
          </w:tcPr>
          <w:p w14:paraId="08472F95">
            <w:pPr>
              <w:snapToGrid w:val="0"/>
              <w:spacing w:line="240" w:lineRule="auto"/>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20</w:t>
            </w:r>
            <w:r>
              <w:rPr>
                <w:rFonts w:hint="eastAsia" w:ascii="仿宋" w:hAnsi="仿宋" w:eastAsia="仿宋" w:cs="仿宋"/>
                <w:color w:val="auto"/>
                <w:sz w:val="21"/>
                <w:szCs w:val="21"/>
              </w:rPr>
              <w:t>分</w:t>
            </w:r>
          </w:p>
        </w:tc>
        <w:tc>
          <w:tcPr>
            <w:tcW w:w="5191" w:type="dxa"/>
            <w:tcBorders>
              <w:top w:val="single" w:color="000000" w:sz="4" w:space="0"/>
              <w:left w:val="single" w:color="000000" w:sz="4" w:space="0"/>
              <w:bottom w:val="single" w:color="auto" w:sz="4" w:space="0"/>
              <w:right w:val="single" w:color="000000" w:sz="4" w:space="0"/>
            </w:tcBorders>
            <w:noWrap w:val="0"/>
            <w:vAlign w:val="center"/>
          </w:tcPr>
          <w:p w14:paraId="6DDA02CC">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rPr>
              <w:t>满足</w:t>
            </w:r>
            <w:r>
              <w:rPr>
                <w:rFonts w:hint="eastAsia" w:ascii="仿宋" w:hAnsi="仿宋" w:eastAsia="仿宋" w:cs="仿宋"/>
                <w:color w:val="auto"/>
                <w:sz w:val="21"/>
                <w:szCs w:val="21"/>
                <w:lang w:eastAsia="zh-CN"/>
              </w:rPr>
              <w:t>采购</w:t>
            </w:r>
            <w:r>
              <w:rPr>
                <w:rFonts w:hint="eastAsia" w:ascii="仿宋" w:hAnsi="仿宋" w:eastAsia="仿宋" w:cs="仿宋"/>
                <w:color w:val="auto"/>
                <w:sz w:val="21"/>
                <w:szCs w:val="21"/>
              </w:rPr>
              <w:t>文件要求且最后折扣报价最低的供应商的为基准价格，其价格分为满分。其他供应商的价格分统一按照下列公式计算:</w:t>
            </w:r>
          </w:p>
          <w:p w14:paraId="0DD021F3">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rPr>
              <w:t>报价得分=(基准折扣</w:t>
            </w:r>
            <w:r>
              <w:rPr>
                <w:rFonts w:hint="eastAsia" w:ascii="仿宋" w:hAnsi="仿宋" w:eastAsia="仿宋" w:cs="仿宋"/>
                <w:color w:val="auto"/>
                <w:sz w:val="21"/>
                <w:szCs w:val="21"/>
                <w:lang w:val="en-US" w:eastAsia="zh-CN"/>
              </w:rPr>
              <w:t>报价</w:t>
            </w:r>
            <w:r>
              <w:rPr>
                <w:rFonts w:hint="eastAsia" w:ascii="仿宋" w:hAnsi="仿宋" w:eastAsia="仿宋" w:cs="仿宋"/>
                <w:color w:val="auto"/>
                <w:sz w:val="21"/>
                <w:szCs w:val="21"/>
              </w:rPr>
              <w:t>/报价折扣)×价格权重×100</w:t>
            </w:r>
          </w:p>
        </w:tc>
        <w:tc>
          <w:tcPr>
            <w:tcW w:w="2117" w:type="dxa"/>
            <w:tcBorders>
              <w:top w:val="single" w:color="000000" w:sz="4" w:space="0"/>
              <w:left w:val="single" w:color="000000" w:sz="4" w:space="0"/>
              <w:bottom w:val="single" w:color="auto" w:sz="4" w:space="0"/>
              <w:right w:val="single" w:color="000000" w:sz="4" w:space="0"/>
            </w:tcBorders>
            <w:noWrap w:val="0"/>
            <w:vAlign w:val="center"/>
          </w:tcPr>
          <w:p w14:paraId="6B801635">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折扣报价填报说明 ：供应商的折扣报价应在0%—100%之间，否则为无效响应</w:t>
            </w:r>
            <w:r>
              <w:rPr>
                <w:rFonts w:hint="eastAsia" w:ascii="仿宋" w:hAnsi="仿宋" w:eastAsia="仿宋" w:cs="仿宋"/>
                <w:color w:val="auto"/>
                <w:sz w:val="21"/>
                <w:szCs w:val="21"/>
              </w:rPr>
              <w:t>。</w:t>
            </w:r>
          </w:p>
        </w:tc>
      </w:tr>
      <w:tr w14:paraId="11D79CF1">
        <w:tblPrEx>
          <w:tblCellMar>
            <w:top w:w="15" w:type="dxa"/>
            <w:left w:w="15" w:type="dxa"/>
            <w:bottom w:w="15" w:type="dxa"/>
            <w:right w:w="15" w:type="dxa"/>
          </w:tblCellMar>
        </w:tblPrEx>
        <w:trPr>
          <w:trHeight w:val="1902" w:hRule="atLeast"/>
          <w:jc w:val="center"/>
        </w:trPr>
        <w:tc>
          <w:tcPr>
            <w:tcW w:w="581" w:type="dxa"/>
            <w:vMerge w:val="restart"/>
            <w:tcBorders>
              <w:top w:val="single" w:color="000000" w:sz="4" w:space="0"/>
              <w:left w:val="single" w:color="000000" w:sz="4" w:space="0"/>
              <w:right w:val="single" w:color="000000" w:sz="4" w:space="0"/>
            </w:tcBorders>
            <w:noWrap w:val="0"/>
            <w:vAlign w:val="center"/>
          </w:tcPr>
          <w:p w14:paraId="4261DBC0">
            <w:pPr>
              <w:snapToGrid w:val="0"/>
              <w:spacing w:line="240" w:lineRule="auto"/>
              <w:jc w:val="center"/>
              <w:rPr>
                <w:rFonts w:hint="eastAsia" w:ascii="仿宋" w:hAnsi="仿宋" w:eastAsia="仿宋" w:cs="仿宋"/>
                <w:color w:val="auto"/>
                <w:sz w:val="21"/>
                <w:szCs w:val="21"/>
              </w:rPr>
            </w:pPr>
            <w:r>
              <w:rPr>
                <w:rFonts w:hint="eastAsia" w:ascii="仿宋" w:hAnsi="仿宋" w:eastAsia="仿宋" w:cs="仿宋"/>
                <w:color w:val="auto"/>
                <w:sz w:val="21"/>
                <w:szCs w:val="21"/>
              </w:rPr>
              <w:t>2</w:t>
            </w:r>
          </w:p>
          <w:p w14:paraId="3FCA2FF7">
            <w:pPr>
              <w:snapToGrid w:val="0"/>
              <w:spacing w:line="240" w:lineRule="auto"/>
              <w:jc w:val="center"/>
              <w:rPr>
                <w:rFonts w:hint="eastAsia" w:ascii="仿宋" w:hAnsi="仿宋" w:eastAsia="仿宋" w:cs="仿宋"/>
                <w:color w:val="auto"/>
                <w:sz w:val="21"/>
                <w:szCs w:val="21"/>
              </w:rPr>
            </w:pPr>
          </w:p>
        </w:tc>
        <w:tc>
          <w:tcPr>
            <w:tcW w:w="1032" w:type="dxa"/>
            <w:vMerge w:val="restart"/>
            <w:tcBorders>
              <w:top w:val="single" w:color="000000" w:sz="4" w:space="0"/>
              <w:left w:val="single" w:color="000000" w:sz="4" w:space="0"/>
              <w:right w:val="single" w:color="000000" w:sz="4" w:space="0"/>
            </w:tcBorders>
            <w:noWrap w:val="0"/>
            <w:vAlign w:val="center"/>
          </w:tcPr>
          <w:p w14:paraId="063AD9B9">
            <w:pPr>
              <w:snapToGrid w:val="0"/>
              <w:spacing w:line="240" w:lineRule="auto"/>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服务部分60</w:t>
            </w:r>
            <w:r>
              <w:rPr>
                <w:rFonts w:hint="eastAsia" w:ascii="仿宋" w:hAnsi="仿宋" w:eastAsia="仿宋" w:cs="仿宋"/>
                <w:color w:val="auto"/>
                <w:sz w:val="21"/>
                <w:szCs w:val="21"/>
              </w:rPr>
              <w:t>%</w:t>
            </w:r>
          </w:p>
        </w:tc>
        <w:tc>
          <w:tcPr>
            <w:tcW w:w="947" w:type="dxa"/>
            <w:tcBorders>
              <w:top w:val="single" w:color="000000" w:sz="4" w:space="0"/>
              <w:left w:val="single" w:color="000000" w:sz="4" w:space="0"/>
              <w:bottom w:val="single" w:color="auto" w:sz="4" w:space="0"/>
              <w:right w:val="single" w:color="000000" w:sz="4" w:space="0"/>
            </w:tcBorders>
            <w:noWrap w:val="0"/>
            <w:vAlign w:val="center"/>
          </w:tcPr>
          <w:p w14:paraId="7F44F484">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highlight w:val="none"/>
              </w:rPr>
              <w:t>管理制度（</w:t>
            </w:r>
            <w:r>
              <w:rPr>
                <w:rFonts w:hint="eastAsia" w:ascii="仿宋" w:hAnsi="仿宋" w:eastAsia="仿宋" w:cs="仿宋"/>
                <w:color w:val="auto"/>
                <w:sz w:val="21"/>
                <w:szCs w:val="21"/>
                <w:highlight w:val="none"/>
                <w:lang w:val="en-US" w:eastAsia="zh-CN"/>
              </w:rPr>
              <w:t>15</w:t>
            </w:r>
            <w:r>
              <w:rPr>
                <w:rFonts w:hint="eastAsia" w:ascii="仿宋" w:hAnsi="仿宋" w:eastAsia="仿宋" w:cs="仿宋"/>
                <w:color w:val="auto"/>
                <w:sz w:val="21"/>
                <w:szCs w:val="21"/>
                <w:highlight w:val="none"/>
              </w:rPr>
              <w:t>分）</w:t>
            </w:r>
          </w:p>
        </w:tc>
        <w:tc>
          <w:tcPr>
            <w:tcW w:w="5191" w:type="dxa"/>
            <w:tcBorders>
              <w:top w:val="single" w:color="000000" w:sz="4" w:space="0"/>
              <w:left w:val="single" w:color="000000" w:sz="4" w:space="0"/>
              <w:bottom w:val="single" w:color="auto" w:sz="4" w:space="0"/>
              <w:right w:val="single" w:color="000000" w:sz="4" w:space="0"/>
            </w:tcBorders>
            <w:noWrap w:val="0"/>
            <w:vAlign w:val="center"/>
          </w:tcPr>
          <w:p w14:paraId="62843CF9">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供应商</w:t>
            </w:r>
            <w:r>
              <w:rPr>
                <w:rFonts w:hint="eastAsia" w:ascii="仿宋" w:hAnsi="仿宋" w:eastAsia="仿宋" w:cs="仿宋"/>
                <w:color w:val="auto"/>
                <w:sz w:val="21"/>
                <w:szCs w:val="21"/>
              </w:rPr>
              <w:t>为本项目提供项目管理相关制度，内容包含但不限于：</w:t>
            </w:r>
            <w:r>
              <w:rPr>
                <w:rFonts w:hint="eastAsia" w:ascii="仿宋" w:hAnsi="仿宋" w:eastAsia="仿宋" w:cs="仿宋"/>
                <w:color w:val="auto"/>
                <w:sz w:val="21"/>
                <w:szCs w:val="21"/>
                <w:lang w:val="en-US" w:eastAsia="zh-CN"/>
              </w:rPr>
              <w:t>供应</w:t>
            </w:r>
            <w:r>
              <w:rPr>
                <w:rFonts w:hint="eastAsia" w:ascii="仿宋" w:hAnsi="仿宋" w:eastAsia="仿宋" w:cs="仿宋"/>
                <w:color w:val="auto"/>
                <w:sz w:val="21"/>
                <w:szCs w:val="21"/>
              </w:rPr>
              <w:t>管理制度；质量管理制度；应急管理制度；</w:t>
            </w:r>
          </w:p>
          <w:p w14:paraId="1F5633EC">
            <w:pPr>
              <w:snapToGrid w:val="0"/>
              <w:spacing w:line="240" w:lineRule="auto"/>
              <w:jc w:val="left"/>
              <w:rPr>
                <w:rFonts w:hint="eastAsia" w:ascii="仿宋" w:hAnsi="仿宋" w:eastAsia="仿宋" w:cs="仿宋"/>
                <w:color w:val="auto"/>
                <w:sz w:val="21"/>
                <w:szCs w:val="21"/>
                <w:lang w:eastAsia="zh-CN"/>
              </w:rPr>
            </w:pPr>
            <w:r>
              <w:rPr>
                <w:rFonts w:hint="eastAsia" w:ascii="仿宋" w:hAnsi="仿宋" w:eastAsia="仿宋" w:cs="仿宋"/>
                <w:color w:val="auto"/>
                <w:sz w:val="21"/>
                <w:szCs w:val="21"/>
              </w:rPr>
              <w:t>安全管理制度</w:t>
            </w:r>
            <w:r>
              <w:rPr>
                <w:rFonts w:hint="eastAsia" w:ascii="仿宋" w:hAnsi="仿宋" w:eastAsia="仿宋" w:cs="仿宋"/>
                <w:color w:val="auto"/>
                <w:sz w:val="21"/>
                <w:szCs w:val="21"/>
                <w:lang w:eastAsia="zh-CN"/>
              </w:rPr>
              <w:t>。</w:t>
            </w:r>
          </w:p>
          <w:p w14:paraId="1CFC82EE">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方案内容不存在瑕疵得15分；</w:t>
            </w:r>
          </w:p>
          <w:p w14:paraId="182011C0">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方案内容存在1处瑕疵得12分；</w:t>
            </w:r>
          </w:p>
          <w:p w14:paraId="730CEA31">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方案内容存在2处瑕疵得8分；</w:t>
            </w:r>
          </w:p>
          <w:p w14:paraId="34513EAA">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方案内容存在3处及以上瑕疵的5分；</w:t>
            </w:r>
          </w:p>
          <w:p w14:paraId="14A9F626">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方案内容存在4处及以上瑕疵的或未提供得0分。</w:t>
            </w:r>
          </w:p>
        </w:tc>
        <w:tc>
          <w:tcPr>
            <w:tcW w:w="2117" w:type="dxa"/>
            <w:vMerge w:val="restart"/>
            <w:tcBorders>
              <w:top w:val="single" w:color="000000" w:sz="4" w:space="0"/>
              <w:left w:val="single" w:color="000000" w:sz="4" w:space="0"/>
              <w:right w:val="single" w:color="000000" w:sz="4" w:space="0"/>
            </w:tcBorders>
            <w:noWrap w:val="0"/>
            <w:vAlign w:val="center"/>
          </w:tcPr>
          <w:p w14:paraId="33D9A62C">
            <w:pPr>
              <w:snapToGrid w:val="0"/>
              <w:spacing w:line="240" w:lineRule="auto"/>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rPr>
              <w:t>1.提供</w:t>
            </w:r>
            <w:r>
              <w:rPr>
                <w:rFonts w:hint="eastAsia" w:ascii="仿宋" w:hAnsi="仿宋" w:eastAsia="仿宋" w:cs="仿宋"/>
                <w:color w:val="auto"/>
                <w:sz w:val="21"/>
                <w:szCs w:val="21"/>
                <w:lang w:val="en-US" w:eastAsia="zh-CN"/>
              </w:rPr>
              <w:t>服务方案，</w:t>
            </w:r>
            <w:r>
              <w:rPr>
                <w:rFonts w:hint="eastAsia" w:ascii="仿宋" w:hAnsi="仿宋" w:eastAsia="仿宋" w:cs="仿宋"/>
                <w:color w:val="auto"/>
                <w:sz w:val="21"/>
                <w:szCs w:val="21"/>
              </w:rPr>
              <w:t>格式自定</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lang w:val="en-US" w:eastAsia="zh-CN"/>
              </w:rPr>
              <w:t>服务方案内容应精简明确，采用双页打印，且不得超过200页，否则不得评审为优。</w:t>
            </w:r>
          </w:p>
          <w:p w14:paraId="15E44426">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rPr>
              <w:t>2.本项内容中所称的“瑕疵”指出现下列任一情形：</w:t>
            </w:r>
          </w:p>
          <w:p w14:paraId="45C9EC5F">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rPr>
              <w:t>（1）方案内容缺项、内容表述不完整；</w:t>
            </w:r>
          </w:p>
          <w:p w14:paraId="566BC612">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rPr>
              <w:t>（2）缺少针对性描述分析或缺少关键分析点；</w:t>
            </w:r>
          </w:p>
          <w:p w14:paraId="47293552">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rPr>
              <w:t>（3）表述前后矛盾、无连贯性；</w:t>
            </w:r>
          </w:p>
          <w:p w14:paraId="2673008E">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rPr>
              <w:t>（4）内容存在逻辑漏洞、常识错误、科学原理错误；</w:t>
            </w:r>
          </w:p>
          <w:p w14:paraId="3649E55F">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rPr>
              <w:t>（5）安排并不适用本项目特性或非专门针对本项目制定；</w:t>
            </w:r>
          </w:p>
          <w:p w14:paraId="3D6689B1">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rPr>
              <w:t>（6）提出的措施举措不利于本项目目标的实现；</w:t>
            </w:r>
          </w:p>
          <w:p w14:paraId="58C8F7DC">
            <w:pPr>
              <w:snapToGrid w:val="0"/>
              <w:spacing w:line="240" w:lineRule="auto"/>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rPr>
              <w:t>（7）现有条件下不可能实现的情形。</w:t>
            </w:r>
          </w:p>
          <w:p w14:paraId="09181C09">
            <w:pPr>
              <w:snapToGrid w:val="0"/>
              <w:spacing w:line="240" w:lineRule="auto"/>
              <w:jc w:val="left"/>
              <w:rPr>
                <w:rFonts w:hint="eastAsia" w:ascii="仿宋" w:hAnsi="仿宋" w:eastAsia="仿宋" w:cs="仿宋"/>
                <w:color w:val="auto"/>
                <w:sz w:val="21"/>
                <w:szCs w:val="21"/>
              </w:rPr>
            </w:pPr>
          </w:p>
        </w:tc>
      </w:tr>
      <w:tr w14:paraId="71E95EEA">
        <w:tblPrEx>
          <w:tblCellMar>
            <w:top w:w="15" w:type="dxa"/>
            <w:left w:w="15" w:type="dxa"/>
            <w:bottom w:w="15" w:type="dxa"/>
            <w:right w:w="15" w:type="dxa"/>
          </w:tblCellMar>
        </w:tblPrEx>
        <w:trPr>
          <w:trHeight w:val="1496" w:hRule="atLeast"/>
          <w:jc w:val="center"/>
        </w:trPr>
        <w:tc>
          <w:tcPr>
            <w:tcW w:w="581" w:type="dxa"/>
            <w:vMerge w:val="continue"/>
            <w:tcBorders>
              <w:left w:val="single" w:color="000000" w:sz="4" w:space="0"/>
              <w:right w:val="single" w:color="000000" w:sz="4" w:space="0"/>
            </w:tcBorders>
            <w:noWrap w:val="0"/>
            <w:vAlign w:val="center"/>
          </w:tcPr>
          <w:p w14:paraId="1A864ED2">
            <w:pPr>
              <w:snapToGrid w:val="0"/>
              <w:spacing w:line="240" w:lineRule="auto"/>
              <w:jc w:val="center"/>
              <w:rPr>
                <w:rFonts w:hint="eastAsia" w:ascii="仿宋" w:hAnsi="仿宋" w:eastAsia="仿宋" w:cs="仿宋"/>
                <w:color w:val="auto"/>
                <w:sz w:val="21"/>
                <w:szCs w:val="21"/>
              </w:rPr>
            </w:pPr>
          </w:p>
        </w:tc>
        <w:tc>
          <w:tcPr>
            <w:tcW w:w="1032" w:type="dxa"/>
            <w:vMerge w:val="continue"/>
            <w:tcBorders>
              <w:left w:val="single" w:color="000000" w:sz="4" w:space="0"/>
              <w:right w:val="single" w:color="000000" w:sz="4" w:space="0"/>
            </w:tcBorders>
            <w:noWrap w:val="0"/>
            <w:vAlign w:val="center"/>
          </w:tcPr>
          <w:p w14:paraId="2517515E">
            <w:pPr>
              <w:snapToGrid w:val="0"/>
              <w:spacing w:line="240" w:lineRule="auto"/>
              <w:jc w:val="center"/>
              <w:rPr>
                <w:rFonts w:hint="eastAsia" w:ascii="仿宋" w:hAnsi="仿宋" w:eastAsia="仿宋" w:cs="仿宋"/>
                <w:color w:val="auto"/>
                <w:sz w:val="21"/>
                <w:szCs w:val="21"/>
              </w:rPr>
            </w:pPr>
          </w:p>
        </w:tc>
        <w:tc>
          <w:tcPr>
            <w:tcW w:w="947" w:type="dxa"/>
            <w:tcBorders>
              <w:top w:val="single" w:color="000000" w:sz="4" w:space="0"/>
              <w:left w:val="single" w:color="000000" w:sz="4" w:space="0"/>
              <w:bottom w:val="single" w:color="auto" w:sz="4" w:space="0"/>
              <w:right w:val="single" w:color="000000" w:sz="4" w:space="0"/>
            </w:tcBorders>
            <w:noWrap w:val="0"/>
            <w:vAlign w:val="center"/>
          </w:tcPr>
          <w:p w14:paraId="18C3B58A">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highlight w:val="none"/>
              </w:rPr>
              <w:t>服务措施（</w:t>
            </w:r>
            <w:r>
              <w:rPr>
                <w:rFonts w:hint="eastAsia" w:ascii="仿宋" w:hAnsi="仿宋" w:eastAsia="仿宋" w:cs="仿宋"/>
                <w:color w:val="auto"/>
                <w:sz w:val="21"/>
                <w:szCs w:val="21"/>
                <w:highlight w:val="none"/>
                <w:lang w:val="en-US" w:eastAsia="zh-CN"/>
              </w:rPr>
              <w:t>15</w:t>
            </w:r>
            <w:r>
              <w:rPr>
                <w:rFonts w:hint="eastAsia" w:ascii="仿宋" w:hAnsi="仿宋" w:eastAsia="仿宋" w:cs="仿宋"/>
                <w:color w:val="auto"/>
                <w:sz w:val="21"/>
                <w:szCs w:val="21"/>
                <w:highlight w:val="none"/>
              </w:rPr>
              <w:t>分）</w:t>
            </w:r>
          </w:p>
        </w:tc>
        <w:tc>
          <w:tcPr>
            <w:tcW w:w="5191" w:type="dxa"/>
            <w:tcBorders>
              <w:top w:val="single" w:color="000000" w:sz="4" w:space="0"/>
              <w:left w:val="single" w:color="000000" w:sz="4" w:space="0"/>
              <w:bottom w:val="single" w:color="auto" w:sz="4" w:space="0"/>
              <w:right w:val="single" w:color="000000" w:sz="4" w:space="0"/>
            </w:tcBorders>
            <w:noWrap w:val="0"/>
            <w:vAlign w:val="center"/>
          </w:tcPr>
          <w:p w14:paraId="1FF02F00">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供应商</w:t>
            </w:r>
            <w:r>
              <w:rPr>
                <w:rFonts w:hint="eastAsia" w:ascii="仿宋" w:hAnsi="仿宋" w:eastAsia="仿宋" w:cs="仿宋"/>
                <w:color w:val="auto"/>
                <w:sz w:val="21"/>
                <w:szCs w:val="21"/>
              </w:rPr>
              <w:t>针对本项目提供服务措施，内容包含但不限于：</w:t>
            </w:r>
          </w:p>
          <w:p w14:paraId="00545D3B">
            <w:pPr>
              <w:snapToGrid w:val="0"/>
              <w:spacing w:line="240" w:lineRule="auto"/>
              <w:jc w:val="left"/>
              <w:rPr>
                <w:rFonts w:hint="eastAsia" w:ascii="仿宋" w:hAnsi="仿宋" w:eastAsia="仿宋" w:cs="仿宋"/>
                <w:color w:val="auto"/>
                <w:sz w:val="21"/>
                <w:szCs w:val="21"/>
                <w:lang w:eastAsia="zh-CN"/>
              </w:rPr>
            </w:pPr>
            <w:r>
              <w:rPr>
                <w:rFonts w:hint="eastAsia" w:ascii="仿宋" w:hAnsi="仿宋" w:eastAsia="仿宋" w:cs="仿宋"/>
                <w:color w:val="auto"/>
                <w:sz w:val="21"/>
                <w:szCs w:val="21"/>
                <w:lang w:val="en-US" w:eastAsia="zh-CN"/>
              </w:rPr>
              <w:t>供应</w:t>
            </w:r>
            <w:r>
              <w:rPr>
                <w:rFonts w:hint="eastAsia" w:ascii="仿宋" w:hAnsi="仿宋" w:eastAsia="仿宋" w:cs="仿宋"/>
                <w:color w:val="auto"/>
                <w:sz w:val="21"/>
                <w:szCs w:val="21"/>
              </w:rPr>
              <w:t>计划、储存及仓储管理；服务人员的责任及分工；质量问题处理时限</w:t>
            </w:r>
            <w:r>
              <w:rPr>
                <w:rFonts w:hint="eastAsia" w:ascii="仿宋" w:hAnsi="仿宋" w:eastAsia="仿宋" w:cs="仿宋"/>
                <w:color w:val="auto"/>
                <w:sz w:val="21"/>
                <w:szCs w:val="21"/>
                <w:lang w:eastAsia="zh-CN"/>
              </w:rPr>
              <w:t>。</w:t>
            </w:r>
          </w:p>
          <w:p w14:paraId="093F3AD8">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方案内容不存在瑕疵得15分；</w:t>
            </w:r>
          </w:p>
          <w:p w14:paraId="2545B150">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方案内容存在1处瑕疵得12分；</w:t>
            </w:r>
          </w:p>
          <w:p w14:paraId="42EBCC18">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方案内容存在2处瑕疵得8分；</w:t>
            </w:r>
          </w:p>
          <w:p w14:paraId="0C92DF80">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方案内容存在3处及以上瑕疵的5分；</w:t>
            </w:r>
          </w:p>
          <w:p w14:paraId="4FA6E971">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方案内容存在4处及以上瑕疵的或未提供得0分。</w:t>
            </w:r>
          </w:p>
        </w:tc>
        <w:tc>
          <w:tcPr>
            <w:tcW w:w="2117" w:type="dxa"/>
            <w:vMerge w:val="continue"/>
            <w:tcBorders>
              <w:left w:val="single" w:color="000000" w:sz="4" w:space="0"/>
              <w:right w:val="single" w:color="000000" w:sz="4" w:space="0"/>
            </w:tcBorders>
            <w:noWrap w:val="0"/>
            <w:vAlign w:val="center"/>
          </w:tcPr>
          <w:p w14:paraId="7AD76C49">
            <w:pPr>
              <w:snapToGrid w:val="0"/>
              <w:spacing w:line="240" w:lineRule="auto"/>
              <w:jc w:val="left"/>
              <w:rPr>
                <w:rFonts w:hint="eastAsia" w:ascii="仿宋" w:hAnsi="仿宋" w:eastAsia="仿宋" w:cs="仿宋"/>
                <w:color w:val="auto"/>
                <w:sz w:val="21"/>
                <w:szCs w:val="21"/>
              </w:rPr>
            </w:pPr>
          </w:p>
        </w:tc>
      </w:tr>
      <w:tr w14:paraId="1DFD8D51">
        <w:tblPrEx>
          <w:tblCellMar>
            <w:top w:w="15" w:type="dxa"/>
            <w:left w:w="15" w:type="dxa"/>
            <w:bottom w:w="15" w:type="dxa"/>
            <w:right w:w="15" w:type="dxa"/>
          </w:tblCellMar>
        </w:tblPrEx>
        <w:trPr>
          <w:trHeight w:val="722" w:hRule="atLeast"/>
          <w:jc w:val="center"/>
        </w:trPr>
        <w:tc>
          <w:tcPr>
            <w:tcW w:w="581" w:type="dxa"/>
            <w:vMerge w:val="continue"/>
            <w:tcBorders>
              <w:left w:val="single" w:color="000000" w:sz="4" w:space="0"/>
              <w:right w:val="single" w:color="000000" w:sz="4" w:space="0"/>
            </w:tcBorders>
            <w:noWrap w:val="0"/>
            <w:vAlign w:val="center"/>
          </w:tcPr>
          <w:p w14:paraId="1252EF32">
            <w:pPr>
              <w:snapToGrid w:val="0"/>
              <w:spacing w:line="240" w:lineRule="auto"/>
              <w:jc w:val="center"/>
              <w:rPr>
                <w:rFonts w:hint="eastAsia" w:ascii="仿宋" w:hAnsi="仿宋" w:eastAsia="仿宋" w:cs="仿宋"/>
                <w:color w:val="auto"/>
                <w:sz w:val="21"/>
                <w:szCs w:val="21"/>
              </w:rPr>
            </w:pPr>
          </w:p>
        </w:tc>
        <w:tc>
          <w:tcPr>
            <w:tcW w:w="1032" w:type="dxa"/>
            <w:vMerge w:val="continue"/>
            <w:tcBorders>
              <w:left w:val="single" w:color="000000" w:sz="4" w:space="0"/>
              <w:right w:val="single" w:color="000000" w:sz="4" w:space="0"/>
            </w:tcBorders>
            <w:noWrap w:val="0"/>
            <w:vAlign w:val="center"/>
          </w:tcPr>
          <w:p w14:paraId="0D87E0DE">
            <w:pPr>
              <w:snapToGrid w:val="0"/>
              <w:spacing w:line="240" w:lineRule="auto"/>
              <w:jc w:val="center"/>
              <w:rPr>
                <w:rFonts w:hint="eastAsia" w:ascii="仿宋" w:hAnsi="仿宋" w:eastAsia="仿宋" w:cs="仿宋"/>
                <w:color w:val="auto"/>
                <w:sz w:val="21"/>
                <w:szCs w:val="21"/>
              </w:rPr>
            </w:pPr>
          </w:p>
        </w:tc>
        <w:tc>
          <w:tcPr>
            <w:tcW w:w="947" w:type="dxa"/>
            <w:tcBorders>
              <w:top w:val="single" w:color="000000" w:sz="4" w:space="0"/>
              <w:left w:val="single" w:color="000000" w:sz="4" w:space="0"/>
              <w:bottom w:val="single" w:color="auto" w:sz="4" w:space="0"/>
              <w:right w:val="single" w:color="000000" w:sz="4" w:space="0"/>
            </w:tcBorders>
            <w:noWrap w:val="0"/>
            <w:vAlign w:val="center"/>
          </w:tcPr>
          <w:p w14:paraId="6ADDE9EE">
            <w:pPr>
              <w:snapToGrid w:val="0"/>
              <w:spacing w:line="240" w:lineRule="auto"/>
              <w:jc w:val="left"/>
              <w:rPr>
                <w:rFonts w:hint="eastAsia" w:ascii="仿宋" w:hAnsi="仿宋" w:eastAsia="仿宋" w:cs="仿宋"/>
                <w:color w:val="auto"/>
                <w:sz w:val="21"/>
                <w:szCs w:val="21"/>
                <w:lang w:eastAsia="zh-CN"/>
              </w:rPr>
            </w:pPr>
            <w:r>
              <w:rPr>
                <w:rFonts w:hint="eastAsia" w:ascii="仿宋" w:hAnsi="仿宋" w:eastAsia="仿宋" w:cs="仿宋"/>
                <w:color w:val="auto"/>
                <w:sz w:val="21"/>
                <w:szCs w:val="21"/>
                <w:highlight w:val="none"/>
              </w:rPr>
              <w:t>食品质量安全保障措施</w:t>
            </w:r>
            <w:r>
              <w:rPr>
                <w:rFonts w:hint="eastAsia" w:ascii="仿宋" w:hAnsi="仿宋" w:eastAsia="仿宋" w:cs="仿宋"/>
                <w:color w:val="auto"/>
                <w:sz w:val="21"/>
                <w:szCs w:val="21"/>
                <w:highlight w:val="none"/>
                <w:lang w:eastAsia="zh-CN"/>
              </w:rPr>
              <w:t>（</w:t>
            </w:r>
            <w:r>
              <w:rPr>
                <w:rFonts w:hint="eastAsia" w:ascii="仿宋" w:hAnsi="仿宋" w:eastAsia="仿宋" w:cs="仿宋"/>
                <w:color w:val="auto"/>
                <w:sz w:val="21"/>
                <w:szCs w:val="21"/>
              </w:rPr>
              <w:t>15分</w:t>
            </w:r>
            <w:r>
              <w:rPr>
                <w:rFonts w:hint="eastAsia" w:ascii="仿宋" w:hAnsi="仿宋" w:eastAsia="仿宋" w:cs="仿宋"/>
                <w:color w:val="auto"/>
                <w:sz w:val="21"/>
                <w:szCs w:val="21"/>
                <w:lang w:eastAsia="zh-CN"/>
              </w:rPr>
              <w:t>）</w:t>
            </w:r>
          </w:p>
        </w:tc>
        <w:tc>
          <w:tcPr>
            <w:tcW w:w="5191" w:type="dxa"/>
            <w:tcBorders>
              <w:top w:val="single" w:color="000000" w:sz="4" w:space="0"/>
              <w:left w:val="single" w:color="000000" w:sz="4" w:space="0"/>
              <w:bottom w:val="single" w:color="auto" w:sz="4" w:space="0"/>
              <w:right w:val="single" w:color="000000" w:sz="4" w:space="0"/>
            </w:tcBorders>
            <w:noWrap w:val="0"/>
            <w:vAlign w:val="center"/>
          </w:tcPr>
          <w:p w14:paraId="63CD3D2F">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供应商</w:t>
            </w:r>
            <w:r>
              <w:rPr>
                <w:rFonts w:hint="eastAsia" w:ascii="仿宋" w:hAnsi="仿宋" w:eastAsia="仿宋" w:cs="仿宋"/>
                <w:color w:val="auto"/>
                <w:sz w:val="21"/>
                <w:szCs w:val="21"/>
              </w:rPr>
              <w:t>针对本项目提供食品质量安全保障措施，内容包含但不限于：食品保管措施；食品检验措施；运输安全保证措施；运输食品质量保证措施。</w:t>
            </w:r>
          </w:p>
          <w:p w14:paraId="1EDFA7F0">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方案内容不存在瑕疵得15分；</w:t>
            </w:r>
          </w:p>
          <w:p w14:paraId="585C4FFE">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方案内容存在1处瑕疵得12分；</w:t>
            </w:r>
          </w:p>
          <w:p w14:paraId="73863728">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方案内容存在2处瑕疵得8分；</w:t>
            </w:r>
          </w:p>
          <w:p w14:paraId="132A93E8">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方案内容存在3处及以上瑕疵的5分；</w:t>
            </w:r>
          </w:p>
          <w:p w14:paraId="237356FD">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方案内容存在4处及以上瑕疵的或未提供得0分。</w:t>
            </w:r>
          </w:p>
        </w:tc>
        <w:tc>
          <w:tcPr>
            <w:tcW w:w="2117" w:type="dxa"/>
            <w:vMerge w:val="continue"/>
            <w:tcBorders>
              <w:left w:val="single" w:color="000000" w:sz="4" w:space="0"/>
              <w:right w:val="single" w:color="000000" w:sz="4" w:space="0"/>
            </w:tcBorders>
            <w:noWrap w:val="0"/>
            <w:vAlign w:val="center"/>
          </w:tcPr>
          <w:p w14:paraId="44F2E1EC">
            <w:pPr>
              <w:snapToGrid w:val="0"/>
              <w:spacing w:line="240" w:lineRule="auto"/>
              <w:jc w:val="center"/>
              <w:rPr>
                <w:rFonts w:hint="eastAsia" w:ascii="仿宋" w:hAnsi="仿宋" w:eastAsia="仿宋" w:cs="仿宋"/>
                <w:color w:val="auto"/>
                <w:sz w:val="21"/>
                <w:szCs w:val="21"/>
              </w:rPr>
            </w:pPr>
          </w:p>
        </w:tc>
      </w:tr>
      <w:tr w14:paraId="1722B40A">
        <w:tblPrEx>
          <w:tblCellMar>
            <w:top w:w="15" w:type="dxa"/>
            <w:left w:w="15" w:type="dxa"/>
            <w:bottom w:w="15" w:type="dxa"/>
            <w:right w:w="15" w:type="dxa"/>
          </w:tblCellMar>
        </w:tblPrEx>
        <w:trPr>
          <w:trHeight w:val="2196" w:hRule="atLeast"/>
          <w:jc w:val="center"/>
        </w:trPr>
        <w:tc>
          <w:tcPr>
            <w:tcW w:w="581" w:type="dxa"/>
            <w:vMerge w:val="continue"/>
            <w:tcBorders>
              <w:left w:val="single" w:color="000000" w:sz="4" w:space="0"/>
              <w:bottom w:val="single" w:color="auto" w:sz="4" w:space="0"/>
              <w:right w:val="single" w:color="000000" w:sz="4" w:space="0"/>
            </w:tcBorders>
            <w:noWrap w:val="0"/>
            <w:vAlign w:val="center"/>
          </w:tcPr>
          <w:p w14:paraId="02625193">
            <w:pPr>
              <w:snapToGrid w:val="0"/>
              <w:spacing w:line="240" w:lineRule="auto"/>
              <w:jc w:val="center"/>
              <w:rPr>
                <w:rFonts w:hint="eastAsia" w:ascii="仿宋" w:hAnsi="仿宋" w:eastAsia="仿宋" w:cs="仿宋"/>
                <w:color w:val="auto"/>
                <w:sz w:val="21"/>
                <w:szCs w:val="21"/>
              </w:rPr>
            </w:pPr>
          </w:p>
        </w:tc>
        <w:tc>
          <w:tcPr>
            <w:tcW w:w="1032" w:type="dxa"/>
            <w:vMerge w:val="continue"/>
            <w:tcBorders>
              <w:left w:val="single" w:color="000000" w:sz="4" w:space="0"/>
              <w:bottom w:val="single" w:color="auto" w:sz="4" w:space="0"/>
              <w:right w:val="single" w:color="000000" w:sz="4" w:space="0"/>
            </w:tcBorders>
            <w:noWrap w:val="0"/>
            <w:vAlign w:val="center"/>
          </w:tcPr>
          <w:p w14:paraId="5D7CFD5D">
            <w:pPr>
              <w:snapToGrid w:val="0"/>
              <w:spacing w:line="240" w:lineRule="auto"/>
              <w:jc w:val="center"/>
              <w:rPr>
                <w:rFonts w:hint="eastAsia" w:ascii="仿宋" w:hAnsi="仿宋" w:eastAsia="仿宋" w:cs="仿宋"/>
                <w:color w:val="auto"/>
                <w:sz w:val="21"/>
                <w:szCs w:val="21"/>
              </w:rPr>
            </w:pPr>
          </w:p>
        </w:tc>
        <w:tc>
          <w:tcPr>
            <w:tcW w:w="947" w:type="dxa"/>
            <w:tcBorders>
              <w:top w:val="single" w:color="auto" w:sz="4" w:space="0"/>
              <w:left w:val="single" w:color="000000" w:sz="4" w:space="0"/>
              <w:bottom w:val="single" w:color="auto" w:sz="4" w:space="0"/>
              <w:right w:val="single" w:color="000000" w:sz="4" w:space="0"/>
            </w:tcBorders>
            <w:noWrap w:val="0"/>
            <w:vAlign w:val="center"/>
          </w:tcPr>
          <w:p w14:paraId="0975F7B4">
            <w:pPr>
              <w:snapToGrid w:val="0"/>
              <w:spacing w:line="240" w:lineRule="auto"/>
              <w:jc w:val="left"/>
              <w:rPr>
                <w:rFonts w:hint="eastAsia" w:ascii="仿宋" w:hAnsi="仿宋" w:eastAsia="仿宋" w:cs="仿宋"/>
                <w:color w:val="auto"/>
                <w:sz w:val="21"/>
                <w:szCs w:val="21"/>
                <w:lang w:eastAsia="zh-CN"/>
              </w:rPr>
            </w:pPr>
            <w:r>
              <w:rPr>
                <w:rFonts w:hint="eastAsia" w:ascii="仿宋" w:hAnsi="仿宋" w:eastAsia="仿宋" w:cs="仿宋"/>
                <w:color w:val="auto"/>
                <w:sz w:val="21"/>
                <w:szCs w:val="21"/>
              </w:rPr>
              <w:t>售后服务及售后保障措施</w:t>
            </w:r>
            <w:r>
              <w:rPr>
                <w:rFonts w:hint="eastAsia" w:ascii="仿宋" w:hAnsi="仿宋" w:eastAsia="仿宋" w:cs="仿宋"/>
                <w:color w:val="auto"/>
                <w:sz w:val="21"/>
                <w:szCs w:val="21"/>
                <w:lang w:eastAsia="zh-CN"/>
              </w:rPr>
              <w:t>（</w:t>
            </w:r>
            <w:r>
              <w:rPr>
                <w:rFonts w:hint="eastAsia" w:ascii="仿宋" w:hAnsi="仿宋" w:eastAsia="仿宋" w:cs="仿宋"/>
                <w:color w:val="auto"/>
                <w:sz w:val="21"/>
                <w:szCs w:val="21"/>
                <w:lang w:val="en-US" w:eastAsia="zh-CN"/>
              </w:rPr>
              <w:t>15</w:t>
            </w:r>
            <w:r>
              <w:rPr>
                <w:rFonts w:hint="eastAsia" w:ascii="仿宋" w:hAnsi="仿宋" w:eastAsia="仿宋" w:cs="仿宋"/>
                <w:color w:val="auto"/>
                <w:sz w:val="21"/>
                <w:szCs w:val="21"/>
              </w:rPr>
              <w:t>分</w:t>
            </w:r>
            <w:r>
              <w:rPr>
                <w:rFonts w:hint="eastAsia" w:ascii="仿宋" w:hAnsi="仿宋" w:eastAsia="仿宋" w:cs="仿宋"/>
                <w:color w:val="auto"/>
                <w:sz w:val="21"/>
                <w:szCs w:val="21"/>
                <w:lang w:eastAsia="zh-CN"/>
              </w:rPr>
              <w:t>）</w:t>
            </w:r>
          </w:p>
        </w:tc>
        <w:tc>
          <w:tcPr>
            <w:tcW w:w="5191" w:type="dxa"/>
            <w:tcBorders>
              <w:top w:val="single" w:color="auto" w:sz="4" w:space="0"/>
              <w:left w:val="single" w:color="000000" w:sz="4" w:space="0"/>
              <w:bottom w:val="single" w:color="auto" w:sz="4" w:space="0"/>
              <w:right w:val="single" w:color="auto" w:sz="4" w:space="0"/>
            </w:tcBorders>
            <w:noWrap w:val="0"/>
            <w:vAlign w:val="center"/>
          </w:tcPr>
          <w:p w14:paraId="7072E359">
            <w:pPr>
              <w:snapToGrid w:val="0"/>
              <w:spacing w:line="240" w:lineRule="auto"/>
              <w:jc w:val="left"/>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供应商</w:t>
            </w:r>
            <w:r>
              <w:rPr>
                <w:rFonts w:hint="eastAsia" w:ascii="仿宋" w:hAnsi="仿宋" w:eastAsia="仿宋" w:cs="仿宋"/>
                <w:color w:val="auto"/>
                <w:sz w:val="21"/>
                <w:szCs w:val="21"/>
              </w:rPr>
              <w:t>针对本项目提供售后服务及售后保障措施，内容包含但不限于：</w:t>
            </w:r>
            <w:r>
              <w:rPr>
                <w:rFonts w:hint="eastAsia" w:ascii="仿宋" w:hAnsi="仿宋" w:eastAsia="仿宋" w:cs="仿宋"/>
                <w:color w:val="auto"/>
                <w:sz w:val="21"/>
                <w:szCs w:val="21"/>
                <w:lang w:eastAsia="zh-CN"/>
              </w:rPr>
              <w:t>售后服务、</w:t>
            </w:r>
            <w:r>
              <w:rPr>
                <w:rFonts w:hint="eastAsia" w:ascii="仿宋" w:hAnsi="仿宋" w:eastAsia="仿宋" w:cs="仿宋"/>
                <w:color w:val="auto"/>
                <w:sz w:val="21"/>
                <w:szCs w:val="21"/>
              </w:rPr>
              <w:t>应急预案体系（应急</w:t>
            </w:r>
            <w:r>
              <w:rPr>
                <w:rFonts w:hint="eastAsia" w:ascii="仿宋" w:hAnsi="仿宋" w:eastAsia="仿宋" w:cs="仿宋"/>
                <w:color w:val="auto"/>
                <w:sz w:val="21"/>
                <w:szCs w:val="21"/>
                <w:lang w:eastAsia="zh-CN"/>
              </w:rPr>
              <w:t>物品</w:t>
            </w:r>
            <w:r>
              <w:rPr>
                <w:rFonts w:hint="eastAsia" w:ascii="仿宋" w:hAnsi="仿宋" w:eastAsia="仿宋" w:cs="仿宋"/>
                <w:color w:val="auto"/>
                <w:sz w:val="21"/>
                <w:szCs w:val="21"/>
              </w:rPr>
              <w:t>齐备、应急响应速度、应急配送地点等）</w:t>
            </w:r>
          </w:p>
          <w:p w14:paraId="2BFAE1A0">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方案内容不存在瑕疵得15分；</w:t>
            </w:r>
          </w:p>
          <w:p w14:paraId="59754CB5">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方案内容存在1处瑕疵得12分；</w:t>
            </w:r>
          </w:p>
          <w:p w14:paraId="79465B32">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方案内容存在2处瑕疵得8分；</w:t>
            </w:r>
          </w:p>
          <w:p w14:paraId="06B799FE">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方案内容存在3处及以上瑕疵的5分；</w:t>
            </w:r>
          </w:p>
          <w:p w14:paraId="4CFD13C2">
            <w:pPr>
              <w:snapToGrid w:val="0"/>
              <w:spacing w:line="240" w:lineRule="auto"/>
              <w:jc w:val="left"/>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方案内容存在4处及以上瑕疵的或未提供得0分。</w:t>
            </w:r>
          </w:p>
        </w:tc>
        <w:tc>
          <w:tcPr>
            <w:tcW w:w="2117" w:type="dxa"/>
            <w:vMerge w:val="continue"/>
            <w:tcBorders>
              <w:left w:val="single" w:color="000000" w:sz="4" w:space="0"/>
              <w:bottom w:val="single" w:color="auto" w:sz="4" w:space="0"/>
              <w:right w:val="single" w:color="000000" w:sz="4" w:space="0"/>
            </w:tcBorders>
            <w:noWrap w:val="0"/>
            <w:vAlign w:val="center"/>
          </w:tcPr>
          <w:p w14:paraId="53E40BB3">
            <w:pPr>
              <w:snapToGrid w:val="0"/>
              <w:spacing w:line="240" w:lineRule="auto"/>
              <w:jc w:val="center"/>
              <w:rPr>
                <w:rFonts w:hint="eastAsia" w:ascii="仿宋" w:hAnsi="仿宋" w:eastAsia="仿宋" w:cs="仿宋"/>
                <w:color w:val="auto"/>
                <w:sz w:val="21"/>
                <w:szCs w:val="21"/>
              </w:rPr>
            </w:pPr>
          </w:p>
        </w:tc>
      </w:tr>
      <w:tr w14:paraId="35333EC8">
        <w:tblPrEx>
          <w:tblCellMar>
            <w:top w:w="15" w:type="dxa"/>
            <w:left w:w="15" w:type="dxa"/>
            <w:bottom w:w="15" w:type="dxa"/>
            <w:right w:w="15" w:type="dxa"/>
          </w:tblCellMar>
        </w:tblPrEx>
        <w:trPr>
          <w:trHeight w:val="842" w:hRule="atLeast"/>
          <w:jc w:val="center"/>
        </w:trPr>
        <w:tc>
          <w:tcPr>
            <w:tcW w:w="581" w:type="dxa"/>
            <w:tcBorders>
              <w:top w:val="single" w:color="auto" w:sz="4" w:space="0"/>
              <w:left w:val="single" w:color="auto" w:sz="4" w:space="0"/>
              <w:bottom w:val="single" w:color="auto" w:sz="4" w:space="0"/>
              <w:right w:val="single" w:color="auto" w:sz="4" w:space="0"/>
            </w:tcBorders>
            <w:noWrap w:val="0"/>
            <w:vAlign w:val="center"/>
          </w:tcPr>
          <w:p w14:paraId="326121AF">
            <w:pPr>
              <w:snapToGrid w:val="0"/>
              <w:spacing w:line="240" w:lineRule="auto"/>
              <w:jc w:val="center"/>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3</w:t>
            </w:r>
          </w:p>
        </w:tc>
        <w:tc>
          <w:tcPr>
            <w:tcW w:w="1032" w:type="dxa"/>
            <w:tcBorders>
              <w:top w:val="single" w:color="auto" w:sz="4" w:space="0"/>
              <w:left w:val="single" w:color="auto" w:sz="4" w:space="0"/>
              <w:bottom w:val="single" w:color="auto" w:sz="4" w:space="0"/>
              <w:right w:val="single" w:color="auto" w:sz="4" w:space="0"/>
            </w:tcBorders>
            <w:noWrap w:val="0"/>
            <w:vAlign w:val="center"/>
          </w:tcPr>
          <w:p w14:paraId="5431CA10">
            <w:pPr>
              <w:snapToGrid w:val="0"/>
              <w:spacing w:line="240" w:lineRule="auto"/>
              <w:jc w:val="center"/>
              <w:rPr>
                <w:rFonts w:hint="eastAsia" w:ascii="仿宋" w:hAnsi="仿宋" w:eastAsia="仿宋" w:cs="仿宋"/>
                <w:color w:val="auto"/>
                <w:sz w:val="21"/>
                <w:szCs w:val="21"/>
              </w:rPr>
            </w:pPr>
            <w:r>
              <w:rPr>
                <w:rFonts w:hint="eastAsia" w:ascii="仿宋" w:hAnsi="仿宋" w:eastAsia="仿宋" w:cs="仿宋"/>
                <w:color w:val="auto"/>
                <w:sz w:val="21"/>
                <w:szCs w:val="21"/>
                <w:lang w:val="en-US" w:eastAsia="zh-CN"/>
              </w:rPr>
              <w:t>商务部分20%</w:t>
            </w:r>
          </w:p>
        </w:tc>
        <w:tc>
          <w:tcPr>
            <w:tcW w:w="947" w:type="dxa"/>
            <w:tcBorders>
              <w:top w:val="single" w:color="auto" w:sz="4" w:space="0"/>
              <w:left w:val="single" w:color="auto" w:sz="4" w:space="0"/>
              <w:bottom w:val="single" w:color="auto" w:sz="4" w:space="0"/>
              <w:right w:val="single" w:color="auto" w:sz="4" w:space="0"/>
            </w:tcBorders>
            <w:noWrap w:val="0"/>
            <w:vAlign w:val="center"/>
          </w:tcPr>
          <w:p w14:paraId="5BAC25C5">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业绩（20分）</w:t>
            </w:r>
          </w:p>
          <w:p w14:paraId="55BA5E53">
            <w:pPr>
              <w:spacing w:line="240" w:lineRule="auto"/>
              <w:jc w:val="left"/>
              <w:textAlignment w:val="top"/>
              <w:rPr>
                <w:rFonts w:hint="eastAsia" w:ascii="仿宋" w:hAnsi="仿宋" w:eastAsia="仿宋" w:cs="仿宋"/>
                <w:color w:val="auto"/>
                <w:sz w:val="21"/>
                <w:szCs w:val="21"/>
                <w:lang w:val="en-US" w:eastAsia="zh-CN"/>
              </w:rPr>
            </w:pPr>
          </w:p>
        </w:tc>
        <w:tc>
          <w:tcPr>
            <w:tcW w:w="5191" w:type="dxa"/>
            <w:tcBorders>
              <w:top w:val="single" w:color="auto" w:sz="4" w:space="0"/>
              <w:left w:val="single" w:color="auto" w:sz="4" w:space="0"/>
              <w:bottom w:val="single" w:color="auto" w:sz="4" w:space="0"/>
              <w:right w:val="single" w:color="auto" w:sz="4" w:space="0"/>
            </w:tcBorders>
            <w:noWrap w:val="0"/>
            <w:vAlign w:val="center"/>
          </w:tcPr>
          <w:p w14:paraId="679BD9DE">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供应商2022年1月1日至今（以合同签订时间为准）具有为公立学校、公立医院、机关、事业单位食堂类似配送业绩的，每提供1个得5分，最多得20分。</w:t>
            </w:r>
          </w:p>
        </w:tc>
        <w:tc>
          <w:tcPr>
            <w:tcW w:w="2117" w:type="dxa"/>
            <w:tcBorders>
              <w:top w:val="single" w:color="auto" w:sz="4" w:space="0"/>
              <w:left w:val="single" w:color="auto" w:sz="4" w:space="0"/>
              <w:bottom w:val="single" w:color="auto" w:sz="4" w:space="0"/>
              <w:right w:val="single" w:color="auto" w:sz="4" w:space="0"/>
            </w:tcBorders>
            <w:noWrap w:val="0"/>
            <w:vAlign w:val="center"/>
          </w:tcPr>
          <w:p w14:paraId="6F4D4037">
            <w:pPr>
              <w:spacing w:line="240" w:lineRule="auto"/>
              <w:jc w:val="left"/>
              <w:textAlignment w:val="top"/>
              <w:rPr>
                <w:rFonts w:hint="eastAsia" w:ascii="仿宋" w:hAnsi="仿宋" w:eastAsia="仿宋" w:cs="仿宋"/>
                <w:color w:val="auto"/>
                <w:sz w:val="21"/>
                <w:szCs w:val="21"/>
                <w:lang w:val="en-US" w:eastAsia="zh-CN"/>
              </w:rPr>
            </w:pPr>
            <w:r>
              <w:rPr>
                <w:rFonts w:hint="eastAsia" w:ascii="仿宋" w:hAnsi="仿宋" w:eastAsia="仿宋" w:cs="仿宋"/>
                <w:color w:val="auto"/>
                <w:sz w:val="21"/>
                <w:szCs w:val="21"/>
                <w:lang w:val="en-US" w:eastAsia="zh-CN"/>
              </w:rPr>
              <w:t>提供有效的合同复印件加盖供应商公章。</w:t>
            </w:r>
          </w:p>
        </w:tc>
      </w:tr>
    </w:tbl>
    <w:p w14:paraId="429AA7BC">
      <w:pPr>
        <w:spacing w:line="360" w:lineRule="auto"/>
        <w:rPr>
          <w:rFonts w:hint="eastAsia" w:ascii="仿宋" w:hAnsi="仿宋" w:eastAsia="仿宋" w:cs="仿宋"/>
          <w:color w:val="auto"/>
          <w:sz w:val="24"/>
        </w:rPr>
      </w:pPr>
    </w:p>
    <w:bookmarkEnd w:id="138"/>
    <w:bookmarkEnd w:id="139"/>
    <w:p w14:paraId="6BE159F9">
      <w:pPr>
        <w:pStyle w:val="5"/>
        <w:spacing w:before="0" w:after="0" w:line="360" w:lineRule="auto"/>
        <w:rPr>
          <w:rFonts w:hint="eastAsia" w:ascii="仿宋" w:hAnsi="仿宋" w:eastAsia="仿宋" w:cs="仿宋"/>
          <w:color w:val="auto"/>
          <w:sz w:val="24"/>
          <w:szCs w:val="24"/>
        </w:rPr>
      </w:pPr>
      <w:bookmarkStart w:id="140" w:name="_Toc5649"/>
      <w:r>
        <w:rPr>
          <w:rFonts w:hint="eastAsia" w:ascii="仿宋" w:hAnsi="仿宋" w:eastAsia="仿宋" w:cs="仿宋"/>
          <w:color w:val="auto"/>
          <w:sz w:val="24"/>
          <w:szCs w:val="24"/>
        </w:rPr>
        <w:t>三、无效响应</w:t>
      </w:r>
      <w:bookmarkEnd w:id="140"/>
    </w:p>
    <w:p w14:paraId="2ADF4952">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供应商发生以下条款情况之一者，视为无效响应，其响应文件将被拒绝：</w:t>
      </w:r>
    </w:p>
    <w:p w14:paraId="24ADAEB5">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（一）供应商不符合规定的基本资格条件或特定资格条件的；</w:t>
      </w:r>
    </w:p>
    <w:p w14:paraId="05393EE5">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（二）供应商未按</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规定购买</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的；</w:t>
      </w:r>
    </w:p>
    <w:p w14:paraId="71772699">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（三）供应商的法定代表人或其授权代表未参加</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w:t>
      </w:r>
    </w:p>
    <w:p w14:paraId="784DEC80">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（四）供应商所提交的响应文件不按第七篇“响应文件编制要求”规定签字、盖章；</w:t>
      </w:r>
    </w:p>
    <w:p w14:paraId="36C6D78D">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（五）供应商的最后报价超过采购预算的；</w:t>
      </w:r>
    </w:p>
    <w:p w14:paraId="15C1C969">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（六）法定代表人为同一个人的两个及两个以上法人，母公司、全资子公司及其控股公司，在同一分包采购中同时参与</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w:t>
      </w:r>
    </w:p>
    <w:p w14:paraId="3AEA981E">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（七）单位负责人为同一人或者存在直接控股、管理关系的不同供应商，参加同一合同项下的政府采购活动的；</w:t>
      </w:r>
    </w:p>
    <w:p w14:paraId="12F5944A">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（八）为采购项目提供整体设计、规范编制或者项目管理、监理、检测等服务的供应商，再参加该采购项目的其他采购活动；</w:t>
      </w:r>
    </w:p>
    <w:p w14:paraId="4AEE6EF3">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（九）供应商</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有效期不满足</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要求的；</w:t>
      </w:r>
    </w:p>
    <w:p w14:paraId="376E72A4">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（十）供应商响应文件内容有与国家现行法律法规相违背的内容，或附有采购人无法接受的条件。</w:t>
      </w:r>
    </w:p>
    <w:p w14:paraId="1EFFE997">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（十一）供应商被列入失信被执行人、重大税收违法案件当事人名单、政府采购严重违法失信行为记录名单及其他不符合《中华人民共和国政府采购法》第二十二条规定条件的。</w:t>
      </w:r>
    </w:p>
    <w:p w14:paraId="62DA232C">
      <w:pPr>
        <w:pStyle w:val="5"/>
        <w:spacing w:before="0" w:after="0" w:line="360" w:lineRule="auto"/>
        <w:rPr>
          <w:rFonts w:hint="eastAsia" w:ascii="仿宋" w:hAnsi="仿宋" w:eastAsia="仿宋" w:cs="仿宋"/>
          <w:color w:val="auto"/>
          <w:sz w:val="24"/>
          <w:szCs w:val="24"/>
        </w:rPr>
      </w:pPr>
      <w:bookmarkStart w:id="141" w:name="_Toc2506"/>
      <w:r>
        <w:rPr>
          <w:rFonts w:hint="eastAsia" w:ascii="仿宋" w:hAnsi="仿宋" w:eastAsia="仿宋" w:cs="仿宋"/>
          <w:color w:val="auto"/>
          <w:sz w:val="24"/>
          <w:szCs w:val="24"/>
        </w:rPr>
        <w:t>四、</w:t>
      </w:r>
      <w:bookmarkEnd w:id="130"/>
      <w:bookmarkEnd w:id="131"/>
      <w:r>
        <w:rPr>
          <w:rFonts w:hint="eastAsia" w:ascii="仿宋" w:hAnsi="仿宋" w:eastAsia="仿宋" w:cs="仿宋"/>
          <w:color w:val="auto"/>
          <w:sz w:val="24"/>
          <w:szCs w:val="24"/>
        </w:rPr>
        <w:t>采购终止</w:t>
      </w:r>
      <w:bookmarkEnd w:id="141"/>
    </w:p>
    <w:p w14:paraId="47DFAA0F">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出现下列情形之一的，采购人或者采购代理机构应当终止</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采购活动，发布项目终止公告并说明原因，重新开展采购活动：</w:t>
      </w:r>
    </w:p>
    <w:p w14:paraId="53E9F8B7">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（一）因情况变化，不再符合规定的</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采购方式适用情形的；</w:t>
      </w:r>
    </w:p>
    <w:p w14:paraId="039B6301">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（二）出现影响采购公正的违法、违规行为的；</w:t>
      </w:r>
    </w:p>
    <w:p w14:paraId="49F3D897">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（三）在</w:t>
      </w:r>
      <w:r>
        <w:rPr>
          <w:rFonts w:hint="eastAsia" w:ascii="仿宋" w:hAnsi="仿宋" w:eastAsia="仿宋" w:cs="仿宋"/>
          <w:color w:val="auto"/>
          <w:sz w:val="24"/>
          <w:szCs w:val="24"/>
          <w:lang w:eastAsia="zh-CN"/>
        </w:rPr>
        <w:t>采购</w:t>
      </w:r>
      <w:r>
        <w:rPr>
          <w:rFonts w:hint="eastAsia" w:ascii="仿宋" w:hAnsi="仿宋" w:eastAsia="仿宋" w:cs="仿宋"/>
          <w:color w:val="auto"/>
          <w:sz w:val="24"/>
          <w:szCs w:val="24"/>
        </w:rPr>
        <w:t>过程中符合要求的供应商或者报价未超过预算的供应商不足</w:t>
      </w:r>
      <w:r>
        <w:rPr>
          <w:rFonts w:hint="eastAsia" w:ascii="仿宋" w:hAnsi="仿宋" w:eastAsia="仿宋" w:cs="仿宋"/>
          <w:color w:val="auto"/>
          <w:sz w:val="24"/>
          <w:szCs w:val="24"/>
          <w:lang w:val="en-US" w:eastAsia="zh-CN"/>
        </w:rPr>
        <w:t>3</w:t>
      </w:r>
      <w:r>
        <w:rPr>
          <w:rFonts w:hint="eastAsia" w:ascii="仿宋" w:hAnsi="仿宋" w:eastAsia="仿宋" w:cs="仿宋"/>
          <w:color w:val="auto"/>
          <w:sz w:val="24"/>
          <w:szCs w:val="24"/>
        </w:rPr>
        <w:t>家的。</w:t>
      </w:r>
    </w:p>
    <w:p w14:paraId="2F4DE003">
      <w:pPr>
        <w:pStyle w:val="10"/>
        <w:rPr>
          <w:rFonts w:hint="eastAsia"/>
          <w:color w:val="auto"/>
        </w:rPr>
        <w:sectPr>
          <w:footerReference r:id="rId8" w:type="default"/>
          <w:pgSz w:w="11907" w:h="16840"/>
          <w:pgMar w:top="1134" w:right="1191" w:bottom="1134" w:left="1304" w:header="964" w:footer="992" w:gutter="0"/>
          <w:pgNumType w:fmt="numberInDash"/>
          <w:cols w:space="720" w:num="1"/>
          <w:docGrid w:linePitch="312" w:charSpace="0"/>
        </w:sectPr>
      </w:pPr>
    </w:p>
    <w:p w14:paraId="63F7966C">
      <w:pPr>
        <w:pStyle w:val="4"/>
        <w:spacing w:before="100" w:beforeAutospacing="1" w:after="100" w:afterAutospacing="1" w:line="360" w:lineRule="auto"/>
        <w:jc w:val="center"/>
        <w:rPr>
          <w:rFonts w:hint="eastAsia" w:ascii="仿宋" w:hAnsi="仿宋" w:eastAsia="仿宋" w:cs="仿宋"/>
          <w:b w:val="0"/>
          <w:color w:val="auto"/>
          <w:szCs w:val="30"/>
        </w:rPr>
      </w:pPr>
      <w:bookmarkStart w:id="142" w:name="_Toc9431"/>
      <w:bookmarkStart w:id="143" w:name="_Toc102227313"/>
      <w:r>
        <w:rPr>
          <w:rFonts w:hint="eastAsia" w:ascii="仿宋" w:hAnsi="仿宋" w:eastAsia="仿宋" w:cs="仿宋"/>
          <w:b w:val="0"/>
          <w:color w:val="auto"/>
          <w:sz w:val="36"/>
          <w:szCs w:val="30"/>
        </w:rPr>
        <w:t>第五篇  供应商须知</w:t>
      </w:r>
      <w:bookmarkEnd w:id="142"/>
      <w:bookmarkEnd w:id="143"/>
    </w:p>
    <w:p w14:paraId="433F7116">
      <w:pPr>
        <w:pStyle w:val="5"/>
        <w:spacing w:before="0" w:after="0" w:line="360" w:lineRule="auto"/>
        <w:rPr>
          <w:rFonts w:hint="eastAsia" w:ascii="仿宋" w:hAnsi="仿宋" w:eastAsia="仿宋" w:cs="仿宋"/>
          <w:color w:val="auto"/>
          <w:sz w:val="24"/>
          <w:szCs w:val="24"/>
        </w:rPr>
      </w:pPr>
      <w:bookmarkStart w:id="144" w:name="_Toc16057"/>
      <w:bookmarkStart w:id="145" w:name="_Toc342913389"/>
      <w:r>
        <w:rPr>
          <w:rFonts w:hint="eastAsia" w:ascii="仿宋" w:hAnsi="仿宋" w:eastAsia="仿宋" w:cs="仿宋"/>
          <w:color w:val="auto"/>
          <w:sz w:val="24"/>
          <w:szCs w:val="24"/>
        </w:rPr>
        <w:t>一、</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费用</w:t>
      </w:r>
      <w:bookmarkEnd w:id="144"/>
      <w:bookmarkEnd w:id="145"/>
    </w:p>
    <w:p w14:paraId="6B21EC05">
      <w:pPr>
        <w:pStyle w:val="19"/>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参与</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的供应商应承担其编制响应文件与递交响应文件所涉及的一切费用，不论</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结果如何，采购人和采购代理机构在任何情况下无义务也无责任承担这些费用。</w:t>
      </w:r>
    </w:p>
    <w:p w14:paraId="6C52ED97">
      <w:pPr>
        <w:pStyle w:val="5"/>
        <w:tabs>
          <w:tab w:val="left" w:pos="2640"/>
        </w:tabs>
        <w:spacing w:before="0" w:after="0" w:line="360" w:lineRule="auto"/>
        <w:rPr>
          <w:rFonts w:hint="eastAsia" w:ascii="仿宋" w:hAnsi="仿宋" w:eastAsia="仿宋" w:cs="仿宋"/>
          <w:color w:val="auto"/>
          <w:sz w:val="24"/>
          <w:szCs w:val="24"/>
          <w:lang w:eastAsia="zh-CN"/>
        </w:rPr>
      </w:pPr>
      <w:bookmarkStart w:id="146" w:name="_Toc342913391"/>
      <w:bookmarkStart w:id="147" w:name="_Toc10255"/>
      <w:r>
        <w:rPr>
          <w:rFonts w:hint="eastAsia" w:ascii="仿宋" w:hAnsi="仿宋" w:eastAsia="仿宋" w:cs="仿宋"/>
          <w:color w:val="auto"/>
          <w:sz w:val="24"/>
          <w:szCs w:val="24"/>
        </w:rPr>
        <w:t>二、</w:t>
      </w:r>
      <w:bookmarkEnd w:id="146"/>
      <w:r>
        <w:rPr>
          <w:rFonts w:hint="eastAsia" w:ascii="仿宋" w:hAnsi="仿宋" w:eastAsia="仿宋" w:cs="仿宋"/>
          <w:color w:val="auto"/>
          <w:sz w:val="24"/>
          <w:szCs w:val="24"/>
          <w:lang w:eastAsia="zh-CN"/>
        </w:rPr>
        <w:t>询比文件</w:t>
      </w:r>
      <w:bookmarkEnd w:id="147"/>
    </w:p>
    <w:p w14:paraId="1ECB8D3C">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由采购邀请书、项目服务需求、供应商须知、项目商务需求、</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程序及方法、评审标准、无效响应和采购终止、供应商须知</w:t>
      </w:r>
      <w:r>
        <w:rPr>
          <w:rFonts w:hint="eastAsia" w:ascii="仿宋" w:hAnsi="仿宋" w:eastAsia="仿宋" w:cs="仿宋"/>
          <w:b/>
          <w:color w:val="auto"/>
          <w:sz w:val="24"/>
          <w:szCs w:val="24"/>
        </w:rPr>
        <w:t>、</w:t>
      </w:r>
      <w:r>
        <w:rPr>
          <w:rFonts w:hint="eastAsia" w:ascii="仿宋" w:hAnsi="仿宋" w:eastAsia="仿宋" w:cs="仿宋"/>
          <w:color w:val="auto"/>
          <w:sz w:val="24"/>
          <w:szCs w:val="24"/>
          <w:lang w:eastAsia="zh-CN"/>
        </w:rPr>
        <w:t>采购合同</w:t>
      </w:r>
      <w:r>
        <w:rPr>
          <w:rFonts w:hint="eastAsia" w:ascii="仿宋" w:hAnsi="仿宋" w:eastAsia="仿宋" w:cs="仿宋"/>
          <w:b/>
          <w:color w:val="auto"/>
          <w:sz w:val="24"/>
          <w:szCs w:val="24"/>
        </w:rPr>
        <w:t>、</w:t>
      </w:r>
      <w:r>
        <w:rPr>
          <w:rFonts w:hint="eastAsia" w:ascii="仿宋" w:hAnsi="仿宋" w:eastAsia="仿宋" w:cs="仿宋"/>
          <w:color w:val="auto"/>
          <w:sz w:val="24"/>
          <w:szCs w:val="24"/>
        </w:rPr>
        <w:t>响应文件编制要求七部分组成。</w:t>
      </w:r>
    </w:p>
    <w:p w14:paraId="2464AE55">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（二）采购人（或采购代理机构）所作的一切有效的书面通知、修改及补充，都是</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不可分割的部分。</w:t>
      </w:r>
    </w:p>
    <w:p w14:paraId="79AC3211">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（三）</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的解释</w:t>
      </w:r>
    </w:p>
    <w:p w14:paraId="79F14740">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供应商如对</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有疑问，必须以书面形式在提交响应文件截止时间3个工作日前向采购人（或采购代理机构）要求澄清，采购人（或采购代理机构）可视具体情况做出处理或答复。如供应商未提出疑问，视为完全理解并同意本</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。一经进入</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程序，即视为供应商已详细阅读全部文件资料，完全理解</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所有条款内容并同意放弃对这方面有不明白及误解的权利。</w:t>
      </w:r>
      <w:bookmarkStart w:id="148" w:name="_Toc318159780"/>
      <w:bookmarkStart w:id="149" w:name="_Toc318166429"/>
      <w:bookmarkStart w:id="150" w:name="_Toc318159349"/>
      <w:bookmarkStart w:id="151" w:name="_Toc318159160"/>
    </w:p>
    <w:p w14:paraId="419A0F21">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（四）本</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中，</w:t>
      </w:r>
      <w:r>
        <w:rPr>
          <w:rFonts w:hint="eastAsia" w:ascii="仿宋" w:hAnsi="仿宋" w:eastAsia="仿宋" w:cs="仿宋"/>
          <w:color w:val="auto"/>
          <w:sz w:val="24"/>
          <w:szCs w:val="24"/>
          <w:lang w:eastAsia="zh-CN"/>
        </w:rPr>
        <w:t>评审小组</w:t>
      </w:r>
      <w:r>
        <w:rPr>
          <w:rFonts w:hint="eastAsia" w:ascii="仿宋" w:hAnsi="仿宋" w:eastAsia="仿宋" w:cs="仿宋"/>
          <w:color w:val="auto"/>
          <w:sz w:val="24"/>
          <w:szCs w:val="24"/>
        </w:rPr>
        <w:t>根据与供应商进行</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可能实质性变动的内容为</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第二、三、四篇全部内容。</w:t>
      </w:r>
    </w:p>
    <w:p w14:paraId="0FA4FA15">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（五）评审的依据为</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和响应文件（含有效的书面承诺）。</w:t>
      </w:r>
      <w:r>
        <w:rPr>
          <w:rFonts w:hint="eastAsia" w:ascii="仿宋" w:hAnsi="仿宋" w:eastAsia="仿宋" w:cs="仿宋"/>
          <w:color w:val="auto"/>
          <w:sz w:val="24"/>
          <w:szCs w:val="24"/>
          <w:lang w:eastAsia="zh-CN"/>
        </w:rPr>
        <w:t>评审小组</w:t>
      </w:r>
      <w:r>
        <w:rPr>
          <w:rFonts w:hint="eastAsia" w:ascii="仿宋" w:hAnsi="仿宋" w:eastAsia="仿宋" w:cs="仿宋"/>
          <w:color w:val="auto"/>
          <w:sz w:val="24"/>
          <w:szCs w:val="24"/>
        </w:rPr>
        <w:t>判断响应文件对</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的响应，仅基于响应文件本身而不靠外部证据。</w:t>
      </w:r>
    </w:p>
    <w:bookmarkEnd w:id="148"/>
    <w:bookmarkEnd w:id="149"/>
    <w:bookmarkEnd w:id="150"/>
    <w:bookmarkEnd w:id="151"/>
    <w:p w14:paraId="724B8CDA">
      <w:pPr>
        <w:pStyle w:val="5"/>
        <w:spacing w:before="0" w:after="0" w:line="360" w:lineRule="auto"/>
        <w:rPr>
          <w:rFonts w:hint="eastAsia" w:ascii="仿宋" w:hAnsi="仿宋" w:eastAsia="仿宋" w:cs="仿宋"/>
          <w:color w:val="auto"/>
          <w:sz w:val="24"/>
          <w:szCs w:val="24"/>
        </w:rPr>
      </w:pPr>
      <w:bookmarkStart w:id="152" w:name="_Toc26100"/>
      <w:bookmarkStart w:id="153" w:name="_Toc179714297"/>
      <w:bookmarkStart w:id="154" w:name="_Toc102227318"/>
      <w:bookmarkStart w:id="155" w:name="_Toc342913392"/>
      <w:r>
        <w:rPr>
          <w:rFonts w:hint="eastAsia" w:ascii="仿宋" w:hAnsi="仿宋" w:eastAsia="仿宋" w:cs="仿宋"/>
          <w:color w:val="auto"/>
          <w:sz w:val="24"/>
          <w:szCs w:val="24"/>
        </w:rPr>
        <w:t>三、</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要求</w:t>
      </w:r>
      <w:bookmarkEnd w:id="152"/>
      <w:bookmarkEnd w:id="153"/>
      <w:bookmarkEnd w:id="154"/>
      <w:bookmarkEnd w:id="155"/>
    </w:p>
    <w:p w14:paraId="518EEB80">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（一）响应文件</w:t>
      </w:r>
    </w:p>
    <w:p w14:paraId="7D8AA97A">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1.供应商应当按照</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的要求编制响应文件，并对</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提出的要求和条件作出实质性响应，响应文件原则上采用软面订本，同时应编制完整的页码、目录。</w:t>
      </w:r>
    </w:p>
    <w:p w14:paraId="3B859387">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2.响应文件组成</w:t>
      </w:r>
    </w:p>
    <w:p w14:paraId="04A1C557">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响应文件由第七篇“响应文件编制要求”规定的部分和供应商所作的一切有效补充、修改和承诺等文件组成，供应商应按照第七篇“响应文件编制要求”规定的目录顺序组织编写和装订，也可在基本格式基础上对表格进行扩展，未规定格式的由供应商自定格式。</w:t>
      </w:r>
    </w:p>
    <w:p w14:paraId="6309A0C3">
      <w:pPr>
        <w:spacing w:line="360" w:lineRule="auto"/>
        <w:ind w:firstLine="482" w:firstLineChars="200"/>
        <w:rPr>
          <w:rFonts w:hint="eastAsia" w:ascii="仿宋" w:hAnsi="仿宋" w:eastAsia="仿宋" w:cs="仿宋"/>
          <w:b/>
          <w:color w:val="auto"/>
          <w:sz w:val="24"/>
          <w:szCs w:val="24"/>
        </w:rPr>
      </w:pPr>
      <w:r>
        <w:rPr>
          <w:rFonts w:hint="eastAsia" w:ascii="仿宋" w:hAnsi="仿宋" w:eastAsia="仿宋" w:cs="仿宋"/>
          <w:b/>
          <w:color w:val="auto"/>
          <w:sz w:val="24"/>
          <w:szCs w:val="24"/>
        </w:rPr>
        <w:t>（二）联合体</w:t>
      </w:r>
    </w:p>
    <w:p w14:paraId="1C22AFF1">
      <w:pPr>
        <w:spacing w:line="360" w:lineRule="auto"/>
        <w:ind w:firstLine="482" w:firstLineChars="200"/>
        <w:rPr>
          <w:rFonts w:hint="eastAsia" w:ascii="仿宋" w:hAnsi="仿宋" w:eastAsia="仿宋" w:cs="仿宋"/>
          <w:b/>
          <w:color w:val="auto"/>
          <w:sz w:val="24"/>
          <w:szCs w:val="24"/>
        </w:rPr>
      </w:pPr>
      <w:r>
        <w:rPr>
          <w:rFonts w:hint="eastAsia" w:ascii="仿宋" w:hAnsi="仿宋" w:eastAsia="仿宋" w:cs="仿宋"/>
          <w:b/>
          <w:color w:val="auto"/>
          <w:sz w:val="24"/>
          <w:szCs w:val="24"/>
        </w:rPr>
        <w:t>本项目不接受联合体</w:t>
      </w:r>
      <w:r>
        <w:rPr>
          <w:rFonts w:hint="eastAsia" w:ascii="仿宋" w:hAnsi="仿宋" w:eastAsia="仿宋" w:cs="仿宋"/>
          <w:b/>
          <w:color w:val="auto"/>
          <w:sz w:val="24"/>
          <w:szCs w:val="24"/>
          <w:lang w:eastAsia="zh-CN"/>
        </w:rPr>
        <w:t>询比</w:t>
      </w:r>
      <w:r>
        <w:rPr>
          <w:rFonts w:hint="eastAsia" w:ascii="仿宋" w:hAnsi="仿宋" w:eastAsia="仿宋" w:cs="仿宋"/>
          <w:b/>
          <w:color w:val="auto"/>
          <w:sz w:val="24"/>
          <w:szCs w:val="24"/>
        </w:rPr>
        <w:t>。</w:t>
      </w:r>
    </w:p>
    <w:p w14:paraId="72CE39DE">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（三）</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有效期：响应文件及有关承诺文件有效期为提交响应文件截止时间起90天。</w:t>
      </w:r>
    </w:p>
    <w:p w14:paraId="0476C545">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（四）修正错误</w:t>
      </w:r>
    </w:p>
    <w:p w14:paraId="0D470CA3">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1.若供应商所递交的响应文件或最后报价中的价格出现大写金额和小写金额不一致的错误，以大写金额修正为准。</w:t>
      </w:r>
    </w:p>
    <w:p w14:paraId="03E3F595">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w:t>
      </w:r>
      <w:r>
        <w:rPr>
          <w:rFonts w:hint="eastAsia" w:ascii="仿宋" w:hAnsi="仿宋" w:eastAsia="仿宋" w:cs="仿宋"/>
          <w:color w:val="auto"/>
          <w:sz w:val="24"/>
          <w:szCs w:val="24"/>
          <w:lang w:eastAsia="zh-CN"/>
        </w:rPr>
        <w:t>评审小组</w:t>
      </w:r>
      <w:r>
        <w:rPr>
          <w:rFonts w:hint="eastAsia" w:ascii="仿宋" w:hAnsi="仿宋" w:eastAsia="仿宋" w:cs="仿宋"/>
          <w:color w:val="auto"/>
          <w:sz w:val="24"/>
          <w:szCs w:val="24"/>
        </w:rPr>
        <w:t>按上述修正错误的原则及方法修正供应商的报价，供应商同意并签字确认后，修正后的报价对供应商具有约束作用。如果供应商不接受修正后的价格，将失去成为成交供应商的资格。</w:t>
      </w:r>
    </w:p>
    <w:p w14:paraId="2CC1DB41">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（五）提交响应文件的份数和签署</w:t>
      </w:r>
    </w:p>
    <w:p w14:paraId="041A1E74">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1.响应文件一式四份，其中</w:t>
      </w:r>
      <w:r>
        <w:rPr>
          <w:rFonts w:hint="eastAsia" w:ascii="仿宋" w:hAnsi="仿宋" w:eastAsia="仿宋" w:cs="仿宋"/>
          <w:b/>
          <w:bCs/>
          <w:color w:val="auto"/>
          <w:sz w:val="24"/>
          <w:szCs w:val="24"/>
        </w:rPr>
        <w:t>正本一份，副本二份，电子文档一份</w:t>
      </w:r>
      <w:r>
        <w:rPr>
          <w:rFonts w:hint="eastAsia" w:ascii="仿宋" w:hAnsi="仿宋" w:eastAsia="仿宋" w:cs="仿宋"/>
          <w:color w:val="auto"/>
          <w:sz w:val="24"/>
          <w:szCs w:val="24"/>
        </w:rPr>
        <w:t>（电子文档内容应与纸质文件正本一致，如不一致以纸质文件正本为准。推荐采用光盘或U盘为电子文档载体）；副本可为正本的复印件，应与正本一致，如出现不一致情况以正本为准。</w:t>
      </w:r>
    </w:p>
    <w:p w14:paraId="26EE7FD6">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2.在响应文件正本中，</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第六篇响应文件编制要求中规定签字、盖章的地方必须按其规定签字、盖章。</w:t>
      </w:r>
    </w:p>
    <w:p w14:paraId="11243E8F">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（六）响应文件的递交</w:t>
      </w:r>
    </w:p>
    <w:p w14:paraId="468ACDE8">
      <w:pPr>
        <w:pStyle w:val="7"/>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1.响应文件的密封与标记</w:t>
      </w:r>
    </w:p>
    <w:p w14:paraId="514DABB7">
      <w:pPr>
        <w:pStyle w:val="7"/>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1.1响应文件的正本、副本以及电子文档均应密封送达</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地点，应在封套上注明</w:t>
      </w:r>
      <w:r>
        <w:rPr>
          <w:rFonts w:hint="eastAsia" w:ascii="方正仿宋_GBK" w:hAnsi="宋体" w:eastAsia="方正仿宋_GBK"/>
          <w:color w:val="auto"/>
          <w:sz w:val="24"/>
          <w:szCs w:val="24"/>
          <w:lang w:eastAsia="zh-CN"/>
        </w:rPr>
        <w:t>项目名称</w:t>
      </w:r>
      <w:r>
        <w:rPr>
          <w:rFonts w:hint="eastAsia" w:ascii="仿宋" w:hAnsi="仿宋" w:eastAsia="仿宋" w:cs="仿宋"/>
          <w:color w:val="auto"/>
          <w:sz w:val="24"/>
          <w:szCs w:val="24"/>
        </w:rPr>
        <w:t>、供应商名称。若正本、副本以及电子文档分别进行密封的，还应在封套上注明“正本”、“副本”、“电子文档”字样。</w:t>
      </w:r>
    </w:p>
    <w:p w14:paraId="20EAA8E5">
      <w:pPr>
        <w:pStyle w:val="7"/>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1.2封套的封口处应加盖供应商公章或由法定代表人授权代表签字。</w:t>
      </w:r>
    </w:p>
    <w:p w14:paraId="7F2B2FCF">
      <w:pPr>
        <w:pStyle w:val="7"/>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2.如果响应文件通过邮寄递交，供应商应将响应文件用内、外两层封套密封。</w:t>
      </w:r>
    </w:p>
    <w:p w14:paraId="005B46F4">
      <w:pPr>
        <w:pStyle w:val="7"/>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2.1内层封套的封装与标记同 “1、”款规定。</w:t>
      </w:r>
    </w:p>
    <w:p w14:paraId="25DBF6AF">
      <w:pPr>
        <w:pStyle w:val="7"/>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2.2外层封套装入“1、”款所述全部内封资料，并注明</w:t>
      </w:r>
      <w:r>
        <w:rPr>
          <w:rFonts w:hint="eastAsia" w:ascii="仿宋" w:hAnsi="仿宋" w:eastAsia="仿宋" w:cs="仿宋"/>
          <w:color w:val="auto"/>
          <w:sz w:val="24"/>
          <w:szCs w:val="24"/>
          <w:lang w:eastAsia="zh-CN"/>
        </w:rPr>
        <w:t>项目名称、</w:t>
      </w:r>
      <w:r>
        <w:rPr>
          <w:rFonts w:hint="eastAsia" w:ascii="仿宋" w:hAnsi="仿宋" w:eastAsia="仿宋" w:cs="仿宋"/>
          <w:color w:val="auto"/>
          <w:sz w:val="24"/>
          <w:szCs w:val="24"/>
        </w:rPr>
        <w:t>同时应写明供应商的名称、地址，以便将迟交的响应文件原封退还。</w:t>
      </w:r>
    </w:p>
    <w:p w14:paraId="23572E02">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3.如果未按上述规定进行密封和标记，采购代理机构对响应文件误投、丢失或提前拆封不负责任。</w:t>
      </w:r>
    </w:p>
    <w:p w14:paraId="07DCF496">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（七）供应商参与人员</w:t>
      </w:r>
    </w:p>
    <w:p w14:paraId="7E82E420">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各个供应商应当派1-2名代表参与</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，至少1人应为法定代表人或具有法定代表人授权委托书的授权代表。</w:t>
      </w:r>
    </w:p>
    <w:p w14:paraId="36135AAB">
      <w:pPr>
        <w:pStyle w:val="5"/>
        <w:spacing w:before="0" w:after="0" w:line="360" w:lineRule="auto"/>
        <w:rPr>
          <w:rFonts w:hint="eastAsia" w:ascii="仿宋" w:hAnsi="仿宋" w:eastAsia="仿宋" w:cs="仿宋"/>
          <w:color w:val="auto"/>
          <w:sz w:val="24"/>
          <w:szCs w:val="24"/>
        </w:rPr>
      </w:pPr>
      <w:bookmarkStart w:id="156" w:name="_Toc23772"/>
      <w:r>
        <w:rPr>
          <w:rFonts w:hint="eastAsia" w:ascii="仿宋" w:hAnsi="仿宋" w:eastAsia="仿宋" w:cs="仿宋"/>
          <w:color w:val="auto"/>
          <w:sz w:val="24"/>
          <w:szCs w:val="24"/>
        </w:rPr>
        <w:t>四、成交供应商的确认和变更</w:t>
      </w:r>
      <w:bookmarkEnd w:id="156"/>
    </w:p>
    <w:p w14:paraId="205CC3E8">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（一）成交供应商的确认</w:t>
      </w:r>
    </w:p>
    <w:p w14:paraId="6F127D9F">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采购代理机构应当在评审结束后2个工作日内将评审报告送采购人确认。采购人应当在收到评审报告后5个工作日内，从评审报告提出的成交候选供应商中，按照排序由高到低的原则确定成交供应商，也可以书面授权</w:t>
      </w:r>
      <w:r>
        <w:rPr>
          <w:rFonts w:hint="eastAsia" w:ascii="仿宋" w:hAnsi="仿宋" w:eastAsia="仿宋" w:cs="仿宋"/>
          <w:color w:val="auto"/>
          <w:sz w:val="24"/>
          <w:szCs w:val="24"/>
          <w:lang w:eastAsia="zh-CN"/>
        </w:rPr>
        <w:t>评审小组</w:t>
      </w:r>
      <w:r>
        <w:rPr>
          <w:rFonts w:hint="eastAsia" w:ascii="仿宋" w:hAnsi="仿宋" w:eastAsia="仿宋" w:cs="仿宋"/>
          <w:color w:val="auto"/>
          <w:sz w:val="24"/>
          <w:szCs w:val="24"/>
        </w:rPr>
        <w:t>直接确定成交供应商。采购人逾期未确定成交供应商且不提出异议的，视为确定评审报告提出的排序第一的供应商为成交供应商。</w:t>
      </w:r>
    </w:p>
    <w:p w14:paraId="745ACAD0">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（二）成交供应商的变更</w:t>
      </w:r>
    </w:p>
    <w:p w14:paraId="1340AEAD">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成交供应商拒绝与采购人签订合同的，采购人可以按照评标报告推荐的成交候选供应商顺序，确定排名下一位的候选人为成交供应商，也可以重新开展政府采购活动。</w:t>
      </w:r>
    </w:p>
    <w:p w14:paraId="0E9E68B7">
      <w:pPr>
        <w:pStyle w:val="5"/>
        <w:spacing w:before="0" w:after="0" w:line="360" w:lineRule="auto"/>
        <w:rPr>
          <w:rFonts w:hint="eastAsia" w:ascii="仿宋" w:hAnsi="仿宋" w:eastAsia="仿宋" w:cs="仿宋"/>
          <w:color w:val="auto"/>
          <w:sz w:val="24"/>
          <w:szCs w:val="24"/>
        </w:rPr>
      </w:pPr>
      <w:bookmarkStart w:id="157" w:name="_Toc26702"/>
      <w:bookmarkStart w:id="158" w:name="_Toc342913395"/>
      <w:bookmarkStart w:id="159" w:name="_Toc102227321"/>
      <w:r>
        <w:rPr>
          <w:rFonts w:hint="eastAsia" w:ascii="仿宋" w:hAnsi="仿宋" w:eastAsia="仿宋" w:cs="仿宋"/>
          <w:color w:val="auto"/>
          <w:sz w:val="24"/>
          <w:szCs w:val="24"/>
        </w:rPr>
        <w:t>五、成交通知</w:t>
      </w:r>
      <w:bookmarkEnd w:id="157"/>
      <w:bookmarkEnd w:id="158"/>
      <w:bookmarkEnd w:id="159"/>
    </w:p>
    <w:p w14:paraId="7678634E">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（一）结果出来后三个工作日，采购代理机构将以书面形式发出《成交通知书》。《成交通知书》一经发出即发生法律效力。</w:t>
      </w:r>
    </w:p>
    <w:p w14:paraId="5B0FA1DC">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（二）《成交通知书》将作为签订合同的依据。</w:t>
      </w:r>
    </w:p>
    <w:p w14:paraId="3A9C2B4C">
      <w:pPr>
        <w:pStyle w:val="5"/>
        <w:spacing w:before="0" w:after="0" w:line="360" w:lineRule="auto"/>
        <w:rPr>
          <w:rFonts w:hint="eastAsia" w:ascii="仿宋" w:hAnsi="仿宋" w:eastAsia="仿宋" w:cs="仿宋"/>
          <w:color w:val="auto"/>
          <w:sz w:val="24"/>
          <w:szCs w:val="24"/>
        </w:rPr>
      </w:pPr>
      <w:bookmarkStart w:id="160" w:name="_Toc12204"/>
      <w:r>
        <w:rPr>
          <w:rFonts w:hint="eastAsia" w:ascii="仿宋" w:hAnsi="仿宋" w:eastAsia="仿宋" w:cs="仿宋"/>
          <w:color w:val="auto"/>
          <w:sz w:val="24"/>
          <w:szCs w:val="24"/>
          <w:lang w:val="en-US" w:eastAsia="zh-CN"/>
        </w:rPr>
        <w:t>六</w:t>
      </w:r>
      <w:r>
        <w:rPr>
          <w:rFonts w:hint="eastAsia" w:ascii="仿宋" w:hAnsi="仿宋" w:eastAsia="仿宋" w:cs="仿宋"/>
          <w:color w:val="auto"/>
          <w:sz w:val="24"/>
          <w:szCs w:val="24"/>
        </w:rPr>
        <w:t>、采购代理服务费</w:t>
      </w:r>
      <w:bookmarkEnd w:id="160"/>
    </w:p>
    <w:p w14:paraId="7AA75E66">
      <w:pPr>
        <w:pStyle w:val="5"/>
        <w:spacing w:before="0" w:after="0" w:line="360" w:lineRule="auto"/>
        <w:ind w:firstLine="720" w:firstLineChars="300"/>
        <w:rPr>
          <w:rFonts w:hint="eastAsia" w:ascii="仿宋" w:hAnsi="仿宋" w:eastAsia="仿宋" w:cs="仿宋"/>
          <w:b w:val="0"/>
          <w:color w:val="auto"/>
          <w:kern w:val="2"/>
          <w:sz w:val="24"/>
          <w:szCs w:val="24"/>
          <w:lang w:val="en-US" w:eastAsia="zh-CN" w:bidi="ar-SA"/>
        </w:rPr>
      </w:pPr>
      <w:bookmarkStart w:id="161" w:name="_Toc838"/>
      <w:bookmarkStart w:id="162" w:name="_Toc19437"/>
      <w:bookmarkStart w:id="163" w:name="_Toc2127"/>
      <w:bookmarkStart w:id="164" w:name="_Toc11744"/>
      <w:bookmarkStart w:id="165" w:name="_Toc102227322"/>
      <w:bookmarkStart w:id="166" w:name="_Toc342913396"/>
      <w:bookmarkStart w:id="167" w:name="_Toc11641055"/>
      <w:bookmarkStart w:id="168" w:name="_Toc12789059"/>
      <w:r>
        <w:rPr>
          <w:rFonts w:hint="eastAsia" w:ascii="仿宋" w:hAnsi="仿宋" w:eastAsia="仿宋" w:cs="仿宋"/>
          <w:b w:val="0"/>
          <w:color w:val="auto"/>
          <w:kern w:val="2"/>
          <w:sz w:val="24"/>
          <w:szCs w:val="24"/>
          <w:lang w:val="en-US" w:eastAsia="zh-CN" w:bidi="ar-SA"/>
        </w:rPr>
        <w:t>成交供应商在领取成交通知书前向代理机构缴纳采购代理服务费，</w:t>
      </w:r>
      <w:bookmarkEnd w:id="161"/>
      <w:bookmarkEnd w:id="162"/>
      <w:bookmarkEnd w:id="163"/>
      <w:r>
        <w:rPr>
          <w:rFonts w:hint="eastAsia" w:ascii="仿宋" w:hAnsi="仿宋" w:eastAsia="仿宋" w:cs="仿宋"/>
          <w:b w:val="0"/>
          <w:color w:val="auto"/>
          <w:kern w:val="2"/>
          <w:sz w:val="24"/>
          <w:szCs w:val="24"/>
          <w:lang w:val="en-US" w:eastAsia="zh-CN" w:bidi="ar-SA"/>
        </w:rPr>
        <w:t>计算方式：参照计价格〔2002〕1980号和发改价格〔2011〕534号，计算基数暂按478221元，478221×1.50％=7173.32元，打7折5021.32元，后续以此价格再按中标折扣打折（同比例下浮）。</w:t>
      </w:r>
      <w:bookmarkEnd w:id="164"/>
    </w:p>
    <w:p w14:paraId="4706E43F">
      <w:pPr>
        <w:pStyle w:val="5"/>
        <w:spacing w:before="0" w:after="0" w:line="360" w:lineRule="auto"/>
        <w:rPr>
          <w:rFonts w:hint="eastAsia" w:ascii="仿宋" w:hAnsi="仿宋" w:eastAsia="仿宋" w:cs="仿宋"/>
          <w:color w:val="auto"/>
          <w:sz w:val="24"/>
          <w:szCs w:val="24"/>
        </w:rPr>
      </w:pPr>
      <w:bookmarkStart w:id="169" w:name="_Toc16904"/>
      <w:r>
        <w:rPr>
          <w:rFonts w:hint="eastAsia" w:ascii="仿宋" w:hAnsi="仿宋" w:eastAsia="仿宋" w:cs="仿宋"/>
          <w:color w:val="auto"/>
          <w:sz w:val="24"/>
          <w:szCs w:val="24"/>
          <w:lang w:val="en-US" w:eastAsia="zh-CN"/>
        </w:rPr>
        <w:t>七</w:t>
      </w:r>
      <w:r>
        <w:rPr>
          <w:rFonts w:hint="eastAsia" w:ascii="仿宋" w:hAnsi="仿宋" w:eastAsia="仿宋" w:cs="仿宋"/>
          <w:color w:val="auto"/>
          <w:sz w:val="24"/>
          <w:szCs w:val="24"/>
        </w:rPr>
        <w:t>、签订</w:t>
      </w:r>
      <w:bookmarkEnd w:id="165"/>
      <w:r>
        <w:rPr>
          <w:rFonts w:hint="eastAsia" w:ascii="仿宋" w:hAnsi="仿宋" w:eastAsia="仿宋" w:cs="仿宋"/>
          <w:color w:val="auto"/>
          <w:sz w:val="24"/>
          <w:szCs w:val="24"/>
        </w:rPr>
        <w:t>合同</w:t>
      </w:r>
      <w:bookmarkEnd w:id="166"/>
      <w:bookmarkEnd w:id="169"/>
    </w:p>
    <w:p w14:paraId="34906651">
      <w:pPr>
        <w:spacing w:line="360" w:lineRule="auto"/>
        <w:ind w:firstLine="360" w:firstLineChars="150"/>
        <w:rPr>
          <w:rFonts w:hint="eastAsia" w:ascii="仿宋" w:hAnsi="仿宋" w:eastAsia="仿宋" w:cs="仿宋"/>
          <w:color w:val="auto"/>
          <w:sz w:val="24"/>
          <w:szCs w:val="24"/>
        </w:rPr>
      </w:pPr>
      <w:r>
        <w:rPr>
          <w:rFonts w:hint="eastAsia" w:ascii="仿宋" w:hAnsi="仿宋" w:eastAsia="仿宋" w:cs="仿宋"/>
          <w:b w:val="0"/>
          <w:bCs w:val="0"/>
          <w:color w:val="auto"/>
          <w:sz w:val="24"/>
          <w:szCs w:val="24"/>
        </w:rPr>
        <w:t>（一）采购人应当自成交通知书发出之日起</w:t>
      </w:r>
      <w:r>
        <w:rPr>
          <w:rFonts w:hint="eastAsia" w:ascii="仿宋" w:hAnsi="仿宋" w:eastAsia="仿宋" w:cs="仿宋"/>
          <w:b w:val="0"/>
          <w:bCs w:val="0"/>
          <w:color w:val="auto"/>
          <w:sz w:val="24"/>
          <w:szCs w:val="24"/>
          <w:lang w:val="en-US" w:eastAsia="zh-CN"/>
        </w:rPr>
        <w:t>二</w:t>
      </w:r>
      <w:r>
        <w:rPr>
          <w:rFonts w:hint="eastAsia" w:ascii="仿宋" w:hAnsi="仿宋" w:eastAsia="仿宋" w:cs="仿宋"/>
          <w:b w:val="0"/>
          <w:bCs w:val="0"/>
          <w:color w:val="auto"/>
          <w:sz w:val="24"/>
          <w:szCs w:val="24"/>
        </w:rPr>
        <w:t>十日内，按照</w:t>
      </w:r>
      <w:r>
        <w:rPr>
          <w:rFonts w:hint="eastAsia" w:ascii="仿宋" w:hAnsi="仿宋" w:eastAsia="仿宋" w:cs="仿宋"/>
          <w:b w:val="0"/>
          <w:bCs w:val="0"/>
          <w:color w:val="auto"/>
          <w:sz w:val="24"/>
          <w:szCs w:val="24"/>
          <w:lang w:eastAsia="zh-CN"/>
        </w:rPr>
        <w:t>询比文件</w:t>
      </w:r>
      <w:r>
        <w:rPr>
          <w:rFonts w:hint="eastAsia" w:ascii="仿宋" w:hAnsi="仿宋" w:eastAsia="仿宋" w:cs="仿宋"/>
          <w:b w:val="0"/>
          <w:bCs w:val="0"/>
          <w:color w:val="auto"/>
          <w:sz w:val="24"/>
          <w:szCs w:val="24"/>
        </w:rPr>
        <w:t>和成交供应商响应文件的约定，与成交供应商签订书面合同。所签订的合同</w:t>
      </w:r>
      <w:r>
        <w:rPr>
          <w:rFonts w:hint="eastAsia" w:ascii="仿宋" w:hAnsi="仿宋" w:eastAsia="仿宋" w:cs="仿宋"/>
          <w:color w:val="auto"/>
          <w:sz w:val="24"/>
          <w:szCs w:val="24"/>
        </w:rPr>
        <w:t>不得对</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和供应商的响应文件作实质性修改。</w:t>
      </w:r>
    </w:p>
    <w:p w14:paraId="3E22F215">
      <w:pPr>
        <w:spacing w:line="360" w:lineRule="auto"/>
        <w:ind w:firstLine="360" w:firstLineChars="150"/>
        <w:rPr>
          <w:rFonts w:hint="eastAsia" w:ascii="仿宋" w:hAnsi="仿宋" w:eastAsia="仿宋" w:cs="仿宋"/>
          <w:color w:val="auto"/>
          <w:sz w:val="24"/>
          <w:szCs w:val="24"/>
        </w:rPr>
      </w:pPr>
      <w:r>
        <w:rPr>
          <w:rFonts w:hint="eastAsia" w:ascii="仿宋" w:hAnsi="仿宋" w:eastAsia="仿宋" w:cs="仿宋"/>
          <w:color w:val="auto"/>
          <w:sz w:val="24"/>
          <w:szCs w:val="24"/>
        </w:rPr>
        <w:t>（二）</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、供应商的响应文件及澄清文件等，均为签订</w:t>
      </w:r>
      <w:r>
        <w:rPr>
          <w:rFonts w:hint="eastAsia" w:ascii="仿宋" w:hAnsi="仿宋" w:eastAsia="仿宋" w:cs="仿宋"/>
          <w:color w:val="auto"/>
          <w:sz w:val="24"/>
          <w:szCs w:val="24"/>
          <w:lang w:eastAsia="zh-CN"/>
        </w:rPr>
        <w:t>采购合同</w:t>
      </w:r>
      <w:r>
        <w:rPr>
          <w:rFonts w:hint="eastAsia" w:ascii="仿宋" w:hAnsi="仿宋" w:eastAsia="仿宋" w:cs="仿宋"/>
          <w:color w:val="auto"/>
          <w:sz w:val="24"/>
          <w:szCs w:val="24"/>
        </w:rPr>
        <w:t>的依据。</w:t>
      </w:r>
    </w:p>
    <w:p w14:paraId="1D4E8DF6">
      <w:pPr>
        <w:spacing w:line="360" w:lineRule="auto"/>
        <w:ind w:firstLine="360" w:firstLineChars="150"/>
        <w:rPr>
          <w:rFonts w:hint="eastAsia" w:ascii="仿宋" w:hAnsi="仿宋" w:eastAsia="仿宋" w:cs="仿宋"/>
          <w:color w:val="auto"/>
          <w:sz w:val="24"/>
          <w:szCs w:val="24"/>
        </w:rPr>
      </w:pPr>
      <w:r>
        <w:rPr>
          <w:rFonts w:hint="eastAsia" w:ascii="仿宋" w:hAnsi="仿宋" w:eastAsia="仿宋" w:cs="仿宋"/>
          <w:color w:val="auto"/>
          <w:sz w:val="24"/>
          <w:szCs w:val="24"/>
        </w:rPr>
        <w:t>（三）合同生效条款由供需双方约定，法律、行政法规规定应当办理批准、登记等手续后生效的合同，依照其规定。</w:t>
      </w:r>
    </w:p>
    <w:p w14:paraId="574545E9">
      <w:pPr>
        <w:spacing w:line="360" w:lineRule="auto"/>
        <w:ind w:firstLine="360" w:firstLineChars="150"/>
        <w:rPr>
          <w:rFonts w:hint="eastAsia" w:ascii="仿宋" w:hAnsi="仿宋" w:eastAsia="仿宋" w:cs="仿宋"/>
          <w:color w:val="auto"/>
          <w:sz w:val="24"/>
          <w:szCs w:val="24"/>
        </w:rPr>
      </w:pPr>
      <w:r>
        <w:rPr>
          <w:rFonts w:hint="eastAsia" w:ascii="仿宋" w:hAnsi="仿宋" w:eastAsia="仿宋" w:cs="仿宋"/>
          <w:color w:val="auto"/>
          <w:sz w:val="24"/>
          <w:szCs w:val="24"/>
        </w:rPr>
        <w:t>（四）合同原则上应按照《重庆市</w:t>
      </w:r>
      <w:r>
        <w:rPr>
          <w:rFonts w:hint="eastAsia" w:ascii="仿宋" w:hAnsi="仿宋" w:eastAsia="仿宋" w:cs="仿宋"/>
          <w:color w:val="auto"/>
          <w:sz w:val="24"/>
          <w:szCs w:val="24"/>
          <w:lang w:eastAsia="zh-CN"/>
        </w:rPr>
        <w:t>采购合同</w:t>
      </w:r>
      <w:r>
        <w:rPr>
          <w:rFonts w:hint="eastAsia" w:ascii="仿宋" w:hAnsi="仿宋" w:eastAsia="仿宋" w:cs="仿宋"/>
          <w:color w:val="auto"/>
          <w:sz w:val="24"/>
          <w:szCs w:val="24"/>
        </w:rPr>
        <w:t>》签订，相关单位要求适用合同通用格式版本的，应按其要求另行签订其他合同。</w:t>
      </w:r>
    </w:p>
    <w:p w14:paraId="0BC1886B">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（五）采购人要求成交供应商提供履约保证金的，应当在</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中予以约定。成交供应商履约完毕后，采购人根据采购文件规定无息退还其履约保证金。</w:t>
      </w:r>
    </w:p>
    <w:p w14:paraId="49712CEE">
      <w:pPr>
        <w:pStyle w:val="4"/>
        <w:spacing w:before="0" w:after="0" w:line="360" w:lineRule="auto"/>
        <w:jc w:val="center"/>
        <w:rPr>
          <w:rFonts w:hint="eastAsia" w:ascii="仿宋" w:hAnsi="仿宋" w:eastAsia="仿宋" w:cs="仿宋"/>
          <w:b w:val="0"/>
          <w:color w:val="auto"/>
          <w:sz w:val="36"/>
          <w:szCs w:val="30"/>
          <w:lang w:eastAsia="zh-CN"/>
        </w:rPr>
      </w:pPr>
      <w:bookmarkStart w:id="170" w:name="_Toc30264"/>
      <w:r>
        <w:rPr>
          <w:rFonts w:hint="eastAsia" w:ascii="仿宋" w:hAnsi="仿宋" w:eastAsia="仿宋" w:cs="仿宋"/>
          <w:b w:val="0"/>
          <w:color w:val="auto"/>
          <w:sz w:val="36"/>
          <w:szCs w:val="30"/>
        </w:rPr>
        <w:t xml:space="preserve">第六篇  </w:t>
      </w:r>
      <w:bookmarkEnd w:id="167"/>
      <w:bookmarkEnd w:id="168"/>
      <w:r>
        <w:rPr>
          <w:rFonts w:hint="eastAsia" w:ascii="仿宋" w:hAnsi="仿宋" w:eastAsia="仿宋" w:cs="仿宋"/>
          <w:b w:val="0"/>
          <w:color w:val="auto"/>
          <w:sz w:val="36"/>
          <w:szCs w:val="30"/>
          <w:lang w:eastAsia="zh-CN"/>
        </w:rPr>
        <w:t>采购合同</w:t>
      </w:r>
      <w:bookmarkEnd w:id="170"/>
    </w:p>
    <w:p w14:paraId="51939ECC">
      <w:pPr>
        <w:tabs>
          <w:tab w:val="left" w:pos="9000"/>
        </w:tabs>
        <w:spacing w:line="360" w:lineRule="auto"/>
        <w:jc w:val="center"/>
        <w:rPr>
          <w:rFonts w:hint="eastAsia" w:ascii="仿宋" w:hAnsi="仿宋" w:eastAsia="仿宋" w:cs="仿宋"/>
          <w:color w:val="auto"/>
          <w:sz w:val="21"/>
          <w:szCs w:val="21"/>
        </w:rPr>
        <w:sectPr>
          <w:footerReference r:id="rId9" w:type="default"/>
          <w:footerReference r:id="rId10" w:type="even"/>
          <w:pgSz w:w="11907" w:h="16840"/>
          <w:pgMar w:top="1134" w:right="1191" w:bottom="1134" w:left="1304" w:header="964" w:footer="992" w:gutter="0"/>
          <w:pgNumType w:fmt="numberInDash"/>
          <w:cols w:space="720" w:num="1"/>
          <w:docGrid w:linePitch="312" w:charSpace="0"/>
        </w:sectPr>
      </w:pPr>
      <w:bookmarkStart w:id="171" w:name="_Hlt41879464"/>
      <w:bookmarkEnd w:id="171"/>
      <w:bookmarkStart w:id="172" w:name="_Toc28894"/>
      <w:r>
        <w:rPr>
          <w:rFonts w:hint="eastAsia" w:ascii="仿宋" w:hAnsi="仿宋" w:eastAsia="仿宋" w:cs="仿宋"/>
          <w:b w:val="0"/>
          <w:color w:val="auto"/>
          <w:sz w:val="28"/>
          <w:szCs w:val="24"/>
          <w:lang w:eastAsia="zh-CN"/>
        </w:rPr>
        <w:t>根据项目情况自拟。</w:t>
      </w:r>
    </w:p>
    <w:p w14:paraId="53D2217A">
      <w:pPr>
        <w:pStyle w:val="4"/>
        <w:spacing w:before="0" w:after="0" w:line="360" w:lineRule="auto"/>
        <w:jc w:val="center"/>
        <w:rPr>
          <w:rFonts w:hint="eastAsia" w:ascii="仿宋" w:hAnsi="仿宋" w:eastAsia="仿宋" w:cs="仿宋"/>
          <w:b w:val="0"/>
          <w:color w:val="auto"/>
          <w:sz w:val="36"/>
          <w:szCs w:val="30"/>
        </w:rPr>
      </w:pPr>
      <w:r>
        <w:rPr>
          <w:rFonts w:hint="eastAsia" w:ascii="仿宋" w:hAnsi="仿宋" w:eastAsia="仿宋" w:cs="仿宋"/>
          <w:b w:val="0"/>
          <w:color w:val="auto"/>
          <w:sz w:val="36"/>
          <w:szCs w:val="30"/>
        </w:rPr>
        <w:t>第七篇  响应文件编制要求</w:t>
      </w:r>
      <w:bookmarkEnd w:id="172"/>
    </w:p>
    <w:p w14:paraId="6ED2433E">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一、经济部分</w:t>
      </w:r>
    </w:p>
    <w:p w14:paraId="20403AFD">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（一）报价函</w:t>
      </w:r>
    </w:p>
    <w:p w14:paraId="39B2CE24">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二、服务部分</w:t>
      </w:r>
    </w:p>
    <w:p w14:paraId="35079861">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（一）服务方案</w:t>
      </w:r>
    </w:p>
    <w:p w14:paraId="43112CB2">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（二）服务响应偏离表</w:t>
      </w:r>
    </w:p>
    <w:p w14:paraId="56FFCCC0">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三、商务部分</w:t>
      </w:r>
    </w:p>
    <w:p w14:paraId="4907BA48">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（一）商务要求响应情况：服务期及地点、报价要求、质量保证及售后服务等。</w:t>
      </w:r>
    </w:p>
    <w:p w14:paraId="4B40BCA7">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（二）商务响应偏离表</w:t>
      </w:r>
    </w:p>
    <w:p w14:paraId="7413CF0D">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（三）商务部分评分资料</w:t>
      </w:r>
    </w:p>
    <w:p w14:paraId="64024307">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四、资格条件及其他</w:t>
      </w:r>
    </w:p>
    <w:p w14:paraId="298BCF7D">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（一）营业执照（副本）或事业单位法人证书（副本）复印件</w:t>
      </w:r>
    </w:p>
    <w:p w14:paraId="2BAFAB5C">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二</w:t>
      </w:r>
      <w:r>
        <w:rPr>
          <w:rFonts w:hint="eastAsia" w:ascii="仿宋" w:hAnsi="仿宋" w:eastAsia="仿宋" w:cs="仿宋"/>
          <w:color w:val="auto"/>
          <w:sz w:val="24"/>
          <w:szCs w:val="24"/>
        </w:rPr>
        <w:t>）法定代表人身份证明书（格式）</w:t>
      </w:r>
    </w:p>
    <w:p w14:paraId="3BB804B4">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三</w:t>
      </w:r>
      <w:r>
        <w:rPr>
          <w:rFonts w:hint="eastAsia" w:ascii="仿宋" w:hAnsi="仿宋" w:eastAsia="仿宋" w:cs="仿宋"/>
          <w:color w:val="auto"/>
          <w:sz w:val="24"/>
          <w:szCs w:val="24"/>
        </w:rPr>
        <w:t>）法定代表人授权委托书（格式）</w:t>
      </w:r>
    </w:p>
    <w:p w14:paraId="14DFB24B">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四</w:t>
      </w:r>
      <w:r>
        <w:rPr>
          <w:rFonts w:hint="eastAsia" w:ascii="仿宋" w:hAnsi="仿宋" w:eastAsia="仿宋" w:cs="仿宋"/>
          <w:color w:val="auto"/>
          <w:sz w:val="24"/>
          <w:szCs w:val="24"/>
        </w:rPr>
        <w:t>）</w:t>
      </w:r>
      <w:r>
        <w:rPr>
          <w:rFonts w:hint="eastAsia" w:ascii="仿宋" w:hAnsi="仿宋" w:eastAsia="仿宋" w:cs="仿宋"/>
          <w:color w:val="auto"/>
          <w:sz w:val="24"/>
          <w:szCs w:val="24"/>
          <w:lang w:eastAsia="zh-CN"/>
        </w:rPr>
        <w:t>基本资格条件承诺函</w:t>
      </w:r>
      <w:r>
        <w:rPr>
          <w:rFonts w:hint="eastAsia" w:ascii="仿宋" w:hAnsi="仿宋" w:eastAsia="仿宋" w:cs="仿宋"/>
          <w:color w:val="auto"/>
          <w:sz w:val="24"/>
          <w:szCs w:val="24"/>
        </w:rPr>
        <w:t>（格式）</w:t>
      </w:r>
    </w:p>
    <w:p w14:paraId="0CA67360">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五</w:t>
      </w:r>
      <w:r>
        <w:rPr>
          <w:rFonts w:hint="eastAsia" w:ascii="仿宋" w:hAnsi="仿宋" w:eastAsia="仿宋" w:cs="仿宋"/>
          <w:color w:val="auto"/>
          <w:sz w:val="24"/>
          <w:szCs w:val="24"/>
        </w:rPr>
        <w:t>）特定资格条件证书或证明文件</w:t>
      </w:r>
    </w:p>
    <w:p w14:paraId="6EEC4ABE">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五、其他资料</w:t>
      </w:r>
    </w:p>
    <w:p w14:paraId="2ED129E7">
      <w:pPr>
        <w:snapToGrid w:val="0"/>
        <w:spacing w:line="360" w:lineRule="auto"/>
        <w:rPr>
          <w:rFonts w:hint="eastAsia" w:ascii="仿宋" w:hAnsi="仿宋" w:eastAsia="仿宋" w:cs="仿宋"/>
          <w:color w:val="auto"/>
          <w:sz w:val="24"/>
          <w:szCs w:val="24"/>
          <w:bdr w:val="single" w:color="auto" w:sz="4" w:space="0"/>
        </w:rPr>
        <w:sectPr>
          <w:footerReference r:id="rId11" w:type="default"/>
          <w:pgSz w:w="11907" w:h="16840"/>
          <w:pgMar w:top="1134" w:right="1191" w:bottom="1134" w:left="1304" w:header="851" w:footer="992" w:gutter="0"/>
          <w:pgNumType w:fmt="numberInDash"/>
          <w:cols w:space="720" w:num="1"/>
          <w:docGrid w:linePitch="380" w:charSpace="-5735"/>
        </w:sectPr>
      </w:pPr>
      <w:r>
        <w:rPr>
          <w:rFonts w:hint="eastAsia" w:ascii="仿宋" w:hAnsi="仿宋" w:eastAsia="仿宋" w:cs="仿宋"/>
          <w:color w:val="auto"/>
          <w:sz w:val="24"/>
          <w:szCs w:val="24"/>
        </w:rPr>
        <w:t xml:space="preserve">  </w:t>
      </w:r>
      <w:r>
        <w:rPr>
          <w:rFonts w:hint="eastAsia" w:ascii="仿宋" w:hAnsi="仿宋" w:eastAsia="仿宋" w:cs="仿宋"/>
          <w:color w:val="auto"/>
          <w:sz w:val="24"/>
          <w:szCs w:val="24"/>
          <w:lang w:val="en-US" w:eastAsia="zh-CN"/>
        </w:rPr>
        <w:t xml:space="preserve"> </w:t>
      </w:r>
      <w:r>
        <w:rPr>
          <w:rFonts w:hint="eastAsia" w:ascii="仿宋" w:hAnsi="仿宋" w:eastAsia="仿宋" w:cs="仿宋"/>
          <w:color w:val="auto"/>
          <w:sz w:val="24"/>
          <w:szCs w:val="24"/>
        </w:rPr>
        <w:t xml:space="preserve"> （</w:t>
      </w:r>
      <w:r>
        <w:rPr>
          <w:rFonts w:hint="eastAsia" w:ascii="仿宋" w:hAnsi="仿宋" w:eastAsia="仿宋" w:cs="仿宋"/>
          <w:color w:val="auto"/>
          <w:sz w:val="24"/>
          <w:szCs w:val="24"/>
          <w:lang w:val="en-US" w:eastAsia="zh-CN"/>
        </w:rPr>
        <w:t>一</w:t>
      </w:r>
      <w:r>
        <w:rPr>
          <w:rFonts w:hint="eastAsia" w:ascii="仿宋" w:hAnsi="仿宋" w:eastAsia="仿宋" w:cs="仿宋"/>
          <w:color w:val="auto"/>
          <w:sz w:val="24"/>
          <w:szCs w:val="24"/>
        </w:rPr>
        <w:t>）其他与项目有关的资料</w:t>
      </w:r>
    </w:p>
    <w:p w14:paraId="235319D7">
      <w:pPr>
        <w:pStyle w:val="5"/>
        <w:spacing w:before="0" w:after="0" w:line="360" w:lineRule="auto"/>
        <w:rPr>
          <w:rFonts w:hint="eastAsia" w:ascii="仿宋" w:hAnsi="仿宋" w:eastAsia="仿宋" w:cs="仿宋"/>
          <w:color w:val="auto"/>
          <w:sz w:val="24"/>
          <w:szCs w:val="24"/>
        </w:rPr>
      </w:pPr>
      <w:bookmarkStart w:id="173" w:name="_Toc16314"/>
      <w:bookmarkStart w:id="174" w:name="_Toc313008356"/>
      <w:bookmarkStart w:id="175" w:name="_Toc313888360"/>
      <w:bookmarkStart w:id="176" w:name="_Toc342913419"/>
      <w:bookmarkStart w:id="177" w:name="_Toc12789073"/>
      <w:bookmarkStart w:id="178" w:name="_Toc283382454"/>
      <w:r>
        <w:rPr>
          <w:rFonts w:hint="eastAsia" w:ascii="仿宋" w:hAnsi="仿宋" w:eastAsia="仿宋" w:cs="仿宋"/>
          <w:color w:val="auto"/>
          <w:sz w:val="24"/>
          <w:szCs w:val="24"/>
        </w:rPr>
        <w:t>一、经济部分</w:t>
      </w:r>
      <w:bookmarkEnd w:id="173"/>
      <w:bookmarkEnd w:id="174"/>
      <w:bookmarkEnd w:id="175"/>
      <w:bookmarkEnd w:id="176"/>
    </w:p>
    <w:bookmarkEnd w:id="177"/>
    <w:bookmarkEnd w:id="178"/>
    <w:p w14:paraId="796B0370">
      <w:pPr>
        <w:tabs>
          <w:tab w:val="left" w:pos="6300"/>
        </w:tabs>
        <w:snapToGrid w:val="0"/>
        <w:spacing w:line="360" w:lineRule="auto"/>
        <w:ind w:firstLine="420" w:firstLineChars="200"/>
        <w:rPr>
          <w:rFonts w:hint="eastAsia" w:ascii="仿宋" w:hAnsi="仿宋" w:eastAsia="仿宋" w:cs="仿宋"/>
          <w:color w:val="auto"/>
          <w:szCs w:val="28"/>
        </w:rPr>
      </w:pPr>
      <w:r>
        <w:rPr>
          <w:rFonts w:hint="eastAsia" w:ascii="仿宋" w:hAnsi="仿宋" w:eastAsia="仿宋" w:cs="仿宋"/>
          <w:color w:val="auto"/>
          <w:szCs w:val="28"/>
        </w:rPr>
        <w:t>（一）报价函</w:t>
      </w:r>
    </w:p>
    <w:p w14:paraId="1A03FAD6">
      <w:pPr>
        <w:tabs>
          <w:tab w:val="left" w:pos="6300"/>
        </w:tabs>
        <w:snapToGrid w:val="0"/>
        <w:spacing w:line="360" w:lineRule="auto"/>
        <w:jc w:val="center"/>
        <w:outlineLvl w:val="0"/>
        <w:rPr>
          <w:rFonts w:hint="eastAsia" w:ascii="仿宋" w:hAnsi="仿宋" w:eastAsia="仿宋" w:cs="仿宋"/>
          <w:b/>
          <w:color w:val="auto"/>
          <w:szCs w:val="28"/>
        </w:rPr>
      </w:pPr>
      <w:r>
        <w:rPr>
          <w:rFonts w:hint="eastAsia" w:ascii="仿宋" w:hAnsi="仿宋" w:eastAsia="仿宋" w:cs="仿宋"/>
          <w:b/>
          <w:color w:val="auto"/>
          <w:szCs w:val="28"/>
        </w:rPr>
        <w:t>报价函</w:t>
      </w:r>
    </w:p>
    <w:p w14:paraId="255B0438">
      <w:pPr>
        <w:tabs>
          <w:tab w:val="left" w:pos="6300"/>
        </w:tabs>
        <w:snapToGrid w:val="0"/>
        <w:spacing w:line="360" w:lineRule="auto"/>
        <w:rPr>
          <w:rFonts w:hint="eastAsia" w:ascii="仿宋" w:hAnsi="仿宋" w:eastAsia="仿宋" w:cs="仿宋"/>
          <w:color w:val="auto"/>
          <w:sz w:val="24"/>
          <w:szCs w:val="24"/>
        </w:rPr>
      </w:pPr>
      <w:r>
        <w:rPr>
          <w:rFonts w:hint="eastAsia" w:ascii="仿宋" w:hAnsi="仿宋" w:eastAsia="仿宋" w:cs="仿宋"/>
          <w:color w:val="auto"/>
          <w:sz w:val="24"/>
          <w:szCs w:val="24"/>
          <w:u w:val="single"/>
        </w:rPr>
        <w:t>（采购人名称）</w:t>
      </w:r>
      <w:r>
        <w:rPr>
          <w:rFonts w:hint="eastAsia" w:ascii="仿宋" w:hAnsi="仿宋" w:eastAsia="仿宋" w:cs="仿宋"/>
          <w:color w:val="auto"/>
          <w:sz w:val="24"/>
          <w:szCs w:val="24"/>
        </w:rPr>
        <w:t>：</w:t>
      </w:r>
    </w:p>
    <w:p w14:paraId="53F60C2A">
      <w:pPr>
        <w:tabs>
          <w:tab w:val="left" w:pos="6300"/>
        </w:tabs>
        <w:snapToGrid w:val="0"/>
        <w:spacing w:line="312" w:lineRule="auto"/>
        <w:ind w:firstLine="480" w:firstLineChars="200"/>
        <w:rPr>
          <w:rFonts w:hint="eastAsia" w:ascii="方正仿宋_GBK" w:hAnsi="宋体" w:eastAsia="方正仿宋_GBK"/>
          <w:color w:val="auto"/>
          <w:sz w:val="24"/>
          <w:szCs w:val="24"/>
        </w:rPr>
      </w:pPr>
      <w:r>
        <w:rPr>
          <w:rFonts w:hint="eastAsia" w:ascii="方正仿宋_GBK" w:hAnsi="宋体" w:eastAsia="方正仿宋_GBK"/>
          <w:color w:val="auto"/>
          <w:sz w:val="24"/>
          <w:szCs w:val="24"/>
        </w:rPr>
        <w:t>我方收到</w:t>
      </w:r>
      <w:r>
        <w:rPr>
          <w:rFonts w:hint="eastAsia" w:ascii="方正仿宋_GBK" w:hAnsi="宋体" w:eastAsia="方正仿宋_GBK"/>
          <w:color w:val="auto"/>
          <w:sz w:val="24"/>
          <w:szCs w:val="24"/>
          <w:u w:val="single"/>
          <w:lang w:val="en-US" w:eastAsia="zh-CN"/>
        </w:rPr>
        <w:t xml:space="preserve">                   </w:t>
      </w:r>
      <w:r>
        <w:rPr>
          <w:rFonts w:hint="eastAsia" w:ascii="方正仿宋_GBK" w:hAnsi="宋体" w:eastAsia="方正仿宋_GBK"/>
          <w:color w:val="auto"/>
          <w:sz w:val="24"/>
          <w:szCs w:val="24"/>
        </w:rPr>
        <w:t>（项目名称）的</w:t>
      </w:r>
      <w:r>
        <w:rPr>
          <w:rFonts w:hint="eastAsia" w:ascii="方正仿宋_GBK" w:hAnsi="宋体" w:eastAsia="方正仿宋_GBK"/>
          <w:color w:val="auto"/>
          <w:sz w:val="24"/>
          <w:szCs w:val="24"/>
          <w:lang w:eastAsia="zh-CN"/>
        </w:rPr>
        <w:t>询比文件</w:t>
      </w:r>
      <w:r>
        <w:rPr>
          <w:rFonts w:hint="eastAsia" w:ascii="方正仿宋_GBK" w:hAnsi="宋体" w:eastAsia="方正仿宋_GBK"/>
          <w:color w:val="auto"/>
          <w:sz w:val="24"/>
          <w:szCs w:val="24"/>
        </w:rPr>
        <w:t>，经详细研究，决定参加该项目的</w:t>
      </w:r>
      <w:r>
        <w:rPr>
          <w:rFonts w:hint="eastAsia" w:ascii="方正仿宋_GBK" w:hAnsi="宋体" w:eastAsia="方正仿宋_GBK"/>
          <w:color w:val="auto"/>
          <w:sz w:val="24"/>
          <w:szCs w:val="24"/>
          <w:lang w:eastAsia="zh-CN"/>
        </w:rPr>
        <w:t>询比</w:t>
      </w:r>
      <w:r>
        <w:rPr>
          <w:rFonts w:hint="eastAsia" w:ascii="方正仿宋_GBK" w:hAnsi="宋体" w:eastAsia="方正仿宋_GBK"/>
          <w:color w:val="auto"/>
          <w:sz w:val="24"/>
          <w:szCs w:val="24"/>
        </w:rPr>
        <w:t>。</w:t>
      </w:r>
    </w:p>
    <w:p w14:paraId="18D364A2">
      <w:pPr>
        <w:tabs>
          <w:tab w:val="left" w:pos="6300"/>
        </w:tabs>
        <w:snapToGrid w:val="0"/>
        <w:spacing w:line="360" w:lineRule="auto"/>
        <w:ind w:left="10" w:leftChars="5" w:firstLine="458" w:firstLineChars="191"/>
        <w:jc w:val="left"/>
        <w:rPr>
          <w:rFonts w:hint="eastAsia" w:ascii="仿宋" w:hAnsi="仿宋" w:eastAsia="仿宋" w:cs="仿宋"/>
          <w:color w:val="auto"/>
          <w:sz w:val="24"/>
          <w:szCs w:val="24"/>
          <w:highlight w:val="none"/>
          <w:lang w:eastAsia="zh-CN"/>
        </w:rPr>
      </w:pPr>
      <w:r>
        <w:rPr>
          <w:rFonts w:hint="eastAsia" w:ascii="仿宋" w:hAnsi="仿宋" w:eastAsia="仿宋" w:cs="仿宋"/>
          <w:color w:val="auto"/>
          <w:sz w:val="24"/>
          <w:szCs w:val="24"/>
        </w:rPr>
        <w:t>1.愿意按照</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中的一切要求，提供本项目的服务，报价</w:t>
      </w:r>
      <w:r>
        <w:rPr>
          <w:rFonts w:hint="eastAsia" w:ascii="仿宋" w:hAnsi="仿宋" w:eastAsia="仿宋" w:cs="仿宋"/>
          <w:color w:val="auto"/>
          <w:sz w:val="24"/>
          <w:szCs w:val="24"/>
          <w:lang w:val="en-US" w:eastAsia="zh-CN"/>
        </w:rPr>
        <w:t>折扣</w:t>
      </w:r>
      <w:r>
        <w:rPr>
          <w:rFonts w:hint="eastAsia" w:ascii="仿宋" w:hAnsi="仿宋" w:eastAsia="仿宋" w:cs="仿宋"/>
          <w:color w:val="auto"/>
          <w:sz w:val="24"/>
          <w:szCs w:val="24"/>
          <w:u w:val="single"/>
          <w:lang w:val="en-US" w:eastAsia="zh-CN"/>
        </w:rPr>
        <w:t xml:space="preserve">    </w:t>
      </w:r>
      <w:r>
        <w:rPr>
          <w:rFonts w:hint="eastAsia" w:ascii="仿宋" w:hAnsi="仿宋" w:eastAsia="仿宋" w:cs="仿宋"/>
          <w:color w:val="auto"/>
          <w:sz w:val="24"/>
          <w:szCs w:val="24"/>
          <w:lang w:val="en-US" w:eastAsia="zh-CN"/>
        </w:rPr>
        <w:t>%，</w:t>
      </w:r>
      <w:r>
        <w:rPr>
          <w:rFonts w:hint="eastAsia" w:ascii="仿宋" w:hAnsi="仿宋" w:eastAsia="仿宋" w:cs="仿宋"/>
          <w:color w:val="auto"/>
          <w:sz w:val="24"/>
          <w:szCs w:val="24"/>
        </w:rPr>
        <w:t>大写</w:t>
      </w:r>
      <w:r>
        <w:rPr>
          <w:rFonts w:hint="eastAsia" w:ascii="宋体" w:hAnsi="宋体" w:eastAsia="宋体" w:cs="宋体"/>
          <w:color w:val="auto"/>
          <w:sz w:val="24"/>
          <w:szCs w:val="24"/>
          <w:highlight w:val="none"/>
        </w:rPr>
        <w:t>：</w:t>
      </w:r>
      <w:r>
        <w:rPr>
          <w:rFonts w:hint="eastAsia" w:ascii="宋体" w:hAnsi="宋体" w:eastAsia="宋体" w:cs="宋体"/>
          <w:color w:val="auto"/>
          <w:sz w:val="24"/>
          <w:szCs w:val="24"/>
          <w:highlight w:val="none"/>
          <w:u w:val="single"/>
        </w:rPr>
        <w:t xml:space="preserve">         </w:t>
      </w:r>
      <w:r>
        <w:rPr>
          <w:rFonts w:hint="eastAsia" w:ascii="宋体" w:hAnsi="宋体" w:eastAsia="宋体" w:cs="宋体"/>
          <w:color w:val="auto"/>
          <w:sz w:val="24"/>
          <w:szCs w:val="24"/>
          <w:highlight w:val="none"/>
        </w:rPr>
        <w:t>。</w:t>
      </w:r>
    </w:p>
    <w:p w14:paraId="47476BE9">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2.我方现提交的响应文件为：响应文件正本</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份，副本</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份，电子文档</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份。</w:t>
      </w:r>
    </w:p>
    <w:p w14:paraId="5E1EE2B0">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3.我方承诺：本次</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的有效期为90天。</w:t>
      </w:r>
    </w:p>
    <w:p w14:paraId="25016956">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4.我方完全理解和接受贵方</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的一切规定和要求及评审办法。</w:t>
      </w:r>
    </w:p>
    <w:p w14:paraId="6BBAA9D4">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5.在整个</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过程中，我方若有违规行为，接受按照《中华人民共和国政府采购法》和《</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》之规定给予惩罚。</w:t>
      </w:r>
    </w:p>
    <w:p w14:paraId="1BC0BF37">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6.我方若成为成交供应商，将按照最终</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结果签订合同，并且严格履行合同义务。本承诺函将成为合同不可分割的一部分，与合同具有同等的法律效力。</w:t>
      </w:r>
    </w:p>
    <w:p w14:paraId="6518C9D6">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7.如果我方成为成交供应商，保证在接到成交通知书后，向采购代理机构缴纳</w:t>
      </w:r>
      <w:r>
        <w:rPr>
          <w:rFonts w:hint="eastAsia" w:ascii="仿宋" w:hAnsi="仿宋" w:eastAsia="仿宋" w:cs="仿宋"/>
          <w:color w:val="auto"/>
          <w:sz w:val="24"/>
          <w:szCs w:val="24"/>
          <w:lang w:eastAsia="zh-CN"/>
        </w:rPr>
        <w:t>询比文件</w:t>
      </w:r>
      <w:r>
        <w:rPr>
          <w:rFonts w:hint="eastAsia" w:ascii="仿宋" w:hAnsi="仿宋" w:eastAsia="仿宋" w:cs="仿宋"/>
          <w:color w:val="auto"/>
          <w:sz w:val="24"/>
          <w:szCs w:val="24"/>
        </w:rPr>
        <w:t>规定的采购代理服务费。</w:t>
      </w:r>
    </w:p>
    <w:p w14:paraId="57A988E4">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供应商（公章）：</w:t>
      </w:r>
    </w:p>
    <w:p w14:paraId="1E2C3291">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 xml:space="preserve">地址：  </w:t>
      </w:r>
    </w:p>
    <w:p w14:paraId="0C72A9AC">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电话：                                             传真：</w:t>
      </w:r>
    </w:p>
    <w:p w14:paraId="6ACE8E56">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网址：                                             邮编：</w:t>
      </w:r>
    </w:p>
    <w:p w14:paraId="6585059D">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联系人：</w:t>
      </w:r>
    </w:p>
    <w:p w14:paraId="1FCC59C8">
      <w:pPr>
        <w:spacing w:line="360" w:lineRule="auto"/>
        <w:jc w:val="center"/>
        <w:rPr>
          <w:rFonts w:hint="eastAsia" w:ascii="仿宋" w:hAnsi="仿宋" w:eastAsia="仿宋" w:cs="仿宋"/>
          <w:color w:val="auto"/>
          <w:sz w:val="24"/>
          <w:szCs w:val="24"/>
        </w:rPr>
      </w:pPr>
      <w:r>
        <w:rPr>
          <w:rFonts w:hint="eastAsia" w:ascii="仿宋" w:hAnsi="仿宋" w:eastAsia="仿宋" w:cs="仿宋"/>
          <w:color w:val="auto"/>
          <w:sz w:val="24"/>
          <w:szCs w:val="24"/>
        </w:rPr>
        <w:t xml:space="preserve">                                                  年   月   日</w:t>
      </w:r>
    </w:p>
    <w:p w14:paraId="1134B3B8">
      <w:pPr>
        <w:spacing w:line="360" w:lineRule="auto"/>
        <w:jc w:val="center"/>
        <w:rPr>
          <w:rFonts w:hint="eastAsia" w:ascii="仿宋" w:hAnsi="仿宋" w:eastAsia="仿宋" w:cs="仿宋"/>
          <w:color w:val="auto"/>
          <w:szCs w:val="28"/>
        </w:rPr>
      </w:pPr>
    </w:p>
    <w:p w14:paraId="0162238E">
      <w:pPr>
        <w:spacing w:line="360" w:lineRule="auto"/>
        <w:jc w:val="center"/>
        <w:rPr>
          <w:rFonts w:hint="eastAsia" w:ascii="仿宋" w:hAnsi="仿宋" w:eastAsia="仿宋" w:cs="仿宋"/>
          <w:color w:val="auto"/>
          <w:szCs w:val="28"/>
        </w:rPr>
      </w:pPr>
    </w:p>
    <w:p w14:paraId="32B048C6">
      <w:pPr>
        <w:snapToGrid w:val="0"/>
        <w:spacing w:line="360" w:lineRule="auto"/>
        <w:ind w:firstLine="480" w:firstLineChars="200"/>
        <w:rPr>
          <w:rFonts w:hint="eastAsia" w:ascii="仿宋" w:hAnsi="仿宋" w:eastAsia="仿宋" w:cs="仿宋"/>
          <w:color w:val="auto"/>
          <w:sz w:val="24"/>
          <w:szCs w:val="24"/>
        </w:rPr>
      </w:pPr>
    </w:p>
    <w:p w14:paraId="6615985B">
      <w:pPr>
        <w:snapToGrid w:val="0"/>
        <w:spacing w:line="360" w:lineRule="auto"/>
        <w:ind w:firstLine="480" w:firstLineChars="200"/>
        <w:rPr>
          <w:rFonts w:hint="eastAsia" w:ascii="仿宋" w:hAnsi="仿宋" w:eastAsia="仿宋" w:cs="仿宋"/>
          <w:color w:val="auto"/>
          <w:sz w:val="24"/>
          <w:szCs w:val="24"/>
        </w:rPr>
      </w:pPr>
    </w:p>
    <w:p w14:paraId="34FF1451">
      <w:pPr>
        <w:pStyle w:val="10"/>
        <w:rPr>
          <w:rFonts w:hint="eastAsia"/>
          <w:color w:val="auto"/>
        </w:rPr>
      </w:pPr>
    </w:p>
    <w:p w14:paraId="15E24517">
      <w:pPr>
        <w:snapToGrid w:val="0"/>
        <w:spacing w:line="360" w:lineRule="auto"/>
        <w:ind w:firstLine="480" w:firstLineChars="200"/>
        <w:rPr>
          <w:rFonts w:hint="eastAsia" w:ascii="仿宋" w:hAnsi="仿宋" w:eastAsia="仿宋" w:cs="仿宋"/>
          <w:color w:val="auto"/>
          <w:sz w:val="24"/>
          <w:szCs w:val="24"/>
        </w:rPr>
      </w:pPr>
    </w:p>
    <w:p w14:paraId="5ADA64C1">
      <w:pPr>
        <w:snapToGrid w:val="0"/>
        <w:spacing w:line="360" w:lineRule="auto"/>
        <w:ind w:firstLine="480" w:firstLineChars="200"/>
        <w:rPr>
          <w:rFonts w:hint="eastAsia" w:ascii="仿宋" w:hAnsi="仿宋" w:eastAsia="仿宋" w:cs="仿宋"/>
          <w:color w:val="auto"/>
          <w:sz w:val="24"/>
          <w:szCs w:val="24"/>
        </w:rPr>
      </w:pPr>
    </w:p>
    <w:p w14:paraId="61D5E4E7">
      <w:pPr>
        <w:pStyle w:val="5"/>
        <w:spacing w:before="0" w:after="0" w:line="360" w:lineRule="auto"/>
        <w:rPr>
          <w:rFonts w:hint="eastAsia" w:ascii="仿宋" w:hAnsi="仿宋" w:eastAsia="仿宋" w:cs="仿宋"/>
          <w:color w:val="auto"/>
          <w:sz w:val="24"/>
          <w:szCs w:val="24"/>
        </w:rPr>
      </w:pPr>
      <w:bookmarkStart w:id="179" w:name="_Toc342913420"/>
      <w:bookmarkStart w:id="180" w:name="_Toc313008357"/>
      <w:bookmarkStart w:id="181" w:name="_Toc313888361"/>
    </w:p>
    <w:p w14:paraId="39670F21">
      <w:pPr>
        <w:pStyle w:val="5"/>
        <w:spacing w:before="0" w:after="0" w:line="360" w:lineRule="auto"/>
        <w:rPr>
          <w:rFonts w:hint="eastAsia" w:ascii="仿宋" w:hAnsi="仿宋" w:eastAsia="仿宋" w:cs="仿宋"/>
          <w:color w:val="auto"/>
          <w:sz w:val="24"/>
          <w:szCs w:val="24"/>
        </w:rPr>
      </w:pPr>
      <w:bookmarkStart w:id="182" w:name="_Toc18799"/>
      <w:r>
        <w:rPr>
          <w:rFonts w:hint="eastAsia" w:ascii="仿宋" w:hAnsi="仿宋" w:eastAsia="仿宋" w:cs="仿宋"/>
          <w:color w:val="auto"/>
          <w:sz w:val="24"/>
          <w:szCs w:val="24"/>
        </w:rPr>
        <w:t>二、服务部</w:t>
      </w:r>
      <w:bookmarkEnd w:id="179"/>
      <w:bookmarkEnd w:id="180"/>
      <w:bookmarkEnd w:id="181"/>
      <w:r>
        <w:rPr>
          <w:rFonts w:hint="eastAsia" w:ascii="仿宋" w:hAnsi="仿宋" w:eastAsia="仿宋" w:cs="仿宋"/>
          <w:color w:val="auto"/>
          <w:sz w:val="24"/>
          <w:szCs w:val="24"/>
        </w:rPr>
        <w:t>分</w:t>
      </w:r>
      <w:bookmarkEnd w:id="182"/>
    </w:p>
    <w:p w14:paraId="33432F29">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eastAsia="zh-CN"/>
        </w:rPr>
        <w:t>一</w:t>
      </w:r>
      <w:r>
        <w:rPr>
          <w:rFonts w:hint="eastAsia" w:ascii="仿宋" w:hAnsi="仿宋" w:eastAsia="仿宋" w:cs="仿宋"/>
          <w:color w:val="auto"/>
          <w:sz w:val="24"/>
          <w:szCs w:val="24"/>
        </w:rPr>
        <w:t xml:space="preserve">）项目服务需求偏离表                          </w:t>
      </w:r>
    </w:p>
    <w:p w14:paraId="17A00814">
      <w:pPr>
        <w:pStyle w:val="8"/>
        <w:tabs>
          <w:tab w:val="left" w:pos="6300"/>
        </w:tabs>
        <w:snapToGrid w:val="0"/>
        <w:spacing w:line="360" w:lineRule="auto"/>
        <w:ind w:firstLine="480" w:firstLineChars="200"/>
        <w:outlineLvl w:val="0"/>
        <w:rPr>
          <w:rFonts w:hint="eastAsia" w:ascii="仿宋" w:hAnsi="仿宋" w:eastAsia="方正仿宋_GBK" w:cs="仿宋"/>
          <w:color w:val="auto"/>
          <w:sz w:val="24"/>
          <w:szCs w:val="24"/>
          <w:lang w:val="en-US" w:eastAsia="zh-CN"/>
        </w:rPr>
      </w:pPr>
      <w:r>
        <w:rPr>
          <w:rFonts w:hint="eastAsia" w:ascii="方正仿宋_GBK" w:hAnsi="宋体" w:eastAsia="方正仿宋_GBK"/>
          <w:color w:val="auto"/>
          <w:sz w:val="24"/>
          <w:szCs w:val="24"/>
        </w:rPr>
        <w:t>项目名称</w:t>
      </w:r>
      <w:r>
        <w:rPr>
          <w:rFonts w:hint="eastAsia" w:ascii="方正仿宋_GBK" w:hAnsi="宋体" w:eastAsia="方正仿宋_GBK"/>
          <w:color w:val="auto"/>
          <w:sz w:val="24"/>
          <w:szCs w:val="24"/>
          <w:lang w:val="en-US" w:eastAsia="zh-CN"/>
        </w:rPr>
        <w:t>:</w:t>
      </w:r>
    </w:p>
    <w:tbl>
      <w:tblPr>
        <w:tblStyle w:val="15"/>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8"/>
        <w:gridCol w:w="2658"/>
        <w:gridCol w:w="2759"/>
        <w:gridCol w:w="2067"/>
      </w:tblGrid>
      <w:tr w14:paraId="0D288D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1138" w:type="dxa"/>
            <w:noWrap w:val="0"/>
            <w:vAlign w:val="center"/>
          </w:tcPr>
          <w:p w14:paraId="2B42C402">
            <w:pPr>
              <w:tabs>
                <w:tab w:val="left" w:pos="6300"/>
              </w:tabs>
              <w:snapToGrid w:val="0"/>
              <w:spacing w:line="360" w:lineRule="auto"/>
              <w:jc w:val="center"/>
              <w:outlineLvl w:val="0"/>
              <w:rPr>
                <w:rFonts w:hint="eastAsia" w:ascii="仿宋" w:hAnsi="仿宋" w:eastAsia="仿宋" w:cs="仿宋"/>
                <w:color w:val="auto"/>
                <w:sz w:val="24"/>
                <w:szCs w:val="24"/>
              </w:rPr>
            </w:pPr>
            <w:r>
              <w:rPr>
                <w:rFonts w:hint="eastAsia" w:ascii="仿宋" w:hAnsi="仿宋" w:eastAsia="仿宋" w:cs="仿宋"/>
                <w:color w:val="auto"/>
                <w:sz w:val="24"/>
                <w:szCs w:val="24"/>
              </w:rPr>
              <w:t>序号</w:t>
            </w:r>
          </w:p>
        </w:tc>
        <w:tc>
          <w:tcPr>
            <w:tcW w:w="2658" w:type="dxa"/>
            <w:noWrap w:val="0"/>
            <w:vAlign w:val="center"/>
          </w:tcPr>
          <w:p w14:paraId="0DD5FC0A">
            <w:pPr>
              <w:tabs>
                <w:tab w:val="left" w:pos="6300"/>
              </w:tabs>
              <w:snapToGrid w:val="0"/>
              <w:spacing w:line="360" w:lineRule="auto"/>
              <w:jc w:val="center"/>
              <w:outlineLvl w:val="0"/>
              <w:rPr>
                <w:rFonts w:hint="eastAsia" w:ascii="仿宋" w:hAnsi="仿宋" w:eastAsia="仿宋" w:cs="仿宋"/>
                <w:color w:val="auto"/>
                <w:sz w:val="24"/>
                <w:szCs w:val="24"/>
              </w:rPr>
            </w:pPr>
            <w:r>
              <w:rPr>
                <w:rFonts w:hint="eastAsia" w:ascii="仿宋" w:hAnsi="仿宋" w:eastAsia="仿宋" w:cs="仿宋"/>
                <w:color w:val="auto"/>
                <w:sz w:val="24"/>
                <w:szCs w:val="24"/>
              </w:rPr>
              <w:t>采购需求</w:t>
            </w:r>
          </w:p>
        </w:tc>
        <w:tc>
          <w:tcPr>
            <w:tcW w:w="2759" w:type="dxa"/>
            <w:noWrap w:val="0"/>
            <w:vAlign w:val="center"/>
          </w:tcPr>
          <w:p w14:paraId="0A2D522B">
            <w:pPr>
              <w:tabs>
                <w:tab w:val="left" w:pos="6300"/>
              </w:tabs>
              <w:snapToGrid w:val="0"/>
              <w:spacing w:line="360" w:lineRule="auto"/>
              <w:jc w:val="center"/>
              <w:outlineLvl w:val="0"/>
              <w:rPr>
                <w:rFonts w:hint="eastAsia" w:ascii="仿宋" w:hAnsi="仿宋" w:eastAsia="仿宋" w:cs="仿宋"/>
                <w:color w:val="auto"/>
                <w:sz w:val="24"/>
                <w:szCs w:val="24"/>
              </w:rPr>
            </w:pPr>
            <w:r>
              <w:rPr>
                <w:rFonts w:hint="eastAsia" w:ascii="仿宋" w:hAnsi="仿宋" w:eastAsia="仿宋" w:cs="仿宋"/>
                <w:color w:val="auto"/>
                <w:sz w:val="24"/>
                <w:szCs w:val="24"/>
              </w:rPr>
              <w:t>响应情况</w:t>
            </w:r>
          </w:p>
        </w:tc>
        <w:tc>
          <w:tcPr>
            <w:tcW w:w="2067" w:type="dxa"/>
            <w:noWrap w:val="0"/>
            <w:vAlign w:val="center"/>
          </w:tcPr>
          <w:p w14:paraId="585FE123">
            <w:pPr>
              <w:tabs>
                <w:tab w:val="left" w:pos="6300"/>
              </w:tabs>
              <w:snapToGrid w:val="0"/>
              <w:spacing w:line="360" w:lineRule="auto"/>
              <w:jc w:val="center"/>
              <w:outlineLvl w:val="0"/>
              <w:rPr>
                <w:rFonts w:hint="eastAsia" w:ascii="仿宋" w:hAnsi="仿宋" w:eastAsia="仿宋" w:cs="仿宋"/>
                <w:color w:val="auto"/>
                <w:sz w:val="24"/>
                <w:szCs w:val="24"/>
              </w:rPr>
            </w:pPr>
            <w:r>
              <w:rPr>
                <w:rFonts w:hint="eastAsia" w:ascii="仿宋" w:hAnsi="仿宋" w:eastAsia="仿宋" w:cs="仿宋"/>
                <w:color w:val="auto"/>
                <w:sz w:val="24"/>
                <w:szCs w:val="24"/>
              </w:rPr>
              <w:t>差异说明</w:t>
            </w:r>
          </w:p>
        </w:tc>
      </w:tr>
      <w:tr w14:paraId="61BB0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noWrap w:val="0"/>
            <w:vAlign w:val="center"/>
          </w:tcPr>
          <w:p w14:paraId="2AC99BF3">
            <w:pPr>
              <w:tabs>
                <w:tab w:val="left" w:pos="6300"/>
              </w:tabs>
              <w:snapToGrid w:val="0"/>
              <w:spacing w:line="360" w:lineRule="auto"/>
              <w:jc w:val="center"/>
              <w:outlineLvl w:val="0"/>
              <w:rPr>
                <w:rFonts w:hint="eastAsia" w:ascii="仿宋" w:hAnsi="仿宋" w:eastAsia="仿宋" w:cs="仿宋"/>
                <w:color w:val="auto"/>
                <w:sz w:val="24"/>
                <w:szCs w:val="24"/>
              </w:rPr>
            </w:pPr>
          </w:p>
        </w:tc>
        <w:tc>
          <w:tcPr>
            <w:tcW w:w="2658" w:type="dxa"/>
            <w:noWrap w:val="0"/>
            <w:vAlign w:val="center"/>
          </w:tcPr>
          <w:p w14:paraId="1855039C">
            <w:pPr>
              <w:tabs>
                <w:tab w:val="left" w:pos="6300"/>
              </w:tabs>
              <w:snapToGrid w:val="0"/>
              <w:spacing w:line="360" w:lineRule="auto"/>
              <w:jc w:val="center"/>
              <w:outlineLvl w:val="0"/>
              <w:rPr>
                <w:rFonts w:hint="eastAsia" w:ascii="仿宋" w:hAnsi="仿宋" w:eastAsia="仿宋" w:cs="仿宋"/>
                <w:color w:val="auto"/>
                <w:sz w:val="24"/>
                <w:szCs w:val="24"/>
              </w:rPr>
            </w:pPr>
          </w:p>
        </w:tc>
        <w:tc>
          <w:tcPr>
            <w:tcW w:w="2759" w:type="dxa"/>
            <w:noWrap w:val="0"/>
            <w:vAlign w:val="center"/>
          </w:tcPr>
          <w:p w14:paraId="1039AEE1">
            <w:pPr>
              <w:tabs>
                <w:tab w:val="left" w:pos="6300"/>
              </w:tabs>
              <w:snapToGrid w:val="0"/>
              <w:spacing w:line="360" w:lineRule="auto"/>
              <w:jc w:val="center"/>
              <w:outlineLvl w:val="0"/>
              <w:rPr>
                <w:rFonts w:hint="eastAsia" w:ascii="仿宋" w:hAnsi="仿宋" w:eastAsia="仿宋" w:cs="仿宋"/>
                <w:color w:val="auto"/>
                <w:sz w:val="24"/>
                <w:szCs w:val="24"/>
              </w:rPr>
            </w:pPr>
          </w:p>
        </w:tc>
        <w:tc>
          <w:tcPr>
            <w:tcW w:w="2067" w:type="dxa"/>
            <w:noWrap w:val="0"/>
            <w:vAlign w:val="center"/>
          </w:tcPr>
          <w:p w14:paraId="5F54FF43">
            <w:pPr>
              <w:tabs>
                <w:tab w:val="left" w:pos="6300"/>
              </w:tabs>
              <w:snapToGrid w:val="0"/>
              <w:spacing w:line="360" w:lineRule="auto"/>
              <w:jc w:val="center"/>
              <w:outlineLvl w:val="0"/>
              <w:rPr>
                <w:rFonts w:hint="eastAsia" w:ascii="仿宋" w:hAnsi="仿宋" w:eastAsia="仿宋" w:cs="仿宋"/>
                <w:color w:val="auto"/>
                <w:sz w:val="24"/>
                <w:szCs w:val="24"/>
              </w:rPr>
            </w:pPr>
          </w:p>
        </w:tc>
      </w:tr>
      <w:tr w14:paraId="5AFD38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noWrap w:val="0"/>
            <w:vAlign w:val="center"/>
          </w:tcPr>
          <w:p w14:paraId="3B52C8E2">
            <w:pPr>
              <w:tabs>
                <w:tab w:val="left" w:pos="6300"/>
              </w:tabs>
              <w:snapToGrid w:val="0"/>
              <w:spacing w:line="360" w:lineRule="auto"/>
              <w:jc w:val="center"/>
              <w:outlineLvl w:val="0"/>
              <w:rPr>
                <w:rFonts w:hint="eastAsia" w:ascii="仿宋" w:hAnsi="仿宋" w:eastAsia="仿宋" w:cs="仿宋"/>
                <w:color w:val="auto"/>
                <w:sz w:val="24"/>
                <w:szCs w:val="24"/>
              </w:rPr>
            </w:pPr>
          </w:p>
        </w:tc>
        <w:tc>
          <w:tcPr>
            <w:tcW w:w="2658" w:type="dxa"/>
            <w:noWrap w:val="0"/>
            <w:vAlign w:val="center"/>
          </w:tcPr>
          <w:p w14:paraId="513A3656">
            <w:pPr>
              <w:tabs>
                <w:tab w:val="left" w:pos="6300"/>
              </w:tabs>
              <w:snapToGrid w:val="0"/>
              <w:spacing w:line="360" w:lineRule="auto"/>
              <w:jc w:val="center"/>
              <w:outlineLvl w:val="0"/>
              <w:rPr>
                <w:rFonts w:hint="eastAsia" w:ascii="仿宋" w:hAnsi="仿宋" w:eastAsia="仿宋" w:cs="仿宋"/>
                <w:color w:val="auto"/>
                <w:sz w:val="24"/>
                <w:szCs w:val="24"/>
              </w:rPr>
            </w:pPr>
          </w:p>
        </w:tc>
        <w:tc>
          <w:tcPr>
            <w:tcW w:w="2759" w:type="dxa"/>
            <w:noWrap w:val="0"/>
            <w:vAlign w:val="center"/>
          </w:tcPr>
          <w:p w14:paraId="1539E394">
            <w:pPr>
              <w:tabs>
                <w:tab w:val="left" w:pos="6300"/>
              </w:tabs>
              <w:snapToGrid w:val="0"/>
              <w:spacing w:line="360" w:lineRule="auto"/>
              <w:jc w:val="center"/>
              <w:outlineLvl w:val="0"/>
              <w:rPr>
                <w:rFonts w:hint="eastAsia" w:ascii="仿宋" w:hAnsi="仿宋" w:eastAsia="仿宋" w:cs="仿宋"/>
                <w:color w:val="auto"/>
                <w:sz w:val="24"/>
                <w:szCs w:val="24"/>
              </w:rPr>
            </w:pPr>
          </w:p>
        </w:tc>
        <w:tc>
          <w:tcPr>
            <w:tcW w:w="2067" w:type="dxa"/>
            <w:noWrap w:val="0"/>
            <w:vAlign w:val="center"/>
          </w:tcPr>
          <w:p w14:paraId="224FA9DA">
            <w:pPr>
              <w:tabs>
                <w:tab w:val="left" w:pos="6300"/>
              </w:tabs>
              <w:snapToGrid w:val="0"/>
              <w:spacing w:line="360" w:lineRule="auto"/>
              <w:jc w:val="center"/>
              <w:outlineLvl w:val="0"/>
              <w:rPr>
                <w:rFonts w:hint="eastAsia" w:ascii="仿宋" w:hAnsi="仿宋" w:eastAsia="仿宋" w:cs="仿宋"/>
                <w:color w:val="auto"/>
                <w:sz w:val="24"/>
                <w:szCs w:val="24"/>
              </w:rPr>
            </w:pPr>
          </w:p>
        </w:tc>
      </w:tr>
      <w:tr w14:paraId="62C2D2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noWrap w:val="0"/>
            <w:vAlign w:val="center"/>
          </w:tcPr>
          <w:p w14:paraId="50FD6B8A">
            <w:pPr>
              <w:tabs>
                <w:tab w:val="left" w:pos="6300"/>
              </w:tabs>
              <w:snapToGrid w:val="0"/>
              <w:spacing w:line="360" w:lineRule="auto"/>
              <w:jc w:val="center"/>
              <w:outlineLvl w:val="0"/>
              <w:rPr>
                <w:rFonts w:hint="eastAsia" w:ascii="仿宋" w:hAnsi="仿宋" w:eastAsia="仿宋" w:cs="仿宋"/>
                <w:color w:val="auto"/>
                <w:sz w:val="24"/>
                <w:szCs w:val="24"/>
              </w:rPr>
            </w:pPr>
          </w:p>
        </w:tc>
        <w:tc>
          <w:tcPr>
            <w:tcW w:w="2658" w:type="dxa"/>
            <w:noWrap w:val="0"/>
            <w:vAlign w:val="center"/>
          </w:tcPr>
          <w:p w14:paraId="4EF0071A">
            <w:pPr>
              <w:tabs>
                <w:tab w:val="left" w:pos="6300"/>
              </w:tabs>
              <w:snapToGrid w:val="0"/>
              <w:spacing w:line="360" w:lineRule="auto"/>
              <w:jc w:val="center"/>
              <w:outlineLvl w:val="0"/>
              <w:rPr>
                <w:rFonts w:hint="eastAsia" w:ascii="仿宋" w:hAnsi="仿宋" w:eastAsia="仿宋" w:cs="仿宋"/>
                <w:color w:val="auto"/>
                <w:sz w:val="24"/>
                <w:szCs w:val="24"/>
              </w:rPr>
            </w:pPr>
          </w:p>
        </w:tc>
        <w:tc>
          <w:tcPr>
            <w:tcW w:w="2759" w:type="dxa"/>
            <w:noWrap w:val="0"/>
            <w:vAlign w:val="center"/>
          </w:tcPr>
          <w:p w14:paraId="01A963D5">
            <w:pPr>
              <w:tabs>
                <w:tab w:val="left" w:pos="6300"/>
              </w:tabs>
              <w:snapToGrid w:val="0"/>
              <w:spacing w:line="360" w:lineRule="auto"/>
              <w:jc w:val="center"/>
              <w:outlineLvl w:val="0"/>
              <w:rPr>
                <w:rFonts w:hint="eastAsia" w:ascii="仿宋" w:hAnsi="仿宋" w:eastAsia="仿宋" w:cs="仿宋"/>
                <w:color w:val="auto"/>
                <w:sz w:val="24"/>
                <w:szCs w:val="24"/>
              </w:rPr>
            </w:pPr>
          </w:p>
        </w:tc>
        <w:tc>
          <w:tcPr>
            <w:tcW w:w="2067" w:type="dxa"/>
            <w:noWrap w:val="0"/>
            <w:vAlign w:val="center"/>
          </w:tcPr>
          <w:p w14:paraId="2285DBFE">
            <w:pPr>
              <w:tabs>
                <w:tab w:val="left" w:pos="6300"/>
              </w:tabs>
              <w:snapToGrid w:val="0"/>
              <w:spacing w:line="360" w:lineRule="auto"/>
              <w:jc w:val="center"/>
              <w:outlineLvl w:val="0"/>
              <w:rPr>
                <w:rFonts w:hint="eastAsia" w:ascii="仿宋" w:hAnsi="仿宋" w:eastAsia="仿宋" w:cs="仿宋"/>
                <w:color w:val="auto"/>
                <w:sz w:val="24"/>
                <w:szCs w:val="24"/>
              </w:rPr>
            </w:pPr>
          </w:p>
        </w:tc>
      </w:tr>
      <w:tr w14:paraId="123154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noWrap w:val="0"/>
            <w:vAlign w:val="center"/>
          </w:tcPr>
          <w:p w14:paraId="1C49866E">
            <w:pPr>
              <w:tabs>
                <w:tab w:val="left" w:pos="6300"/>
              </w:tabs>
              <w:snapToGrid w:val="0"/>
              <w:spacing w:line="360" w:lineRule="auto"/>
              <w:jc w:val="center"/>
              <w:outlineLvl w:val="0"/>
              <w:rPr>
                <w:rFonts w:hint="eastAsia" w:ascii="仿宋" w:hAnsi="仿宋" w:eastAsia="仿宋" w:cs="仿宋"/>
                <w:color w:val="auto"/>
                <w:sz w:val="24"/>
                <w:szCs w:val="24"/>
              </w:rPr>
            </w:pPr>
          </w:p>
        </w:tc>
        <w:tc>
          <w:tcPr>
            <w:tcW w:w="2658" w:type="dxa"/>
            <w:noWrap w:val="0"/>
            <w:vAlign w:val="center"/>
          </w:tcPr>
          <w:p w14:paraId="4E98ED3E">
            <w:pPr>
              <w:tabs>
                <w:tab w:val="left" w:pos="6300"/>
              </w:tabs>
              <w:snapToGrid w:val="0"/>
              <w:spacing w:line="360" w:lineRule="auto"/>
              <w:jc w:val="center"/>
              <w:outlineLvl w:val="0"/>
              <w:rPr>
                <w:rFonts w:hint="eastAsia" w:ascii="仿宋" w:hAnsi="仿宋" w:eastAsia="仿宋" w:cs="仿宋"/>
                <w:color w:val="auto"/>
                <w:sz w:val="24"/>
                <w:szCs w:val="24"/>
              </w:rPr>
            </w:pPr>
          </w:p>
        </w:tc>
        <w:tc>
          <w:tcPr>
            <w:tcW w:w="2759" w:type="dxa"/>
            <w:noWrap w:val="0"/>
            <w:vAlign w:val="center"/>
          </w:tcPr>
          <w:p w14:paraId="573266DC">
            <w:pPr>
              <w:tabs>
                <w:tab w:val="left" w:pos="6300"/>
              </w:tabs>
              <w:snapToGrid w:val="0"/>
              <w:spacing w:line="360" w:lineRule="auto"/>
              <w:jc w:val="center"/>
              <w:outlineLvl w:val="0"/>
              <w:rPr>
                <w:rFonts w:hint="eastAsia" w:ascii="仿宋" w:hAnsi="仿宋" w:eastAsia="仿宋" w:cs="仿宋"/>
                <w:color w:val="auto"/>
                <w:sz w:val="24"/>
                <w:szCs w:val="24"/>
              </w:rPr>
            </w:pPr>
          </w:p>
        </w:tc>
        <w:tc>
          <w:tcPr>
            <w:tcW w:w="2067" w:type="dxa"/>
            <w:noWrap w:val="0"/>
            <w:vAlign w:val="center"/>
          </w:tcPr>
          <w:p w14:paraId="20CDCB6F">
            <w:pPr>
              <w:tabs>
                <w:tab w:val="left" w:pos="6300"/>
              </w:tabs>
              <w:snapToGrid w:val="0"/>
              <w:spacing w:line="360" w:lineRule="auto"/>
              <w:jc w:val="center"/>
              <w:outlineLvl w:val="0"/>
              <w:rPr>
                <w:rFonts w:hint="eastAsia" w:ascii="仿宋" w:hAnsi="仿宋" w:eastAsia="仿宋" w:cs="仿宋"/>
                <w:color w:val="auto"/>
                <w:sz w:val="24"/>
                <w:szCs w:val="24"/>
              </w:rPr>
            </w:pPr>
          </w:p>
        </w:tc>
      </w:tr>
      <w:tr w14:paraId="69632E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noWrap w:val="0"/>
            <w:vAlign w:val="center"/>
          </w:tcPr>
          <w:p w14:paraId="4B26AB3E">
            <w:pPr>
              <w:tabs>
                <w:tab w:val="left" w:pos="6300"/>
              </w:tabs>
              <w:snapToGrid w:val="0"/>
              <w:spacing w:line="360" w:lineRule="auto"/>
              <w:jc w:val="center"/>
              <w:outlineLvl w:val="0"/>
              <w:rPr>
                <w:rFonts w:hint="eastAsia" w:ascii="仿宋" w:hAnsi="仿宋" w:eastAsia="仿宋" w:cs="仿宋"/>
                <w:color w:val="auto"/>
                <w:sz w:val="24"/>
                <w:szCs w:val="24"/>
              </w:rPr>
            </w:pPr>
          </w:p>
        </w:tc>
        <w:tc>
          <w:tcPr>
            <w:tcW w:w="2658" w:type="dxa"/>
            <w:noWrap w:val="0"/>
            <w:vAlign w:val="center"/>
          </w:tcPr>
          <w:p w14:paraId="75E8636C">
            <w:pPr>
              <w:tabs>
                <w:tab w:val="left" w:pos="6300"/>
              </w:tabs>
              <w:snapToGrid w:val="0"/>
              <w:spacing w:line="360" w:lineRule="auto"/>
              <w:jc w:val="center"/>
              <w:outlineLvl w:val="0"/>
              <w:rPr>
                <w:rFonts w:hint="eastAsia" w:ascii="仿宋" w:hAnsi="仿宋" w:eastAsia="仿宋" w:cs="仿宋"/>
                <w:color w:val="auto"/>
                <w:sz w:val="24"/>
                <w:szCs w:val="24"/>
              </w:rPr>
            </w:pPr>
          </w:p>
        </w:tc>
        <w:tc>
          <w:tcPr>
            <w:tcW w:w="2759" w:type="dxa"/>
            <w:noWrap w:val="0"/>
            <w:vAlign w:val="center"/>
          </w:tcPr>
          <w:p w14:paraId="55DB6817">
            <w:pPr>
              <w:tabs>
                <w:tab w:val="left" w:pos="6300"/>
              </w:tabs>
              <w:snapToGrid w:val="0"/>
              <w:spacing w:line="360" w:lineRule="auto"/>
              <w:jc w:val="center"/>
              <w:outlineLvl w:val="0"/>
              <w:rPr>
                <w:rFonts w:hint="eastAsia" w:ascii="仿宋" w:hAnsi="仿宋" w:eastAsia="仿宋" w:cs="仿宋"/>
                <w:color w:val="auto"/>
                <w:sz w:val="24"/>
                <w:szCs w:val="24"/>
              </w:rPr>
            </w:pPr>
          </w:p>
        </w:tc>
        <w:tc>
          <w:tcPr>
            <w:tcW w:w="2067" w:type="dxa"/>
            <w:noWrap w:val="0"/>
            <w:vAlign w:val="center"/>
          </w:tcPr>
          <w:p w14:paraId="32938FE9">
            <w:pPr>
              <w:tabs>
                <w:tab w:val="left" w:pos="6300"/>
              </w:tabs>
              <w:snapToGrid w:val="0"/>
              <w:spacing w:line="360" w:lineRule="auto"/>
              <w:jc w:val="center"/>
              <w:outlineLvl w:val="0"/>
              <w:rPr>
                <w:rFonts w:hint="eastAsia" w:ascii="仿宋" w:hAnsi="仿宋" w:eastAsia="仿宋" w:cs="仿宋"/>
                <w:color w:val="auto"/>
                <w:sz w:val="24"/>
                <w:szCs w:val="24"/>
              </w:rPr>
            </w:pPr>
          </w:p>
        </w:tc>
      </w:tr>
      <w:tr w14:paraId="2E1BDF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noWrap w:val="0"/>
            <w:vAlign w:val="center"/>
          </w:tcPr>
          <w:p w14:paraId="26C07813">
            <w:pPr>
              <w:tabs>
                <w:tab w:val="left" w:pos="6300"/>
              </w:tabs>
              <w:snapToGrid w:val="0"/>
              <w:spacing w:line="360" w:lineRule="auto"/>
              <w:jc w:val="center"/>
              <w:outlineLvl w:val="0"/>
              <w:rPr>
                <w:rFonts w:hint="eastAsia" w:ascii="仿宋" w:hAnsi="仿宋" w:eastAsia="仿宋" w:cs="仿宋"/>
                <w:color w:val="auto"/>
                <w:sz w:val="24"/>
                <w:szCs w:val="24"/>
              </w:rPr>
            </w:pPr>
          </w:p>
        </w:tc>
        <w:tc>
          <w:tcPr>
            <w:tcW w:w="2658" w:type="dxa"/>
            <w:noWrap w:val="0"/>
            <w:vAlign w:val="center"/>
          </w:tcPr>
          <w:p w14:paraId="05D90C50">
            <w:pPr>
              <w:tabs>
                <w:tab w:val="left" w:pos="6300"/>
              </w:tabs>
              <w:snapToGrid w:val="0"/>
              <w:spacing w:line="360" w:lineRule="auto"/>
              <w:jc w:val="center"/>
              <w:outlineLvl w:val="0"/>
              <w:rPr>
                <w:rFonts w:hint="eastAsia" w:ascii="仿宋" w:hAnsi="仿宋" w:eastAsia="仿宋" w:cs="仿宋"/>
                <w:color w:val="auto"/>
                <w:sz w:val="24"/>
                <w:szCs w:val="24"/>
              </w:rPr>
            </w:pPr>
          </w:p>
        </w:tc>
        <w:tc>
          <w:tcPr>
            <w:tcW w:w="2759" w:type="dxa"/>
            <w:noWrap w:val="0"/>
            <w:vAlign w:val="center"/>
          </w:tcPr>
          <w:p w14:paraId="2750807A">
            <w:pPr>
              <w:tabs>
                <w:tab w:val="left" w:pos="6300"/>
              </w:tabs>
              <w:snapToGrid w:val="0"/>
              <w:spacing w:line="360" w:lineRule="auto"/>
              <w:jc w:val="center"/>
              <w:outlineLvl w:val="0"/>
              <w:rPr>
                <w:rFonts w:hint="eastAsia" w:ascii="仿宋" w:hAnsi="仿宋" w:eastAsia="仿宋" w:cs="仿宋"/>
                <w:color w:val="auto"/>
                <w:sz w:val="24"/>
                <w:szCs w:val="24"/>
              </w:rPr>
            </w:pPr>
          </w:p>
        </w:tc>
        <w:tc>
          <w:tcPr>
            <w:tcW w:w="2067" w:type="dxa"/>
            <w:noWrap w:val="0"/>
            <w:vAlign w:val="center"/>
          </w:tcPr>
          <w:p w14:paraId="748927DA">
            <w:pPr>
              <w:tabs>
                <w:tab w:val="left" w:pos="6300"/>
              </w:tabs>
              <w:snapToGrid w:val="0"/>
              <w:spacing w:line="360" w:lineRule="auto"/>
              <w:jc w:val="center"/>
              <w:outlineLvl w:val="0"/>
              <w:rPr>
                <w:rFonts w:hint="eastAsia" w:ascii="仿宋" w:hAnsi="仿宋" w:eastAsia="仿宋" w:cs="仿宋"/>
                <w:color w:val="auto"/>
                <w:sz w:val="24"/>
                <w:szCs w:val="24"/>
              </w:rPr>
            </w:pPr>
          </w:p>
        </w:tc>
      </w:tr>
      <w:tr w14:paraId="719D8A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noWrap w:val="0"/>
            <w:vAlign w:val="center"/>
          </w:tcPr>
          <w:p w14:paraId="776D581E">
            <w:pPr>
              <w:tabs>
                <w:tab w:val="left" w:pos="6300"/>
              </w:tabs>
              <w:snapToGrid w:val="0"/>
              <w:spacing w:line="360" w:lineRule="auto"/>
              <w:jc w:val="center"/>
              <w:outlineLvl w:val="0"/>
              <w:rPr>
                <w:rFonts w:hint="eastAsia" w:ascii="仿宋" w:hAnsi="仿宋" w:eastAsia="仿宋" w:cs="仿宋"/>
                <w:color w:val="auto"/>
                <w:sz w:val="24"/>
                <w:szCs w:val="24"/>
              </w:rPr>
            </w:pPr>
          </w:p>
        </w:tc>
        <w:tc>
          <w:tcPr>
            <w:tcW w:w="2658" w:type="dxa"/>
            <w:noWrap w:val="0"/>
            <w:vAlign w:val="center"/>
          </w:tcPr>
          <w:p w14:paraId="4DC9AC58">
            <w:pPr>
              <w:tabs>
                <w:tab w:val="left" w:pos="6300"/>
              </w:tabs>
              <w:snapToGrid w:val="0"/>
              <w:spacing w:line="360" w:lineRule="auto"/>
              <w:jc w:val="center"/>
              <w:outlineLvl w:val="0"/>
              <w:rPr>
                <w:rFonts w:hint="eastAsia" w:ascii="仿宋" w:hAnsi="仿宋" w:eastAsia="仿宋" w:cs="仿宋"/>
                <w:color w:val="auto"/>
                <w:sz w:val="24"/>
                <w:szCs w:val="24"/>
              </w:rPr>
            </w:pPr>
          </w:p>
        </w:tc>
        <w:tc>
          <w:tcPr>
            <w:tcW w:w="2759" w:type="dxa"/>
            <w:noWrap w:val="0"/>
            <w:vAlign w:val="center"/>
          </w:tcPr>
          <w:p w14:paraId="3FD71752">
            <w:pPr>
              <w:tabs>
                <w:tab w:val="left" w:pos="6300"/>
              </w:tabs>
              <w:snapToGrid w:val="0"/>
              <w:spacing w:line="360" w:lineRule="auto"/>
              <w:jc w:val="center"/>
              <w:outlineLvl w:val="0"/>
              <w:rPr>
                <w:rFonts w:hint="eastAsia" w:ascii="仿宋" w:hAnsi="仿宋" w:eastAsia="仿宋" w:cs="仿宋"/>
                <w:color w:val="auto"/>
                <w:sz w:val="24"/>
                <w:szCs w:val="24"/>
              </w:rPr>
            </w:pPr>
          </w:p>
        </w:tc>
        <w:tc>
          <w:tcPr>
            <w:tcW w:w="2067" w:type="dxa"/>
            <w:noWrap w:val="0"/>
            <w:vAlign w:val="center"/>
          </w:tcPr>
          <w:p w14:paraId="6E46DDBF">
            <w:pPr>
              <w:tabs>
                <w:tab w:val="left" w:pos="6300"/>
              </w:tabs>
              <w:snapToGrid w:val="0"/>
              <w:spacing w:line="360" w:lineRule="auto"/>
              <w:jc w:val="center"/>
              <w:outlineLvl w:val="0"/>
              <w:rPr>
                <w:rFonts w:hint="eastAsia" w:ascii="仿宋" w:hAnsi="仿宋" w:eastAsia="仿宋" w:cs="仿宋"/>
                <w:color w:val="auto"/>
                <w:sz w:val="24"/>
                <w:szCs w:val="24"/>
              </w:rPr>
            </w:pPr>
          </w:p>
        </w:tc>
      </w:tr>
      <w:tr w14:paraId="30213B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noWrap w:val="0"/>
            <w:vAlign w:val="center"/>
          </w:tcPr>
          <w:p w14:paraId="3B21377D">
            <w:pPr>
              <w:tabs>
                <w:tab w:val="left" w:pos="6300"/>
              </w:tabs>
              <w:snapToGrid w:val="0"/>
              <w:spacing w:line="360" w:lineRule="auto"/>
              <w:jc w:val="center"/>
              <w:outlineLvl w:val="0"/>
              <w:rPr>
                <w:rFonts w:hint="eastAsia" w:ascii="仿宋" w:hAnsi="仿宋" w:eastAsia="仿宋" w:cs="仿宋"/>
                <w:color w:val="auto"/>
                <w:sz w:val="24"/>
                <w:szCs w:val="24"/>
              </w:rPr>
            </w:pPr>
          </w:p>
        </w:tc>
        <w:tc>
          <w:tcPr>
            <w:tcW w:w="2658" w:type="dxa"/>
            <w:noWrap w:val="0"/>
            <w:vAlign w:val="center"/>
          </w:tcPr>
          <w:p w14:paraId="699DF335">
            <w:pPr>
              <w:tabs>
                <w:tab w:val="left" w:pos="6300"/>
              </w:tabs>
              <w:snapToGrid w:val="0"/>
              <w:spacing w:line="360" w:lineRule="auto"/>
              <w:jc w:val="center"/>
              <w:outlineLvl w:val="0"/>
              <w:rPr>
                <w:rFonts w:hint="eastAsia" w:ascii="仿宋" w:hAnsi="仿宋" w:eastAsia="仿宋" w:cs="仿宋"/>
                <w:color w:val="auto"/>
                <w:sz w:val="24"/>
                <w:szCs w:val="24"/>
              </w:rPr>
            </w:pPr>
          </w:p>
        </w:tc>
        <w:tc>
          <w:tcPr>
            <w:tcW w:w="2759" w:type="dxa"/>
            <w:noWrap w:val="0"/>
            <w:vAlign w:val="center"/>
          </w:tcPr>
          <w:p w14:paraId="2043661E">
            <w:pPr>
              <w:tabs>
                <w:tab w:val="left" w:pos="6300"/>
              </w:tabs>
              <w:snapToGrid w:val="0"/>
              <w:spacing w:line="360" w:lineRule="auto"/>
              <w:jc w:val="center"/>
              <w:outlineLvl w:val="0"/>
              <w:rPr>
                <w:rFonts w:hint="eastAsia" w:ascii="仿宋" w:hAnsi="仿宋" w:eastAsia="仿宋" w:cs="仿宋"/>
                <w:color w:val="auto"/>
                <w:sz w:val="24"/>
                <w:szCs w:val="24"/>
              </w:rPr>
            </w:pPr>
          </w:p>
        </w:tc>
        <w:tc>
          <w:tcPr>
            <w:tcW w:w="2067" w:type="dxa"/>
            <w:noWrap w:val="0"/>
            <w:vAlign w:val="center"/>
          </w:tcPr>
          <w:p w14:paraId="338E7F87">
            <w:pPr>
              <w:tabs>
                <w:tab w:val="left" w:pos="6300"/>
              </w:tabs>
              <w:snapToGrid w:val="0"/>
              <w:spacing w:line="360" w:lineRule="auto"/>
              <w:jc w:val="center"/>
              <w:outlineLvl w:val="0"/>
              <w:rPr>
                <w:rFonts w:hint="eastAsia" w:ascii="仿宋" w:hAnsi="仿宋" w:eastAsia="仿宋" w:cs="仿宋"/>
                <w:color w:val="auto"/>
                <w:sz w:val="24"/>
                <w:szCs w:val="24"/>
              </w:rPr>
            </w:pPr>
          </w:p>
        </w:tc>
      </w:tr>
      <w:tr w14:paraId="4D1B59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noWrap w:val="0"/>
            <w:vAlign w:val="center"/>
          </w:tcPr>
          <w:p w14:paraId="7AF4F0D4">
            <w:pPr>
              <w:tabs>
                <w:tab w:val="left" w:pos="6300"/>
              </w:tabs>
              <w:snapToGrid w:val="0"/>
              <w:spacing w:line="360" w:lineRule="auto"/>
              <w:jc w:val="center"/>
              <w:outlineLvl w:val="0"/>
              <w:rPr>
                <w:rFonts w:hint="eastAsia" w:ascii="仿宋" w:hAnsi="仿宋" w:eastAsia="仿宋" w:cs="仿宋"/>
                <w:color w:val="auto"/>
                <w:sz w:val="24"/>
                <w:szCs w:val="24"/>
              </w:rPr>
            </w:pPr>
          </w:p>
        </w:tc>
        <w:tc>
          <w:tcPr>
            <w:tcW w:w="2658" w:type="dxa"/>
            <w:noWrap w:val="0"/>
            <w:vAlign w:val="center"/>
          </w:tcPr>
          <w:p w14:paraId="729EBAF9">
            <w:pPr>
              <w:tabs>
                <w:tab w:val="left" w:pos="6300"/>
              </w:tabs>
              <w:snapToGrid w:val="0"/>
              <w:spacing w:line="360" w:lineRule="auto"/>
              <w:jc w:val="center"/>
              <w:outlineLvl w:val="0"/>
              <w:rPr>
                <w:rFonts w:hint="eastAsia" w:ascii="仿宋" w:hAnsi="仿宋" w:eastAsia="仿宋" w:cs="仿宋"/>
                <w:color w:val="auto"/>
                <w:sz w:val="24"/>
                <w:szCs w:val="24"/>
              </w:rPr>
            </w:pPr>
          </w:p>
        </w:tc>
        <w:tc>
          <w:tcPr>
            <w:tcW w:w="2759" w:type="dxa"/>
            <w:noWrap w:val="0"/>
            <w:vAlign w:val="center"/>
          </w:tcPr>
          <w:p w14:paraId="103EE1F3">
            <w:pPr>
              <w:tabs>
                <w:tab w:val="left" w:pos="6300"/>
              </w:tabs>
              <w:snapToGrid w:val="0"/>
              <w:spacing w:line="360" w:lineRule="auto"/>
              <w:jc w:val="center"/>
              <w:outlineLvl w:val="0"/>
              <w:rPr>
                <w:rFonts w:hint="eastAsia" w:ascii="仿宋" w:hAnsi="仿宋" w:eastAsia="仿宋" w:cs="仿宋"/>
                <w:color w:val="auto"/>
                <w:sz w:val="24"/>
                <w:szCs w:val="24"/>
              </w:rPr>
            </w:pPr>
          </w:p>
        </w:tc>
        <w:tc>
          <w:tcPr>
            <w:tcW w:w="2067" w:type="dxa"/>
            <w:noWrap w:val="0"/>
            <w:vAlign w:val="center"/>
          </w:tcPr>
          <w:p w14:paraId="18F8B24B">
            <w:pPr>
              <w:tabs>
                <w:tab w:val="left" w:pos="6300"/>
              </w:tabs>
              <w:snapToGrid w:val="0"/>
              <w:spacing w:line="360" w:lineRule="auto"/>
              <w:jc w:val="center"/>
              <w:outlineLvl w:val="0"/>
              <w:rPr>
                <w:rFonts w:hint="eastAsia" w:ascii="仿宋" w:hAnsi="仿宋" w:eastAsia="仿宋" w:cs="仿宋"/>
                <w:color w:val="auto"/>
                <w:sz w:val="24"/>
                <w:szCs w:val="24"/>
              </w:rPr>
            </w:pPr>
          </w:p>
        </w:tc>
      </w:tr>
      <w:tr w14:paraId="5DFB07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9" w:hRule="atLeast"/>
          <w:jc w:val="center"/>
        </w:trPr>
        <w:tc>
          <w:tcPr>
            <w:tcW w:w="1138" w:type="dxa"/>
            <w:noWrap w:val="0"/>
            <w:vAlign w:val="center"/>
          </w:tcPr>
          <w:p w14:paraId="216F62E5">
            <w:pPr>
              <w:tabs>
                <w:tab w:val="left" w:pos="6300"/>
              </w:tabs>
              <w:snapToGrid w:val="0"/>
              <w:spacing w:line="360" w:lineRule="auto"/>
              <w:jc w:val="center"/>
              <w:outlineLvl w:val="0"/>
              <w:rPr>
                <w:rFonts w:hint="eastAsia" w:ascii="仿宋" w:hAnsi="仿宋" w:eastAsia="仿宋" w:cs="仿宋"/>
                <w:color w:val="auto"/>
                <w:sz w:val="24"/>
                <w:szCs w:val="24"/>
              </w:rPr>
            </w:pPr>
          </w:p>
        </w:tc>
        <w:tc>
          <w:tcPr>
            <w:tcW w:w="2658" w:type="dxa"/>
            <w:noWrap w:val="0"/>
            <w:vAlign w:val="center"/>
          </w:tcPr>
          <w:p w14:paraId="03FA13F9">
            <w:pPr>
              <w:tabs>
                <w:tab w:val="left" w:pos="6300"/>
              </w:tabs>
              <w:snapToGrid w:val="0"/>
              <w:spacing w:line="360" w:lineRule="auto"/>
              <w:jc w:val="center"/>
              <w:outlineLvl w:val="0"/>
              <w:rPr>
                <w:rFonts w:hint="eastAsia" w:ascii="仿宋" w:hAnsi="仿宋" w:eastAsia="仿宋" w:cs="仿宋"/>
                <w:color w:val="auto"/>
                <w:sz w:val="24"/>
                <w:szCs w:val="24"/>
              </w:rPr>
            </w:pPr>
          </w:p>
        </w:tc>
        <w:tc>
          <w:tcPr>
            <w:tcW w:w="2759" w:type="dxa"/>
            <w:noWrap w:val="0"/>
            <w:vAlign w:val="center"/>
          </w:tcPr>
          <w:p w14:paraId="6B53CAB2">
            <w:pPr>
              <w:tabs>
                <w:tab w:val="left" w:pos="6300"/>
              </w:tabs>
              <w:snapToGrid w:val="0"/>
              <w:spacing w:line="360" w:lineRule="auto"/>
              <w:jc w:val="center"/>
              <w:outlineLvl w:val="0"/>
              <w:rPr>
                <w:rFonts w:hint="eastAsia" w:ascii="仿宋" w:hAnsi="仿宋" w:eastAsia="仿宋" w:cs="仿宋"/>
                <w:color w:val="auto"/>
                <w:sz w:val="24"/>
                <w:szCs w:val="24"/>
              </w:rPr>
            </w:pPr>
          </w:p>
        </w:tc>
        <w:tc>
          <w:tcPr>
            <w:tcW w:w="2067" w:type="dxa"/>
            <w:noWrap w:val="0"/>
            <w:vAlign w:val="center"/>
          </w:tcPr>
          <w:p w14:paraId="47DAE833">
            <w:pPr>
              <w:tabs>
                <w:tab w:val="left" w:pos="6300"/>
              </w:tabs>
              <w:snapToGrid w:val="0"/>
              <w:spacing w:line="360" w:lineRule="auto"/>
              <w:jc w:val="center"/>
              <w:outlineLvl w:val="0"/>
              <w:rPr>
                <w:rFonts w:hint="eastAsia" w:ascii="仿宋" w:hAnsi="仿宋" w:eastAsia="仿宋" w:cs="仿宋"/>
                <w:color w:val="auto"/>
                <w:sz w:val="24"/>
                <w:szCs w:val="24"/>
              </w:rPr>
            </w:pPr>
          </w:p>
        </w:tc>
      </w:tr>
    </w:tbl>
    <w:p w14:paraId="7C76F84C">
      <w:pPr>
        <w:spacing w:line="360" w:lineRule="auto"/>
        <w:ind w:firstLine="600" w:firstLineChars="250"/>
        <w:rPr>
          <w:rFonts w:hint="eastAsia" w:ascii="仿宋" w:hAnsi="仿宋" w:eastAsia="仿宋" w:cs="仿宋"/>
          <w:color w:val="auto"/>
          <w:sz w:val="24"/>
          <w:szCs w:val="24"/>
        </w:rPr>
      </w:pPr>
      <w:r>
        <w:rPr>
          <w:rFonts w:hint="eastAsia" w:ascii="仿宋" w:hAnsi="仿宋" w:eastAsia="仿宋" w:cs="仿宋"/>
          <w:color w:val="auto"/>
          <w:sz w:val="24"/>
          <w:szCs w:val="24"/>
        </w:rPr>
        <w:t>供应商：                                      法定代表人授权代表：</w:t>
      </w:r>
    </w:p>
    <w:p w14:paraId="7DC054F2">
      <w:pPr>
        <w:spacing w:line="360" w:lineRule="auto"/>
        <w:rPr>
          <w:rFonts w:hint="eastAsia" w:ascii="仿宋" w:hAnsi="仿宋" w:eastAsia="仿宋" w:cs="仿宋"/>
          <w:color w:val="auto"/>
          <w:sz w:val="24"/>
          <w:szCs w:val="24"/>
        </w:rPr>
      </w:pPr>
      <w:r>
        <w:rPr>
          <w:rFonts w:hint="eastAsia" w:ascii="仿宋" w:hAnsi="仿宋" w:eastAsia="仿宋" w:cs="仿宋"/>
          <w:color w:val="auto"/>
          <w:sz w:val="24"/>
          <w:szCs w:val="24"/>
        </w:rPr>
        <w:t xml:space="preserve">    </w:t>
      </w:r>
    </w:p>
    <w:p w14:paraId="1BE64165">
      <w:pPr>
        <w:spacing w:line="360" w:lineRule="auto"/>
        <w:ind w:firstLine="720" w:firstLineChars="300"/>
        <w:rPr>
          <w:rFonts w:hint="eastAsia" w:ascii="仿宋" w:hAnsi="仿宋" w:eastAsia="仿宋" w:cs="仿宋"/>
          <w:color w:val="auto"/>
          <w:sz w:val="24"/>
          <w:szCs w:val="24"/>
        </w:rPr>
      </w:pPr>
      <w:r>
        <w:rPr>
          <w:rFonts w:hint="eastAsia" w:ascii="仿宋" w:hAnsi="仿宋" w:eastAsia="仿宋" w:cs="仿宋"/>
          <w:color w:val="auto"/>
          <w:sz w:val="24"/>
          <w:szCs w:val="24"/>
        </w:rPr>
        <w:t>（供应商公章）                               （签字或盖章）</w:t>
      </w:r>
    </w:p>
    <w:p w14:paraId="3DD42D60">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 xml:space="preserve">                                              年     月     日</w:t>
      </w:r>
    </w:p>
    <w:p w14:paraId="72B13C4D">
      <w:pPr>
        <w:tabs>
          <w:tab w:val="left" w:pos="6300"/>
        </w:tabs>
        <w:snapToGrid w:val="0"/>
        <w:spacing w:line="360" w:lineRule="auto"/>
        <w:ind w:firstLine="480" w:firstLineChars="200"/>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rPr>
        <w:t>注：</w:t>
      </w:r>
      <w:r>
        <w:rPr>
          <w:rFonts w:hint="eastAsia" w:ascii="仿宋" w:hAnsi="仿宋" w:eastAsia="仿宋" w:cs="仿宋"/>
          <w:color w:val="auto"/>
          <w:sz w:val="24"/>
          <w:szCs w:val="24"/>
          <w:lang w:eastAsia="zh-CN"/>
        </w:rPr>
        <w:t>根据所投分包号要求按以下要求进行比较和响应。</w:t>
      </w:r>
    </w:p>
    <w:p w14:paraId="5560FCC8">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1.本表即为对本项目“第二篇  项目服务需求”中所列服务要求进行比较和响应；</w:t>
      </w:r>
    </w:p>
    <w:p w14:paraId="3664CF5D">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2.该表必须按照</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要求逐条如实填写，根据响应情况在“差异说明”项填写正偏离或负偏离及原因，完全符合的填写“无差异”；</w:t>
      </w:r>
    </w:p>
    <w:p w14:paraId="2EB487EE">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3.该表可扩展，并逐页签字或盖章；</w:t>
      </w:r>
    </w:p>
    <w:p w14:paraId="79CCBDD6">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4.可附相关支撑材料。（格式自定）</w:t>
      </w:r>
    </w:p>
    <w:p w14:paraId="2020A4A5">
      <w:pPr>
        <w:spacing w:line="360" w:lineRule="auto"/>
        <w:rPr>
          <w:rFonts w:hint="eastAsia" w:ascii="仿宋" w:hAnsi="仿宋" w:eastAsia="仿宋" w:cs="仿宋"/>
          <w:color w:val="auto"/>
        </w:rPr>
      </w:pPr>
      <w:r>
        <w:rPr>
          <w:rFonts w:hint="eastAsia" w:ascii="仿宋" w:hAnsi="仿宋" w:eastAsia="仿宋" w:cs="仿宋"/>
          <w:b w:val="0"/>
          <w:color w:val="auto"/>
        </w:rPr>
        <w:br w:type="page"/>
      </w:r>
      <w:r>
        <w:rPr>
          <w:rFonts w:hint="eastAsia" w:ascii="仿宋" w:hAnsi="仿宋" w:eastAsia="仿宋" w:cs="仿宋"/>
          <w:b w:val="0"/>
          <w:color w:val="auto"/>
          <w:lang w:eastAsia="zh-CN"/>
        </w:rPr>
        <w:t>（二）</w:t>
      </w:r>
      <w:r>
        <w:rPr>
          <w:rFonts w:hint="eastAsia" w:ascii="仿宋" w:hAnsi="仿宋" w:eastAsia="仿宋" w:cs="仿宋"/>
          <w:color w:val="auto"/>
          <w:lang w:eastAsia="zh-CN"/>
        </w:rPr>
        <w:t>服务方案</w:t>
      </w:r>
      <w:r>
        <w:rPr>
          <w:rFonts w:hint="eastAsia" w:ascii="仿宋" w:hAnsi="仿宋" w:eastAsia="仿宋" w:cs="仿宋"/>
          <w:color w:val="auto"/>
          <w:sz w:val="24"/>
          <w:szCs w:val="24"/>
          <w:highlight w:val="none"/>
          <w:lang w:eastAsia="zh-CN"/>
        </w:rPr>
        <w:t>（格式自定）</w:t>
      </w:r>
    </w:p>
    <w:p w14:paraId="0BD26778">
      <w:pPr>
        <w:pStyle w:val="5"/>
        <w:spacing w:before="0" w:after="0" w:line="360" w:lineRule="auto"/>
        <w:rPr>
          <w:rFonts w:hint="eastAsia" w:ascii="仿宋" w:hAnsi="仿宋" w:eastAsia="仿宋" w:cs="仿宋"/>
          <w:color w:val="auto"/>
          <w:sz w:val="24"/>
          <w:szCs w:val="24"/>
        </w:rPr>
      </w:pPr>
      <w:r>
        <w:rPr>
          <w:rFonts w:hint="eastAsia" w:ascii="仿宋" w:hAnsi="仿宋" w:eastAsia="仿宋" w:cs="仿宋"/>
          <w:color w:val="auto"/>
          <w:szCs w:val="24"/>
        </w:rPr>
        <w:br w:type="page"/>
      </w:r>
      <w:bookmarkStart w:id="183" w:name="_Toc29029"/>
      <w:bookmarkStart w:id="184" w:name="_Toc342913421"/>
      <w:bookmarkStart w:id="185" w:name="_Toc313888362"/>
      <w:bookmarkStart w:id="186" w:name="_Toc313008358"/>
      <w:r>
        <w:rPr>
          <w:rFonts w:hint="eastAsia" w:ascii="仿宋" w:hAnsi="仿宋" w:eastAsia="仿宋" w:cs="仿宋"/>
          <w:color w:val="auto"/>
          <w:sz w:val="24"/>
          <w:szCs w:val="24"/>
        </w:rPr>
        <w:t>三、商务部分</w:t>
      </w:r>
      <w:bookmarkEnd w:id="183"/>
      <w:bookmarkEnd w:id="184"/>
      <w:bookmarkEnd w:id="185"/>
      <w:bookmarkEnd w:id="186"/>
    </w:p>
    <w:p w14:paraId="5A03F037">
      <w:pPr>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eastAsia="zh-CN"/>
        </w:rPr>
        <w:t>一</w:t>
      </w:r>
      <w:r>
        <w:rPr>
          <w:rFonts w:hint="eastAsia" w:ascii="仿宋" w:hAnsi="仿宋" w:eastAsia="仿宋" w:cs="仿宋"/>
          <w:color w:val="auto"/>
          <w:sz w:val="24"/>
          <w:szCs w:val="24"/>
        </w:rPr>
        <w:t>）项目商务需求偏离表</w:t>
      </w:r>
    </w:p>
    <w:p w14:paraId="75CBF241">
      <w:pPr>
        <w:snapToGrid w:val="0"/>
        <w:spacing w:line="360" w:lineRule="auto"/>
        <w:jc w:val="center"/>
        <w:rPr>
          <w:rFonts w:hint="eastAsia" w:ascii="仿宋" w:hAnsi="仿宋" w:eastAsia="仿宋" w:cs="仿宋"/>
          <w:b/>
          <w:color w:val="auto"/>
          <w:sz w:val="24"/>
          <w:szCs w:val="24"/>
        </w:rPr>
      </w:pPr>
      <w:r>
        <w:rPr>
          <w:rFonts w:hint="eastAsia" w:ascii="仿宋" w:hAnsi="仿宋" w:eastAsia="仿宋" w:cs="仿宋"/>
          <w:b/>
          <w:color w:val="auto"/>
          <w:sz w:val="24"/>
          <w:szCs w:val="24"/>
        </w:rPr>
        <w:t>商务响应偏离表</w:t>
      </w:r>
    </w:p>
    <w:p w14:paraId="31884187">
      <w:pPr>
        <w:snapToGrid w:val="0"/>
        <w:spacing w:line="360" w:lineRule="auto"/>
        <w:ind w:firstLine="360" w:firstLineChars="150"/>
        <w:rPr>
          <w:rFonts w:hint="eastAsia" w:ascii="仿宋" w:hAnsi="仿宋" w:eastAsia="仿宋" w:cs="仿宋"/>
          <w:color w:val="auto"/>
          <w:sz w:val="24"/>
          <w:szCs w:val="24"/>
        </w:rPr>
      </w:pPr>
      <w:r>
        <w:rPr>
          <w:rFonts w:hint="eastAsia" w:ascii="仿宋" w:hAnsi="仿宋" w:eastAsia="仿宋" w:cs="仿宋"/>
          <w:color w:val="auto"/>
          <w:sz w:val="24"/>
          <w:szCs w:val="24"/>
        </w:rPr>
        <w:t xml:space="preserve"> </w:t>
      </w:r>
      <w:r>
        <w:rPr>
          <w:rFonts w:hint="eastAsia" w:ascii="方正仿宋_GBK" w:hAnsi="宋体" w:eastAsia="方正仿宋_GBK"/>
          <w:color w:val="auto"/>
          <w:sz w:val="24"/>
          <w:szCs w:val="24"/>
        </w:rPr>
        <w:t>项目名称：</w:t>
      </w:r>
    </w:p>
    <w:tbl>
      <w:tblPr>
        <w:tblStyle w:val="15"/>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10"/>
        <w:gridCol w:w="3179"/>
        <w:gridCol w:w="2434"/>
        <w:gridCol w:w="2355"/>
      </w:tblGrid>
      <w:tr w14:paraId="43ED3D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5" w:hRule="atLeast"/>
        </w:trPr>
        <w:tc>
          <w:tcPr>
            <w:tcW w:w="1510" w:type="dxa"/>
            <w:noWrap w:val="0"/>
            <w:vAlign w:val="center"/>
          </w:tcPr>
          <w:p w14:paraId="2FB61DDD">
            <w:pPr>
              <w:snapToGrid w:val="0"/>
              <w:spacing w:line="360" w:lineRule="auto"/>
              <w:ind w:firstLine="465"/>
              <w:rPr>
                <w:rFonts w:hint="eastAsia" w:ascii="仿宋" w:hAnsi="仿宋" w:eastAsia="仿宋" w:cs="仿宋"/>
                <w:color w:val="auto"/>
                <w:sz w:val="24"/>
                <w:szCs w:val="24"/>
              </w:rPr>
            </w:pPr>
            <w:r>
              <w:rPr>
                <w:rFonts w:hint="eastAsia" w:ascii="仿宋" w:hAnsi="仿宋" w:eastAsia="仿宋" w:cs="仿宋"/>
                <w:color w:val="auto"/>
                <w:sz w:val="24"/>
                <w:szCs w:val="24"/>
              </w:rPr>
              <w:t>序号</w:t>
            </w:r>
          </w:p>
        </w:tc>
        <w:tc>
          <w:tcPr>
            <w:tcW w:w="3179" w:type="dxa"/>
            <w:noWrap w:val="0"/>
            <w:vAlign w:val="center"/>
          </w:tcPr>
          <w:p w14:paraId="7E4EABAD">
            <w:pPr>
              <w:tabs>
                <w:tab w:val="left" w:pos="6300"/>
              </w:tabs>
              <w:snapToGrid w:val="0"/>
              <w:spacing w:line="360" w:lineRule="auto"/>
              <w:jc w:val="center"/>
              <w:outlineLvl w:val="0"/>
              <w:rPr>
                <w:rFonts w:hint="eastAsia" w:ascii="仿宋" w:hAnsi="仿宋" w:eastAsia="仿宋" w:cs="仿宋"/>
                <w:color w:val="auto"/>
                <w:sz w:val="24"/>
                <w:szCs w:val="24"/>
              </w:rPr>
            </w:pP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项目商务需求</w:t>
            </w:r>
          </w:p>
        </w:tc>
        <w:tc>
          <w:tcPr>
            <w:tcW w:w="2434" w:type="dxa"/>
            <w:noWrap w:val="0"/>
            <w:vAlign w:val="center"/>
          </w:tcPr>
          <w:p w14:paraId="47E95CB6">
            <w:pPr>
              <w:tabs>
                <w:tab w:val="left" w:pos="6300"/>
              </w:tabs>
              <w:snapToGrid w:val="0"/>
              <w:spacing w:line="360" w:lineRule="auto"/>
              <w:jc w:val="center"/>
              <w:outlineLvl w:val="0"/>
              <w:rPr>
                <w:rFonts w:hint="eastAsia" w:ascii="仿宋" w:hAnsi="仿宋" w:eastAsia="仿宋" w:cs="仿宋"/>
                <w:color w:val="auto"/>
                <w:sz w:val="24"/>
                <w:szCs w:val="24"/>
              </w:rPr>
            </w:pPr>
            <w:r>
              <w:rPr>
                <w:rFonts w:hint="eastAsia" w:ascii="仿宋" w:hAnsi="仿宋" w:eastAsia="仿宋" w:cs="仿宋"/>
                <w:color w:val="auto"/>
                <w:sz w:val="24"/>
                <w:szCs w:val="24"/>
              </w:rPr>
              <w:t>响应情况</w:t>
            </w:r>
          </w:p>
        </w:tc>
        <w:tc>
          <w:tcPr>
            <w:tcW w:w="2355" w:type="dxa"/>
            <w:noWrap w:val="0"/>
            <w:vAlign w:val="center"/>
          </w:tcPr>
          <w:p w14:paraId="236F0793">
            <w:pPr>
              <w:tabs>
                <w:tab w:val="left" w:pos="6300"/>
              </w:tabs>
              <w:snapToGrid w:val="0"/>
              <w:spacing w:line="360" w:lineRule="auto"/>
              <w:jc w:val="center"/>
              <w:outlineLvl w:val="0"/>
              <w:rPr>
                <w:rFonts w:hint="eastAsia" w:ascii="仿宋" w:hAnsi="仿宋" w:eastAsia="仿宋" w:cs="仿宋"/>
                <w:color w:val="auto"/>
                <w:sz w:val="24"/>
                <w:szCs w:val="24"/>
              </w:rPr>
            </w:pPr>
            <w:r>
              <w:rPr>
                <w:rFonts w:hint="eastAsia" w:ascii="仿宋" w:hAnsi="仿宋" w:eastAsia="仿宋" w:cs="仿宋"/>
                <w:color w:val="auto"/>
                <w:sz w:val="24"/>
                <w:szCs w:val="24"/>
              </w:rPr>
              <w:t>差异说明</w:t>
            </w:r>
          </w:p>
        </w:tc>
      </w:tr>
      <w:tr w14:paraId="6AEB76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1510" w:type="dxa"/>
            <w:noWrap w:val="0"/>
            <w:vAlign w:val="center"/>
          </w:tcPr>
          <w:p w14:paraId="2F07108E">
            <w:pPr>
              <w:tabs>
                <w:tab w:val="left" w:pos="6300"/>
              </w:tabs>
              <w:snapToGrid w:val="0"/>
              <w:spacing w:line="360" w:lineRule="auto"/>
              <w:jc w:val="center"/>
              <w:outlineLvl w:val="0"/>
              <w:rPr>
                <w:rFonts w:hint="eastAsia" w:ascii="仿宋" w:hAnsi="仿宋" w:eastAsia="仿宋" w:cs="仿宋"/>
                <w:color w:val="auto"/>
                <w:sz w:val="24"/>
                <w:szCs w:val="24"/>
              </w:rPr>
            </w:pPr>
          </w:p>
        </w:tc>
        <w:tc>
          <w:tcPr>
            <w:tcW w:w="3179" w:type="dxa"/>
            <w:noWrap w:val="0"/>
            <w:vAlign w:val="center"/>
          </w:tcPr>
          <w:p w14:paraId="495C8263">
            <w:pPr>
              <w:tabs>
                <w:tab w:val="left" w:pos="6300"/>
              </w:tabs>
              <w:snapToGrid w:val="0"/>
              <w:spacing w:line="360" w:lineRule="auto"/>
              <w:jc w:val="center"/>
              <w:outlineLvl w:val="0"/>
              <w:rPr>
                <w:rFonts w:hint="eastAsia" w:ascii="仿宋" w:hAnsi="仿宋" w:eastAsia="仿宋" w:cs="仿宋"/>
                <w:color w:val="auto"/>
                <w:sz w:val="24"/>
                <w:szCs w:val="24"/>
              </w:rPr>
            </w:pPr>
          </w:p>
        </w:tc>
        <w:tc>
          <w:tcPr>
            <w:tcW w:w="2434" w:type="dxa"/>
            <w:noWrap w:val="0"/>
            <w:vAlign w:val="center"/>
          </w:tcPr>
          <w:p w14:paraId="43515449">
            <w:pPr>
              <w:tabs>
                <w:tab w:val="left" w:pos="6300"/>
              </w:tabs>
              <w:snapToGrid w:val="0"/>
              <w:spacing w:line="360" w:lineRule="auto"/>
              <w:jc w:val="center"/>
              <w:outlineLvl w:val="0"/>
              <w:rPr>
                <w:rFonts w:hint="eastAsia" w:ascii="仿宋" w:hAnsi="仿宋" w:eastAsia="仿宋" w:cs="仿宋"/>
                <w:color w:val="auto"/>
                <w:sz w:val="24"/>
                <w:szCs w:val="24"/>
              </w:rPr>
            </w:pPr>
          </w:p>
        </w:tc>
        <w:tc>
          <w:tcPr>
            <w:tcW w:w="2355" w:type="dxa"/>
            <w:noWrap w:val="0"/>
            <w:vAlign w:val="center"/>
          </w:tcPr>
          <w:p w14:paraId="74CE1C5B">
            <w:pPr>
              <w:tabs>
                <w:tab w:val="left" w:pos="6300"/>
              </w:tabs>
              <w:snapToGrid w:val="0"/>
              <w:spacing w:line="360" w:lineRule="auto"/>
              <w:jc w:val="center"/>
              <w:outlineLvl w:val="0"/>
              <w:rPr>
                <w:rFonts w:hint="eastAsia" w:ascii="仿宋" w:hAnsi="仿宋" w:eastAsia="仿宋" w:cs="仿宋"/>
                <w:color w:val="auto"/>
                <w:sz w:val="24"/>
                <w:szCs w:val="24"/>
              </w:rPr>
            </w:pPr>
          </w:p>
        </w:tc>
      </w:tr>
      <w:tr w14:paraId="435901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1510" w:type="dxa"/>
            <w:noWrap w:val="0"/>
            <w:vAlign w:val="center"/>
          </w:tcPr>
          <w:p w14:paraId="61FF0715">
            <w:pPr>
              <w:tabs>
                <w:tab w:val="left" w:pos="6300"/>
              </w:tabs>
              <w:snapToGrid w:val="0"/>
              <w:spacing w:line="360" w:lineRule="auto"/>
              <w:jc w:val="center"/>
              <w:outlineLvl w:val="0"/>
              <w:rPr>
                <w:rFonts w:hint="eastAsia" w:ascii="仿宋" w:hAnsi="仿宋" w:eastAsia="仿宋" w:cs="仿宋"/>
                <w:color w:val="auto"/>
                <w:sz w:val="24"/>
                <w:szCs w:val="24"/>
              </w:rPr>
            </w:pPr>
          </w:p>
        </w:tc>
        <w:tc>
          <w:tcPr>
            <w:tcW w:w="3179" w:type="dxa"/>
            <w:noWrap w:val="0"/>
            <w:vAlign w:val="center"/>
          </w:tcPr>
          <w:p w14:paraId="4B4104A2">
            <w:pPr>
              <w:tabs>
                <w:tab w:val="left" w:pos="6300"/>
              </w:tabs>
              <w:snapToGrid w:val="0"/>
              <w:spacing w:line="360" w:lineRule="auto"/>
              <w:jc w:val="center"/>
              <w:outlineLvl w:val="0"/>
              <w:rPr>
                <w:rFonts w:hint="eastAsia" w:ascii="仿宋" w:hAnsi="仿宋" w:eastAsia="仿宋" w:cs="仿宋"/>
                <w:color w:val="auto"/>
                <w:sz w:val="24"/>
                <w:szCs w:val="24"/>
              </w:rPr>
            </w:pPr>
          </w:p>
        </w:tc>
        <w:tc>
          <w:tcPr>
            <w:tcW w:w="2434" w:type="dxa"/>
            <w:noWrap w:val="0"/>
            <w:vAlign w:val="center"/>
          </w:tcPr>
          <w:p w14:paraId="09724411">
            <w:pPr>
              <w:tabs>
                <w:tab w:val="left" w:pos="6300"/>
              </w:tabs>
              <w:snapToGrid w:val="0"/>
              <w:spacing w:line="360" w:lineRule="auto"/>
              <w:jc w:val="center"/>
              <w:outlineLvl w:val="0"/>
              <w:rPr>
                <w:rFonts w:hint="eastAsia" w:ascii="仿宋" w:hAnsi="仿宋" w:eastAsia="仿宋" w:cs="仿宋"/>
                <w:color w:val="auto"/>
                <w:sz w:val="24"/>
                <w:szCs w:val="24"/>
              </w:rPr>
            </w:pPr>
          </w:p>
        </w:tc>
        <w:tc>
          <w:tcPr>
            <w:tcW w:w="2355" w:type="dxa"/>
            <w:noWrap w:val="0"/>
            <w:vAlign w:val="center"/>
          </w:tcPr>
          <w:p w14:paraId="3950AB12">
            <w:pPr>
              <w:tabs>
                <w:tab w:val="left" w:pos="6300"/>
              </w:tabs>
              <w:snapToGrid w:val="0"/>
              <w:spacing w:line="360" w:lineRule="auto"/>
              <w:jc w:val="center"/>
              <w:outlineLvl w:val="0"/>
              <w:rPr>
                <w:rFonts w:hint="eastAsia" w:ascii="仿宋" w:hAnsi="仿宋" w:eastAsia="仿宋" w:cs="仿宋"/>
                <w:color w:val="auto"/>
                <w:sz w:val="24"/>
                <w:szCs w:val="24"/>
              </w:rPr>
            </w:pPr>
          </w:p>
        </w:tc>
      </w:tr>
      <w:tr w14:paraId="5E40F5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1510" w:type="dxa"/>
            <w:noWrap w:val="0"/>
            <w:vAlign w:val="center"/>
          </w:tcPr>
          <w:p w14:paraId="0B52372F">
            <w:pPr>
              <w:tabs>
                <w:tab w:val="left" w:pos="6300"/>
              </w:tabs>
              <w:snapToGrid w:val="0"/>
              <w:spacing w:line="360" w:lineRule="auto"/>
              <w:jc w:val="center"/>
              <w:outlineLvl w:val="0"/>
              <w:rPr>
                <w:rFonts w:hint="eastAsia" w:ascii="仿宋" w:hAnsi="仿宋" w:eastAsia="仿宋" w:cs="仿宋"/>
                <w:color w:val="auto"/>
                <w:sz w:val="24"/>
                <w:szCs w:val="24"/>
              </w:rPr>
            </w:pPr>
          </w:p>
        </w:tc>
        <w:tc>
          <w:tcPr>
            <w:tcW w:w="3179" w:type="dxa"/>
            <w:noWrap w:val="0"/>
            <w:vAlign w:val="center"/>
          </w:tcPr>
          <w:p w14:paraId="6911C2F4">
            <w:pPr>
              <w:tabs>
                <w:tab w:val="left" w:pos="6300"/>
              </w:tabs>
              <w:snapToGrid w:val="0"/>
              <w:spacing w:line="360" w:lineRule="auto"/>
              <w:jc w:val="center"/>
              <w:outlineLvl w:val="0"/>
              <w:rPr>
                <w:rFonts w:hint="eastAsia" w:ascii="仿宋" w:hAnsi="仿宋" w:eastAsia="仿宋" w:cs="仿宋"/>
                <w:color w:val="auto"/>
                <w:sz w:val="24"/>
                <w:szCs w:val="24"/>
              </w:rPr>
            </w:pPr>
          </w:p>
        </w:tc>
        <w:tc>
          <w:tcPr>
            <w:tcW w:w="2434" w:type="dxa"/>
            <w:noWrap w:val="0"/>
            <w:vAlign w:val="center"/>
          </w:tcPr>
          <w:p w14:paraId="210B36B8">
            <w:pPr>
              <w:tabs>
                <w:tab w:val="left" w:pos="6300"/>
              </w:tabs>
              <w:snapToGrid w:val="0"/>
              <w:spacing w:line="360" w:lineRule="auto"/>
              <w:jc w:val="center"/>
              <w:outlineLvl w:val="0"/>
              <w:rPr>
                <w:rFonts w:hint="eastAsia" w:ascii="仿宋" w:hAnsi="仿宋" w:eastAsia="仿宋" w:cs="仿宋"/>
                <w:color w:val="auto"/>
                <w:sz w:val="24"/>
                <w:szCs w:val="24"/>
              </w:rPr>
            </w:pPr>
          </w:p>
        </w:tc>
        <w:tc>
          <w:tcPr>
            <w:tcW w:w="2355" w:type="dxa"/>
            <w:noWrap w:val="0"/>
            <w:vAlign w:val="center"/>
          </w:tcPr>
          <w:p w14:paraId="25979049">
            <w:pPr>
              <w:tabs>
                <w:tab w:val="left" w:pos="6300"/>
              </w:tabs>
              <w:snapToGrid w:val="0"/>
              <w:spacing w:line="360" w:lineRule="auto"/>
              <w:jc w:val="center"/>
              <w:outlineLvl w:val="0"/>
              <w:rPr>
                <w:rFonts w:hint="eastAsia" w:ascii="仿宋" w:hAnsi="仿宋" w:eastAsia="仿宋" w:cs="仿宋"/>
                <w:color w:val="auto"/>
                <w:sz w:val="24"/>
                <w:szCs w:val="24"/>
              </w:rPr>
            </w:pPr>
          </w:p>
        </w:tc>
      </w:tr>
      <w:tr w14:paraId="280243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1510" w:type="dxa"/>
            <w:noWrap w:val="0"/>
            <w:vAlign w:val="center"/>
          </w:tcPr>
          <w:p w14:paraId="691ECD47">
            <w:pPr>
              <w:tabs>
                <w:tab w:val="left" w:pos="6300"/>
              </w:tabs>
              <w:snapToGrid w:val="0"/>
              <w:spacing w:line="360" w:lineRule="auto"/>
              <w:jc w:val="center"/>
              <w:outlineLvl w:val="0"/>
              <w:rPr>
                <w:rFonts w:hint="eastAsia" w:ascii="仿宋" w:hAnsi="仿宋" w:eastAsia="仿宋" w:cs="仿宋"/>
                <w:color w:val="auto"/>
                <w:sz w:val="24"/>
                <w:szCs w:val="24"/>
              </w:rPr>
            </w:pPr>
          </w:p>
        </w:tc>
        <w:tc>
          <w:tcPr>
            <w:tcW w:w="3179" w:type="dxa"/>
            <w:noWrap w:val="0"/>
            <w:vAlign w:val="center"/>
          </w:tcPr>
          <w:p w14:paraId="276ABEBA">
            <w:pPr>
              <w:tabs>
                <w:tab w:val="left" w:pos="6300"/>
              </w:tabs>
              <w:snapToGrid w:val="0"/>
              <w:spacing w:line="360" w:lineRule="auto"/>
              <w:jc w:val="center"/>
              <w:outlineLvl w:val="0"/>
              <w:rPr>
                <w:rFonts w:hint="eastAsia" w:ascii="仿宋" w:hAnsi="仿宋" w:eastAsia="仿宋" w:cs="仿宋"/>
                <w:color w:val="auto"/>
                <w:sz w:val="24"/>
                <w:szCs w:val="24"/>
              </w:rPr>
            </w:pPr>
          </w:p>
        </w:tc>
        <w:tc>
          <w:tcPr>
            <w:tcW w:w="2434" w:type="dxa"/>
            <w:noWrap w:val="0"/>
            <w:vAlign w:val="center"/>
          </w:tcPr>
          <w:p w14:paraId="3A7269E1">
            <w:pPr>
              <w:tabs>
                <w:tab w:val="left" w:pos="6300"/>
              </w:tabs>
              <w:snapToGrid w:val="0"/>
              <w:spacing w:line="360" w:lineRule="auto"/>
              <w:jc w:val="center"/>
              <w:outlineLvl w:val="0"/>
              <w:rPr>
                <w:rFonts w:hint="eastAsia" w:ascii="仿宋" w:hAnsi="仿宋" w:eastAsia="仿宋" w:cs="仿宋"/>
                <w:color w:val="auto"/>
                <w:sz w:val="24"/>
                <w:szCs w:val="24"/>
              </w:rPr>
            </w:pPr>
          </w:p>
        </w:tc>
        <w:tc>
          <w:tcPr>
            <w:tcW w:w="2355" w:type="dxa"/>
            <w:noWrap w:val="0"/>
            <w:vAlign w:val="center"/>
          </w:tcPr>
          <w:p w14:paraId="182BF966">
            <w:pPr>
              <w:tabs>
                <w:tab w:val="left" w:pos="6300"/>
              </w:tabs>
              <w:snapToGrid w:val="0"/>
              <w:spacing w:line="360" w:lineRule="auto"/>
              <w:jc w:val="center"/>
              <w:outlineLvl w:val="0"/>
              <w:rPr>
                <w:rFonts w:hint="eastAsia" w:ascii="仿宋" w:hAnsi="仿宋" w:eastAsia="仿宋" w:cs="仿宋"/>
                <w:color w:val="auto"/>
                <w:sz w:val="24"/>
                <w:szCs w:val="24"/>
              </w:rPr>
            </w:pPr>
          </w:p>
        </w:tc>
      </w:tr>
      <w:tr w14:paraId="67C9FA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1510" w:type="dxa"/>
            <w:noWrap w:val="0"/>
            <w:vAlign w:val="center"/>
          </w:tcPr>
          <w:p w14:paraId="58027D86">
            <w:pPr>
              <w:tabs>
                <w:tab w:val="left" w:pos="6300"/>
              </w:tabs>
              <w:snapToGrid w:val="0"/>
              <w:spacing w:line="360" w:lineRule="auto"/>
              <w:jc w:val="center"/>
              <w:outlineLvl w:val="0"/>
              <w:rPr>
                <w:rFonts w:hint="eastAsia" w:ascii="仿宋" w:hAnsi="仿宋" w:eastAsia="仿宋" w:cs="仿宋"/>
                <w:color w:val="auto"/>
                <w:sz w:val="24"/>
                <w:szCs w:val="24"/>
              </w:rPr>
            </w:pPr>
          </w:p>
        </w:tc>
        <w:tc>
          <w:tcPr>
            <w:tcW w:w="3179" w:type="dxa"/>
            <w:noWrap w:val="0"/>
            <w:vAlign w:val="center"/>
          </w:tcPr>
          <w:p w14:paraId="36D65EA5">
            <w:pPr>
              <w:tabs>
                <w:tab w:val="left" w:pos="6300"/>
              </w:tabs>
              <w:snapToGrid w:val="0"/>
              <w:spacing w:line="360" w:lineRule="auto"/>
              <w:jc w:val="center"/>
              <w:outlineLvl w:val="0"/>
              <w:rPr>
                <w:rFonts w:hint="eastAsia" w:ascii="仿宋" w:hAnsi="仿宋" w:eastAsia="仿宋" w:cs="仿宋"/>
                <w:color w:val="auto"/>
                <w:sz w:val="24"/>
                <w:szCs w:val="24"/>
              </w:rPr>
            </w:pPr>
          </w:p>
        </w:tc>
        <w:tc>
          <w:tcPr>
            <w:tcW w:w="2434" w:type="dxa"/>
            <w:noWrap w:val="0"/>
            <w:vAlign w:val="center"/>
          </w:tcPr>
          <w:p w14:paraId="3F780A93">
            <w:pPr>
              <w:tabs>
                <w:tab w:val="left" w:pos="6300"/>
              </w:tabs>
              <w:snapToGrid w:val="0"/>
              <w:spacing w:line="360" w:lineRule="auto"/>
              <w:jc w:val="center"/>
              <w:outlineLvl w:val="0"/>
              <w:rPr>
                <w:rFonts w:hint="eastAsia" w:ascii="仿宋" w:hAnsi="仿宋" w:eastAsia="仿宋" w:cs="仿宋"/>
                <w:color w:val="auto"/>
                <w:sz w:val="24"/>
                <w:szCs w:val="24"/>
              </w:rPr>
            </w:pPr>
          </w:p>
        </w:tc>
        <w:tc>
          <w:tcPr>
            <w:tcW w:w="2355" w:type="dxa"/>
            <w:noWrap w:val="0"/>
            <w:vAlign w:val="center"/>
          </w:tcPr>
          <w:p w14:paraId="28CCC567">
            <w:pPr>
              <w:tabs>
                <w:tab w:val="left" w:pos="6300"/>
              </w:tabs>
              <w:snapToGrid w:val="0"/>
              <w:spacing w:line="360" w:lineRule="auto"/>
              <w:jc w:val="center"/>
              <w:outlineLvl w:val="0"/>
              <w:rPr>
                <w:rFonts w:hint="eastAsia" w:ascii="仿宋" w:hAnsi="仿宋" w:eastAsia="仿宋" w:cs="仿宋"/>
                <w:color w:val="auto"/>
                <w:sz w:val="24"/>
                <w:szCs w:val="24"/>
              </w:rPr>
            </w:pPr>
          </w:p>
        </w:tc>
      </w:tr>
      <w:tr w14:paraId="0910BA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1510" w:type="dxa"/>
            <w:noWrap w:val="0"/>
            <w:vAlign w:val="center"/>
          </w:tcPr>
          <w:p w14:paraId="0477C2B5">
            <w:pPr>
              <w:tabs>
                <w:tab w:val="left" w:pos="6300"/>
              </w:tabs>
              <w:snapToGrid w:val="0"/>
              <w:spacing w:line="360" w:lineRule="auto"/>
              <w:jc w:val="center"/>
              <w:outlineLvl w:val="0"/>
              <w:rPr>
                <w:rFonts w:hint="eastAsia" w:ascii="仿宋" w:hAnsi="仿宋" w:eastAsia="仿宋" w:cs="仿宋"/>
                <w:color w:val="auto"/>
                <w:sz w:val="24"/>
                <w:szCs w:val="24"/>
              </w:rPr>
            </w:pPr>
          </w:p>
        </w:tc>
        <w:tc>
          <w:tcPr>
            <w:tcW w:w="3179" w:type="dxa"/>
            <w:noWrap w:val="0"/>
            <w:vAlign w:val="center"/>
          </w:tcPr>
          <w:p w14:paraId="1C306544">
            <w:pPr>
              <w:tabs>
                <w:tab w:val="left" w:pos="6300"/>
              </w:tabs>
              <w:snapToGrid w:val="0"/>
              <w:spacing w:line="360" w:lineRule="auto"/>
              <w:jc w:val="center"/>
              <w:outlineLvl w:val="0"/>
              <w:rPr>
                <w:rFonts w:hint="eastAsia" w:ascii="仿宋" w:hAnsi="仿宋" w:eastAsia="仿宋" w:cs="仿宋"/>
                <w:color w:val="auto"/>
                <w:sz w:val="24"/>
                <w:szCs w:val="24"/>
              </w:rPr>
            </w:pPr>
          </w:p>
        </w:tc>
        <w:tc>
          <w:tcPr>
            <w:tcW w:w="2434" w:type="dxa"/>
            <w:noWrap w:val="0"/>
            <w:vAlign w:val="center"/>
          </w:tcPr>
          <w:p w14:paraId="7FE7D709">
            <w:pPr>
              <w:tabs>
                <w:tab w:val="left" w:pos="6300"/>
              </w:tabs>
              <w:snapToGrid w:val="0"/>
              <w:spacing w:line="360" w:lineRule="auto"/>
              <w:jc w:val="center"/>
              <w:outlineLvl w:val="0"/>
              <w:rPr>
                <w:rFonts w:hint="eastAsia" w:ascii="仿宋" w:hAnsi="仿宋" w:eastAsia="仿宋" w:cs="仿宋"/>
                <w:color w:val="auto"/>
                <w:sz w:val="24"/>
                <w:szCs w:val="24"/>
              </w:rPr>
            </w:pPr>
          </w:p>
        </w:tc>
        <w:tc>
          <w:tcPr>
            <w:tcW w:w="2355" w:type="dxa"/>
            <w:noWrap w:val="0"/>
            <w:vAlign w:val="center"/>
          </w:tcPr>
          <w:p w14:paraId="4D6E7A94">
            <w:pPr>
              <w:tabs>
                <w:tab w:val="left" w:pos="6300"/>
              </w:tabs>
              <w:snapToGrid w:val="0"/>
              <w:spacing w:line="360" w:lineRule="auto"/>
              <w:jc w:val="center"/>
              <w:outlineLvl w:val="0"/>
              <w:rPr>
                <w:rFonts w:hint="eastAsia" w:ascii="仿宋" w:hAnsi="仿宋" w:eastAsia="仿宋" w:cs="仿宋"/>
                <w:color w:val="auto"/>
                <w:sz w:val="24"/>
                <w:szCs w:val="24"/>
              </w:rPr>
            </w:pPr>
          </w:p>
        </w:tc>
      </w:tr>
    </w:tbl>
    <w:p w14:paraId="709B11F5">
      <w:pPr>
        <w:snapToGrid w:val="0"/>
        <w:spacing w:line="360" w:lineRule="auto"/>
        <w:ind w:firstLine="465"/>
        <w:rPr>
          <w:rFonts w:hint="eastAsia" w:ascii="仿宋" w:hAnsi="仿宋" w:eastAsia="仿宋" w:cs="仿宋"/>
          <w:color w:val="auto"/>
          <w:sz w:val="24"/>
          <w:szCs w:val="24"/>
        </w:rPr>
      </w:pPr>
    </w:p>
    <w:p w14:paraId="5BBC606E">
      <w:pPr>
        <w:spacing w:line="360" w:lineRule="auto"/>
        <w:ind w:firstLine="600" w:firstLineChars="250"/>
        <w:rPr>
          <w:rFonts w:hint="eastAsia" w:ascii="仿宋" w:hAnsi="仿宋" w:eastAsia="仿宋" w:cs="仿宋"/>
          <w:color w:val="auto"/>
          <w:sz w:val="24"/>
          <w:szCs w:val="24"/>
        </w:rPr>
      </w:pPr>
      <w:r>
        <w:rPr>
          <w:rFonts w:hint="eastAsia" w:ascii="仿宋" w:hAnsi="仿宋" w:eastAsia="仿宋" w:cs="仿宋"/>
          <w:color w:val="auto"/>
          <w:sz w:val="24"/>
          <w:szCs w:val="24"/>
        </w:rPr>
        <w:t>供应商：                                      法定代表人授权代表：</w:t>
      </w:r>
    </w:p>
    <w:p w14:paraId="46E80909">
      <w:pPr>
        <w:spacing w:line="360" w:lineRule="auto"/>
        <w:rPr>
          <w:rFonts w:hint="eastAsia" w:ascii="仿宋" w:hAnsi="仿宋" w:eastAsia="仿宋" w:cs="仿宋"/>
          <w:color w:val="auto"/>
          <w:sz w:val="24"/>
          <w:szCs w:val="24"/>
        </w:rPr>
      </w:pPr>
      <w:r>
        <w:rPr>
          <w:rFonts w:hint="eastAsia" w:ascii="仿宋" w:hAnsi="仿宋" w:eastAsia="仿宋" w:cs="仿宋"/>
          <w:color w:val="auto"/>
          <w:sz w:val="24"/>
          <w:szCs w:val="24"/>
        </w:rPr>
        <w:t xml:space="preserve">    </w:t>
      </w:r>
    </w:p>
    <w:p w14:paraId="3C07A1C5">
      <w:pPr>
        <w:spacing w:line="360" w:lineRule="auto"/>
        <w:ind w:firstLine="360" w:firstLineChars="150"/>
        <w:rPr>
          <w:rFonts w:hint="eastAsia" w:ascii="仿宋" w:hAnsi="仿宋" w:eastAsia="仿宋" w:cs="仿宋"/>
          <w:color w:val="auto"/>
          <w:sz w:val="24"/>
          <w:szCs w:val="24"/>
        </w:rPr>
      </w:pPr>
      <w:r>
        <w:rPr>
          <w:rFonts w:hint="eastAsia" w:ascii="仿宋" w:hAnsi="仿宋" w:eastAsia="仿宋" w:cs="仿宋"/>
          <w:color w:val="auto"/>
          <w:sz w:val="24"/>
          <w:szCs w:val="24"/>
        </w:rPr>
        <w:t>（供应商公章）                                 （签字或盖章）</w:t>
      </w:r>
    </w:p>
    <w:p w14:paraId="4254595F">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 xml:space="preserve">                                            年     月     日</w:t>
      </w:r>
    </w:p>
    <w:p w14:paraId="426B34E9">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注：</w:t>
      </w:r>
    </w:p>
    <w:p w14:paraId="2B2F4810">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1.本表即为对本项目“第三篇 项目商务需求”中所列服务要求进行比较和响应；</w:t>
      </w:r>
    </w:p>
    <w:p w14:paraId="2B171D3C">
      <w:pPr>
        <w:tabs>
          <w:tab w:val="left" w:pos="6300"/>
        </w:tabs>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2.该表必须按照</w:t>
      </w:r>
      <w:r>
        <w:rPr>
          <w:rFonts w:hint="eastAsia" w:ascii="仿宋" w:hAnsi="仿宋" w:eastAsia="仿宋" w:cs="仿宋"/>
          <w:color w:val="auto"/>
          <w:sz w:val="24"/>
          <w:szCs w:val="24"/>
          <w:lang w:eastAsia="zh-CN"/>
        </w:rPr>
        <w:t>询比</w:t>
      </w:r>
      <w:r>
        <w:rPr>
          <w:rFonts w:hint="eastAsia" w:ascii="仿宋" w:hAnsi="仿宋" w:eastAsia="仿宋" w:cs="仿宋"/>
          <w:color w:val="auto"/>
          <w:sz w:val="24"/>
          <w:szCs w:val="24"/>
        </w:rPr>
        <w:t>要求逐条如实填写，根据响应情况在“差异说明”项填写正偏离或负偏离及原因，完全符合的填写“无</w:t>
      </w:r>
      <w:r>
        <w:rPr>
          <w:rFonts w:hint="eastAsia" w:ascii="仿宋" w:hAnsi="仿宋" w:eastAsia="仿宋" w:cs="仿宋"/>
          <w:color w:val="auto"/>
          <w:sz w:val="24"/>
          <w:szCs w:val="24"/>
          <w:lang w:eastAsia="zh-CN"/>
        </w:rPr>
        <w:t>偏离</w:t>
      </w:r>
      <w:r>
        <w:rPr>
          <w:rFonts w:hint="eastAsia" w:ascii="仿宋" w:hAnsi="仿宋" w:eastAsia="仿宋" w:cs="仿宋"/>
          <w:color w:val="auto"/>
          <w:sz w:val="24"/>
          <w:szCs w:val="24"/>
        </w:rPr>
        <w:t>”；</w:t>
      </w:r>
    </w:p>
    <w:p w14:paraId="5503B887">
      <w:pPr>
        <w:snapToGrid w:val="0"/>
        <w:spacing w:line="360" w:lineRule="auto"/>
        <w:ind w:firstLine="480" w:firstLineChars="200"/>
        <w:rPr>
          <w:rFonts w:hint="eastAsia" w:ascii="仿宋" w:hAnsi="仿宋" w:eastAsia="仿宋" w:cs="仿宋"/>
          <w:color w:val="auto"/>
          <w:sz w:val="24"/>
          <w:szCs w:val="24"/>
        </w:rPr>
      </w:pPr>
      <w:r>
        <w:rPr>
          <w:rFonts w:hint="eastAsia" w:ascii="仿宋" w:hAnsi="仿宋" w:eastAsia="仿宋" w:cs="仿宋"/>
          <w:color w:val="auto"/>
          <w:sz w:val="24"/>
          <w:szCs w:val="24"/>
        </w:rPr>
        <w:t>3.该表可扩展，并逐页签字或盖章。</w:t>
      </w:r>
    </w:p>
    <w:p w14:paraId="75CBF321">
      <w:pPr>
        <w:snapToGrid w:val="0"/>
        <w:spacing w:line="360" w:lineRule="auto"/>
        <w:ind w:firstLine="480" w:firstLineChars="200"/>
        <w:rPr>
          <w:rFonts w:hint="eastAsia" w:ascii="仿宋" w:hAnsi="仿宋" w:eastAsia="仿宋" w:cs="仿宋"/>
          <w:color w:val="auto"/>
          <w:sz w:val="24"/>
          <w:szCs w:val="24"/>
        </w:rPr>
      </w:pPr>
    </w:p>
    <w:p w14:paraId="740A69D7">
      <w:pPr>
        <w:snapToGrid w:val="0"/>
        <w:spacing w:line="360" w:lineRule="auto"/>
        <w:ind w:firstLine="480" w:firstLineChars="200"/>
        <w:rPr>
          <w:rFonts w:hint="eastAsia" w:ascii="仿宋" w:hAnsi="仿宋" w:eastAsia="仿宋" w:cs="仿宋"/>
          <w:color w:val="auto"/>
          <w:sz w:val="24"/>
          <w:szCs w:val="24"/>
        </w:rPr>
      </w:pPr>
    </w:p>
    <w:p w14:paraId="5D6E9047">
      <w:pPr>
        <w:snapToGrid w:val="0"/>
        <w:spacing w:line="360" w:lineRule="auto"/>
        <w:ind w:firstLine="480" w:firstLineChars="200"/>
        <w:rPr>
          <w:rFonts w:hint="eastAsia" w:ascii="仿宋" w:hAnsi="仿宋" w:eastAsia="仿宋" w:cs="仿宋"/>
          <w:color w:val="auto"/>
          <w:sz w:val="24"/>
          <w:szCs w:val="24"/>
        </w:rPr>
      </w:pPr>
    </w:p>
    <w:p w14:paraId="19DABA88">
      <w:pPr>
        <w:snapToGrid w:val="0"/>
        <w:spacing w:line="360" w:lineRule="auto"/>
        <w:ind w:firstLine="480" w:firstLineChars="200"/>
        <w:rPr>
          <w:rFonts w:hint="eastAsia" w:ascii="仿宋" w:hAnsi="仿宋" w:eastAsia="仿宋" w:cs="仿宋"/>
          <w:color w:val="auto"/>
          <w:sz w:val="24"/>
          <w:szCs w:val="24"/>
        </w:rPr>
      </w:pPr>
    </w:p>
    <w:p w14:paraId="4C6603EF">
      <w:pPr>
        <w:snapToGrid w:val="0"/>
        <w:spacing w:line="360" w:lineRule="auto"/>
        <w:ind w:firstLine="480" w:firstLineChars="200"/>
        <w:rPr>
          <w:rFonts w:hint="eastAsia" w:ascii="仿宋" w:hAnsi="仿宋" w:eastAsia="仿宋" w:cs="仿宋"/>
          <w:color w:val="auto"/>
          <w:sz w:val="24"/>
          <w:szCs w:val="24"/>
        </w:rPr>
      </w:pPr>
    </w:p>
    <w:p w14:paraId="193DAEC7">
      <w:pPr>
        <w:snapToGrid w:val="0"/>
        <w:spacing w:line="360" w:lineRule="auto"/>
        <w:ind w:firstLine="480" w:firstLineChars="200"/>
        <w:rPr>
          <w:rFonts w:hint="eastAsia" w:ascii="仿宋" w:hAnsi="仿宋" w:eastAsia="仿宋" w:cs="仿宋"/>
          <w:color w:val="auto"/>
          <w:sz w:val="24"/>
          <w:szCs w:val="24"/>
        </w:rPr>
      </w:pPr>
    </w:p>
    <w:p w14:paraId="23667F3A">
      <w:pPr>
        <w:snapToGrid w:val="0"/>
        <w:spacing w:line="360" w:lineRule="auto"/>
        <w:ind w:firstLine="480" w:firstLineChars="200"/>
        <w:rPr>
          <w:rFonts w:hint="eastAsia" w:ascii="仿宋" w:hAnsi="仿宋" w:eastAsia="仿宋" w:cs="仿宋"/>
          <w:b/>
          <w:color w:val="auto"/>
        </w:rPr>
        <w:sectPr>
          <w:headerReference r:id="rId12" w:type="default"/>
          <w:pgSz w:w="11907" w:h="16840"/>
          <w:pgMar w:top="1134" w:right="1191" w:bottom="1134" w:left="1304" w:header="851" w:footer="992" w:gutter="0"/>
          <w:pgNumType w:fmt="numberInDash"/>
          <w:cols w:space="720" w:num="1"/>
          <w:docGrid w:linePitch="380" w:charSpace="-5735"/>
        </w:sectPr>
      </w:pPr>
      <w:r>
        <w:rPr>
          <w:rFonts w:hint="eastAsia" w:ascii="仿宋" w:hAnsi="仿宋" w:eastAsia="仿宋" w:cs="仿宋"/>
          <w:color w:val="auto"/>
          <w:sz w:val="24"/>
          <w:szCs w:val="24"/>
        </w:rPr>
        <w:t>（</w:t>
      </w:r>
      <w:r>
        <w:rPr>
          <w:rFonts w:hint="eastAsia" w:ascii="仿宋" w:hAnsi="仿宋" w:eastAsia="仿宋" w:cs="仿宋"/>
          <w:color w:val="auto"/>
          <w:sz w:val="24"/>
          <w:szCs w:val="24"/>
          <w:lang w:eastAsia="zh-CN"/>
        </w:rPr>
        <w:t>二</w:t>
      </w:r>
      <w:r>
        <w:rPr>
          <w:rFonts w:hint="eastAsia" w:ascii="仿宋" w:hAnsi="仿宋" w:eastAsia="仿宋" w:cs="仿宋"/>
          <w:color w:val="auto"/>
          <w:sz w:val="24"/>
          <w:szCs w:val="24"/>
        </w:rPr>
        <w:t>）</w:t>
      </w:r>
      <w:r>
        <w:rPr>
          <w:rFonts w:hint="eastAsia" w:ascii="仿宋" w:hAnsi="仿宋" w:eastAsia="仿宋" w:cs="仿宋"/>
          <w:color w:val="auto"/>
          <w:sz w:val="24"/>
          <w:szCs w:val="24"/>
          <w:highlight w:val="none"/>
        </w:rPr>
        <w:t>其它资料（格式自定）</w:t>
      </w:r>
    </w:p>
    <w:p w14:paraId="3FF94E65">
      <w:pPr>
        <w:pStyle w:val="5"/>
        <w:spacing w:before="0" w:after="0" w:line="360" w:lineRule="auto"/>
        <w:rPr>
          <w:rFonts w:hint="eastAsia" w:ascii="仿宋" w:hAnsi="仿宋" w:eastAsia="仿宋" w:cs="仿宋"/>
          <w:color w:val="auto"/>
          <w:sz w:val="24"/>
          <w:szCs w:val="24"/>
        </w:rPr>
      </w:pPr>
      <w:bookmarkStart w:id="187" w:name="_Toc29302"/>
      <w:bookmarkStart w:id="188" w:name="_Toc313888363"/>
      <w:bookmarkStart w:id="189" w:name="_Toc313008359"/>
      <w:bookmarkStart w:id="190" w:name="_Toc342913422"/>
      <w:r>
        <w:rPr>
          <w:rFonts w:hint="eastAsia" w:ascii="仿宋" w:hAnsi="仿宋" w:eastAsia="仿宋" w:cs="仿宋"/>
          <w:color w:val="auto"/>
          <w:sz w:val="24"/>
          <w:szCs w:val="24"/>
        </w:rPr>
        <w:t>四、资格条件及其他</w:t>
      </w:r>
      <w:bookmarkEnd w:id="187"/>
      <w:bookmarkEnd w:id="188"/>
      <w:bookmarkEnd w:id="189"/>
      <w:bookmarkEnd w:id="190"/>
    </w:p>
    <w:p w14:paraId="2F7C58CA">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（一）</w:t>
      </w:r>
      <w:r>
        <w:rPr>
          <w:rFonts w:hint="eastAsia" w:ascii="仿宋" w:hAnsi="仿宋" w:eastAsia="仿宋" w:cs="仿宋"/>
          <w:color w:val="auto"/>
          <w:sz w:val="24"/>
          <w:highlight w:val="none"/>
        </w:rPr>
        <w:t>法人营业执照（副本）或事业单位法人证书（副本）或个体工商户营业执照或有效的自然人身份证明或社会团体法人登记证书复印件</w:t>
      </w:r>
    </w:p>
    <w:p w14:paraId="0EB01565">
      <w:pPr>
        <w:tabs>
          <w:tab w:val="left" w:pos="6300"/>
        </w:tabs>
        <w:snapToGrid w:val="0"/>
        <w:spacing w:line="360" w:lineRule="auto"/>
        <w:ind w:firstLine="570"/>
        <w:rPr>
          <w:rFonts w:hint="eastAsia" w:ascii="仿宋" w:hAnsi="仿宋" w:eastAsia="仿宋" w:cs="仿宋"/>
          <w:color w:val="auto"/>
        </w:rPr>
      </w:pPr>
    </w:p>
    <w:p w14:paraId="65289B4A">
      <w:pPr>
        <w:tabs>
          <w:tab w:val="left" w:pos="6300"/>
        </w:tabs>
        <w:snapToGrid w:val="0"/>
        <w:spacing w:line="360" w:lineRule="auto"/>
        <w:ind w:firstLine="570"/>
        <w:rPr>
          <w:rFonts w:hint="eastAsia" w:ascii="仿宋" w:hAnsi="仿宋" w:eastAsia="仿宋" w:cs="仿宋"/>
          <w:color w:val="auto"/>
        </w:rPr>
      </w:pPr>
    </w:p>
    <w:p w14:paraId="21EAB5B0">
      <w:pPr>
        <w:tabs>
          <w:tab w:val="left" w:pos="6300"/>
        </w:tabs>
        <w:snapToGrid w:val="0"/>
        <w:spacing w:line="360" w:lineRule="auto"/>
        <w:ind w:firstLine="570"/>
        <w:rPr>
          <w:rFonts w:hint="eastAsia" w:ascii="仿宋" w:hAnsi="仿宋" w:eastAsia="仿宋" w:cs="仿宋"/>
          <w:color w:val="auto"/>
        </w:rPr>
      </w:pPr>
    </w:p>
    <w:p w14:paraId="004F8C80">
      <w:pPr>
        <w:widowControl/>
        <w:spacing w:line="360" w:lineRule="auto"/>
        <w:ind w:firstLine="420" w:firstLineChars="200"/>
        <w:jc w:val="left"/>
        <w:rPr>
          <w:rFonts w:hint="eastAsia" w:ascii="仿宋" w:hAnsi="仿宋" w:eastAsia="仿宋" w:cs="仿宋"/>
          <w:color w:val="auto"/>
          <w:sz w:val="24"/>
          <w:szCs w:val="24"/>
        </w:rPr>
      </w:pPr>
      <w:r>
        <w:rPr>
          <w:rFonts w:hint="eastAsia" w:ascii="仿宋" w:hAnsi="仿宋" w:eastAsia="仿宋" w:cs="仿宋"/>
          <w:color w:val="auto"/>
        </w:rPr>
        <w:br w:type="page"/>
      </w: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二</w:t>
      </w:r>
      <w:r>
        <w:rPr>
          <w:rFonts w:hint="eastAsia" w:ascii="仿宋" w:hAnsi="仿宋" w:eastAsia="仿宋" w:cs="仿宋"/>
          <w:color w:val="auto"/>
          <w:sz w:val="24"/>
          <w:szCs w:val="24"/>
        </w:rPr>
        <w:t>）法定代表人身份证明书（格式）</w:t>
      </w:r>
    </w:p>
    <w:p w14:paraId="107EB168">
      <w:pPr>
        <w:tabs>
          <w:tab w:val="left" w:pos="6300"/>
        </w:tabs>
        <w:snapToGrid w:val="0"/>
        <w:spacing w:line="360" w:lineRule="auto"/>
        <w:ind w:firstLine="570"/>
        <w:rPr>
          <w:rFonts w:hint="eastAsia" w:ascii="仿宋" w:hAnsi="仿宋" w:eastAsia="仿宋" w:cs="仿宋"/>
          <w:color w:val="auto"/>
          <w:sz w:val="24"/>
          <w:szCs w:val="24"/>
        </w:rPr>
      </w:pPr>
    </w:p>
    <w:p w14:paraId="5C18AB34">
      <w:pPr>
        <w:tabs>
          <w:tab w:val="left" w:pos="6300"/>
        </w:tabs>
        <w:snapToGrid w:val="0"/>
        <w:spacing w:line="360" w:lineRule="auto"/>
        <w:ind w:firstLine="570"/>
        <w:rPr>
          <w:rFonts w:hint="eastAsia" w:ascii="仿宋" w:hAnsi="仿宋" w:eastAsia="仿宋" w:cs="仿宋"/>
          <w:color w:val="auto"/>
          <w:sz w:val="24"/>
          <w:szCs w:val="24"/>
        </w:rPr>
      </w:pPr>
      <w:r>
        <w:rPr>
          <w:rFonts w:hint="eastAsia" w:ascii="方正仿宋_GBK" w:hAnsi="宋体" w:eastAsia="方正仿宋_GBK"/>
          <w:color w:val="auto"/>
          <w:sz w:val="24"/>
          <w:szCs w:val="24"/>
          <w:lang w:eastAsia="zh-CN"/>
        </w:rPr>
        <w:t>项目名称</w:t>
      </w:r>
      <w:r>
        <w:rPr>
          <w:rFonts w:hint="eastAsia" w:ascii="方正仿宋_GBK" w:hAnsi="宋体" w:eastAsia="方正仿宋_GBK"/>
          <w:color w:val="auto"/>
          <w:sz w:val="24"/>
          <w:szCs w:val="24"/>
        </w:rPr>
        <w:t>：</w:t>
      </w:r>
      <w:r>
        <w:rPr>
          <w:rFonts w:hint="eastAsia" w:ascii="仿宋" w:hAnsi="仿宋" w:eastAsia="仿宋" w:cs="仿宋"/>
          <w:color w:val="auto"/>
          <w:sz w:val="24"/>
          <w:szCs w:val="24"/>
          <w:u w:val="single"/>
        </w:rPr>
        <w:t xml:space="preserve">                                                </w:t>
      </w:r>
    </w:p>
    <w:p w14:paraId="514512CF">
      <w:pPr>
        <w:tabs>
          <w:tab w:val="left" w:pos="6300"/>
        </w:tabs>
        <w:snapToGrid w:val="0"/>
        <w:spacing w:line="360" w:lineRule="auto"/>
        <w:ind w:firstLine="570"/>
        <w:rPr>
          <w:rFonts w:hint="eastAsia" w:ascii="仿宋" w:hAnsi="仿宋" w:eastAsia="仿宋" w:cs="仿宋"/>
          <w:color w:val="auto"/>
          <w:sz w:val="24"/>
          <w:szCs w:val="24"/>
        </w:rPr>
      </w:pPr>
    </w:p>
    <w:p w14:paraId="71AA2A39">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致：</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（采购人名称）：</w:t>
      </w:r>
    </w:p>
    <w:p w14:paraId="043242DA">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（法定代表人姓名）在</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（供应商名称）任</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（职务名称）职务，是（供应商名称）</w:t>
      </w:r>
      <w:r>
        <w:rPr>
          <w:rFonts w:hint="eastAsia" w:ascii="仿宋" w:hAnsi="仿宋" w:eastAsia="仿宋" w:cs="仿宋"/>
          <w:color w:val="auto"/>
          <w:sz w:val="24"/>
          <w:szCs w:val="24"/>
          <w:u w:val="single"/>
        </w:rPr>
        <w:t xml:space="preserve">              </w:t>
      </w:r>
      <w:r>
        <w:rPr>
          <w:rFonts w:hint="eastAsia" w:ascii="仿宋" w:hAnsi="仿宋" w:eastAsia="仿宋" w:cs="仿宋"/>
          <w:color w:val="auto"/>
          <w:sz w:val="24"/>
          <w:szCs w:val="24"/>
        </w:rPr>
        <w:t>的法定代表人。</w:t>
      </w:r>
    </w:p>
    <w:p w14:paraId="485A2824">
      <w:pPr>
        <w:tabs>
          <w:tab w:val="left" w:pos="6300"/>
        </w:tabs>
        <w:snapToGrid w:val="0"/>
        <w:spacing w:line="360" w:lineRule="auto"/>
        <w:ind w:firstLine="570"/>
        <w:rPr>
          <w:rFonts w:hint="eastAsia" w:ascii="仿宋" w:hAnsi="仿宋" w:eastAsia="仿宋" w:cs="仿宋"/>
          <w:color w:val="auto"/>
          <w:sz w:val="24"/>
          <w:szCs w:val="24"/>
        </w:rPr>
      </w:pPr>
    </w:p>
    <w:p w14:paraId="199A90E3">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特此证明。</w:t>
      </w:r>
    </w:p>
    <w:p w14:paraId="432D4793">
      <w:pPr>
        <w:tabs>
          <w:tab w:val="left" w:pos="6300"/>
        </w:tabs>
        <w:snapToGrid w:val="0"/>
        <w:spacing w:line="360" w:lineRule="auto"/>
        <w:ind w:firstLine="570"/>
        <w:rPr>
          <w:rFonts w:hint="eastAsia" w:ascii="仿宋" w:hAnsi="仿宋" w:eastAsia="仿宋" w:cs="仿宋"/>
          <w:color w:val="auto"/>
          <w:sz w:val="24"/>
          <w:szCs w:val="24"/>
        </w:rPr>
      </w:pPr>
    </w:p>
    <w:p w14:paraId="5C3E204B">
      <w:pPr>
        <w:tabs>
          <w:tab w:val="left" w:pos="6300"/>
        </w:tabs>
        <w:snapToGrid w:val="0"/>
        <w:spacing w:line="360" w:lineRule="auto"/>
        <w:ind w:firstLine="570"/>
        <w:rPr>
          <w:rFonts w:hint="eastAsia" w:ascii="仿宋" w:hAnsi="仿宋" w:eastAsia="仿宋" w:cs="仿宋"/>
          <w:color w:val="auto"/>
          <w:sz w:val="24"/>
          <w:szCs w:val="24"/>
        </w:rPr>
      </w:pPr>
    </w:p>
    <w:p w14:paraId="339E590C">
      <w:pPr>
        <w:tabs>
          <w:tab w:val="left" w:pos="6300"/>
        </w:tabs>
        <w:snapToGrid w:val="0"/>
        <w:spacing w:line="360" w:lineRule="auto"/>
        <w:ind w:firstLine="570"/>
        <w:rPr>
          <w:rFonts w:hint="eastAsia" w:ascii="仿宋" w:hAnsi="仿宋" w:eastAsia="仿宋" w:cs="仿宋"/>
          <w:color w:val="auto"/>
          <w:sz w:val="24"/>
          <w:szCs w:val="24"/>
        </w:rPr>
      </w:pPr>
    </w:p>
    <w:p w14:paraId="339F17EC">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 xml:space="preserve">                                             （供应商公章）</w:t>
      </w:r>
    </w:p>
    <w:p w14:paraId="33C034C0">
      <w:pPr>
        <w:tabs>
          <w:tab w:val="left" w:pos="6300"/>
        </w:tabs>
        <w:snapToGrid w:val="0"/>
        <w:spacing w:line="360" w:lineRule="auto"/>
        <w:ind w:firstLine="570"/>
        <w:rPr>
          <w:rFonts w:hint="eastAsia" w:ascii="仿宋" w:hAnsi="仿宋" w:eastAsia="仿宋" w:cs="仿宋"/>
          <w:color w:val="auto"/>
          <w:sz w:val="24"/>
          <w:szCs w:val="24"/>
        </w:rPr>
      </w:pPr>
    </w:p>
    <w:p w14:paraId="261D02D7">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 xml:space="preserve">                                             年   月   日</w:t>
      </w:r>
    </w:p>
    <w:p w14:paraId="0DF74888">
      <w:pPr>
        <w:tabs>
          <w:tab w:val="left" w:pos="6300"/>
        </w:tabs>
        <w:snapToGrid w:val="0"/>
        <w:spacing w:line="360" w:lineRule="auto"/>
        <w:ind w:firstLine="570"/>
        <w:rPr>
          <w:rFonts w:hint="eastAsia" w:ascii="仿宋" w:hAnsi="仿宋" w:eastAsia="仿宋" w:cs="仿宋"/>
          <w:color w:val="auto"/>
          <w:sz w:val="24"/>
          <w:szCs w:val="24"/>
        </w:rPr>
      </w:pPr>
    </w:p>
    <w:p w14:paraId="6F4C8DA0">
      <w:pPr>
        <w:tabs>
          <w:tab w:val="left" w:pos="6300"/>
        </w:tabs>
        <w:snapToGrid w:val="0"/>
        <w:spacing w:line="360" w:lineRule="auto"/>
        <w:ind w:firstLine="570"/>
        <w:rPr>
          <w:rFonts w:hint="eastAsia" w:ascii="仿宋" w:hAnsi="仿宋" w:eastAsia="仿宋" w:cs="仿宋"/>
          <w:color w:val="auto"/>
          <w:sz w:val="24"/>
          <w:szCs w:val="24"/>
        </w:rPr>
      </w:pPr>
      <w:r>
        <w:rPr>
          <w:rFonts w:hint="eastAsia" w:ascii="仿宋" w:hAnsi="仿宋" w:eastAsia="仿宋" w:cs="仿宋"/>
          <w:color w:val="auto"/>
          <w:sz w:val="24"/>
          <w:szCs w:val="24"/>
        </w:rPr>
        <w:t>（附：法定代表人身份证正反面复印件）</w:t>
      </w:r>
    </w:p>
    <w:p w14:paraId="69E49A8C">
      <w:pPr>
        <w:tabs>
          <w:tab w:val="left" w:pos="6300"/>
        </w:tabs>
        <w:snapToGrid w:val="0"/>
        <w:spacing w:line="360" w:lineRule="auto"/>
        <w:ind w:firstLine="570"/>
        <w:rPr>
          <w:rFonts w:hint="eastAsia" w:ascii="仿宋" w:hAnsi="仿宋" w:eastAsia="仿宋" w:cs="仿宋"/>
          <w:color w:val="auto"/>
          <w:sz w:val="24"/>
        </w:rPr>
      </w:pPr>
    </w:p>
    <w:p w14:paraId="11B60EC6">
      <w:pPr>
        <w:tabs>
          <w:tab w:val="left" w:pos="6300"/>
        </w:tabs>
        <w:snapToGrid w:val="0"/>
        <w:spacing w:line="360" w:lineRule="auto"/>
        <w:ind w:firstLine="570"/>
        <w:rPr>
          <w:rFonts w:hint="eastAsia" w:ascii="仿宋" w:hAnsi="仿宋" w:eastAsia="仿宋" w:cs="仿宋"/>
          <w:color w:val="auto"/>
          <w:sz w:val="24"/>
        </w:rPr>
      </w:pPr>
    </w:p>
    <w:p w14:paraId="136C3A87">
      <w:pPr>
        <w:tabs>
          <w:tab w:val="left" w:pos="6300"/>
        </w:tabs>
        <w:snapToGrid w:val="0"/>
        <w:spacing w:line="360" w:lineRule="auto"/>
        <w:ind w:firstLine="570"/>
        <w:rPr>
          <w:rFonts w:hint="eastAsia" w:ascii="仿宋" w:hAnsi="仿宋" w:eastAsia="仿宋" w:cs="仿宋"/>
          <w:color w:val="auto"/>
          <w:sz w:val="24"/>
        </w:rPr>
      </w:pPr>
    </w:p>
    <w:p w14:paraId="1E793ED6">
      <w:pPr>
        <w:tabs>
          <w:tab w:val="left" w:pos="6300"/>
        </w:tabs>
        <w:snapToGrid w:val="0"/>
        <w:spacing w:line="360" w:lineRule="auto"/>
        <w:ind w:firstLine="570"/>
        <w:rPr>
          <w:rFonts w:hint="eastAsia" w:ascii="仿宋" w:hAnsi="仿宋" w:eastAsia="仿宋" w:cs="仿宋"/>
          <w:color w:val="auto"/>
          <w:sz w:val="24"/>
        </w:rPr>
      </w:pPr>
    </w:p>
    <w:p w14:paraId="1614BE47">
      <w:pPr>
        <w:tabs>
          <w:tab w:val="left" w:pos="6300"/>
        </w:tabs>
        <w:snapToGrid w:val="0"/>
        <w:spacing w:line="360" w:lineRule="auto"/>
        <w:ind w:firstLine="570"/>
        <w:rPr>
          <w:rFonts w:hint="eastAsia" w:ascii="仿宋" w:hAnsi="仿宋" w:eastAsia="仿宋" w:cs="仿宋"/>
          <w:color w:val="auto"/>
          <w:sz w:val="24"/>
        </w:rPr>
      </w:pPr>
    </w:p>
    <w:p w14:paraId="4B404349">
      <w:pPr>
        <w:tabs>
          <w:tab w:val="left" w:pos="6300"/>
        </w:tabs>
        <w:snapToGrid w:val="0"/>
        <w:spacing w:line="360" w:lineRule="auto"/>
        <w:ind w:firstLine="570"/>
        <w:rPr>
          <w:rFonts w:hint="eastAsia" w:ascii="仿宋" w:hAnsi="仿宋" w:eastAsia="仿宋" w:cs="仿宋"/>
          <w:color w:val="auto"/>
          <w:sz w:val="24"/>
        </w:rPr>
      </w:pPr>
    </w:p>
    <w:p w14:paraId="1D5E1E1B">
      <w:pPr>
        <w:tabs>
          <w:tab w:val="left" w:pos="6300"/>
        </w:tabs>
        <w:snapToGrid w:val="0"/>
        <w:spacing w:line="360" w:lineRule="auto"/>
        <w:ind w:firstLine="570"/>
        <w:rPr>
          <w:rFonts w:hint="eastAsia" w:ascii="仿宋" w:hAnsi="仿宋" w:eastAsia="仿宋" w:cs="仿宋"/>
          <w:color w:val="auto"/>
        </w:rPr>
      </w:pPr>
      <w:r>
        <w:rPr>
          <w:rFonts w:hint="eastAsia" w:ascii="仿宋" w:hAnsi="仿宋" w:eastAsia="仿宋" w:cs="仿宋"/>
          <w:color w:val="auto"/>
        </w:rPr>
        <w:br w:type="column"/>
      </w: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三</w:t>
      </w:r>
      <w:r>
        <w:rPr>
          <w:rFonts w:hint="eastAsia" w:ascii="仿宋" w:hAnsi="仿宋" w:eastAsia="仿宋" w:cs="仿宋"/>
          <w:color w:val="auto"/>
          <w:sz w:val="24"/>
          <w:szCs w:val="24"/>
        </w:rPr>
        <w:t>）法定代表人授权委托书（格式）</w:t>
      </w:r>
    </w:p>
    <w:p w14:paraId="108D0D08">
      <w:pPr>
        <w:tabs>
          <w:tab w:val="left" w:pos="6300"/>
        </w:tabs>
        <w:snapToGrid w:val="0"/>
        <w:spacing w:line="360" w:lineRule="auto"/>
        <w:ind w:firstLine="570"/>
        <w:rPr>
          <w:rFonts w:hint="eastAsia" w:ascii="仿宋" w:hAnsi="仿宋" w:eastAsia="仿宋" w:cs="仿宋"/>
          <w:color w:val="auto"/>
          <w:sz w:val="24"/>
        </w:rPr>
      </w:pPr>
      <w:r>
        <w:rPr>
          <w:rFonts w:hint="eastAsia" w:ascii="仿宋" w:hAnsi="仿宋" w:eastAsia="仿宋" w:cs="仿宋"/>
          <w:color w:val="auto"/>
          <w:sz w:val="24"/>
        </w:rPr>
        <w:t xml:space="preserve">    </w:t>
      </w:r>
    </w:p>
    <w:p w14:paraId="6FB346AD">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方正仿宋_GBK" w:hAnsi="宋体" w:eastAsia="方正仿宋_GBK"/>
          <w:color w:val="auto"/>
          <w:sz w:val="24"/>
          <w:szCs w:val="24"/>
          <w:lang w:eastAsia="zh-CN"/>
        </w:rPr>
        <w:t>项目名称</w:t>
      </w:r>
      <w:r>
        <w:rPr>
          <w:rFonts w:hint="eastAsia" w:ascii="方正仿宋_GBK" w:hAnsi="宋体" w:eastAsia="方正仿宋_GBK"/>
          <w:color w:val="auto"/>
          <w:sz w:val="24"/>
          <w:szCs w:val="24"/>
        </w:rPr>
        <w:t>：</w:t>
      </w:r>
      <w:r>
        <w:rPr>
          <w:rFonts w:hint="eastAsia" w:ascii="仿宋" w:hAnsi="仿宋" w:eastAsia="仿宋" w:cs="仿宋"/>
          <w:color w:val="auto"/>
          <w:sz w:val="24"/>
          <w:u w:val="single"/>
        </w:rPr>
        <w:t xml:space="preserve">                                                </w:t>
      </w:r>
    </w:p>
    <w:p w14:paraId="08D27152">
      <w:pPr>
        <w:tabs>
          <w:tab w:val="left" w:pos="6300"/>
        </w:tabs>
        <w:snapToGrid w:val="0"/>
        <w:spacing w:line="360" w:lineRule="auto"/>
        <w:ind w:firstLine="570"/>
        <w:rPr>
          <w:rFonts w:hint="eastAsia" w:ascii="仿宋" w:hAnsi="仿宋" w:eastAsia="仿宋" w:cs="仿宋"/>
          <w:color w:val="auto"/>
          <w:sz w:val="24"/>
        </w:rPr>
      </w:pPr>
    </w:p>
    <w:p w14:paraId="511B2691">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致：</w:t>
      </w:r>
      <w:r>
        <w:rPr>
          <w:rFonts w:hint="eastAsia" w:ascii="仿宋" w:hAnsi="仿宋" w:eastAsia="仿宋" w:cs="仿宋"/>
          <w:color w:val="auto"/>
          <w:sz w:val="24"/>
          <w:u w:val="single"/>
        </w:rPr>
        <w:t xml:space="preserve">                     </w:t>
      </w:r>
      <w:r>
        <w:rPr>
          <w:rFonts w:hint="eastAsia" w:ascii="仿宋" w:hAnsi="仿宋" w:eastAsia="仿宋" w:cs="仿宋"/>
          <w:color w:val="auto"/>
          <w:sz w:val="24"/>
        </w:rPr>
        <w:t>（采购人名称）：</w:t>
      </w:r>
    </w:p>
    <w:p w14:paraId="78802DF2">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u w:val="single"/>
        </w:rPr>
        <w:t xml:space="preserve">            </w:t>
      </w:r>
      <w:r>
        <w:rPr>
          <w:rFonts w:hint="eastAsia" w:ascii="仿宋" w:hAnsi="仿宋" w:eastAsia="仿宋" w:cs="仿宋"/>
          <w:color w:val="auto"/>
          <w:sz w:val="24"/>
        </w:rPr>
        <w:t>（供应商法定代表人名称）是</w:t>
      </w:r>
      <w:r>
        <w:rPr>
          <w:rFonts w:hint="eastAsia" w:ascii="仿宋" w:hAnsi="仿宋" w:eastAsia="仿宋" w:cs="仿宋"/>
          <w:color w:val="auto"/>
          <w:sz w:val="24"/>
          <w:u w:val="single"/>
        </w:rPr>
        <w:t xml:space="preserve">                    </w:t>
      </w:r>
      <w:r>
        <w:rPr>
          <w:rFonts w:hint="eastAsia" w:ascii="仿宋" w:hAnsi="仿宋" w:eastAsia="仿宋" w:cs="仿宋"/>
          <w:color w:val="auto"/>
          <w:sz w:val="24"/>
        </w:rPr>
        <w:t>（供应商名称）的法定代表人，特授权</w:t>
      </w:r>
      <w:r>
        <w:rPr>
          <w:rFonts w:hint="eastAsia" w:ascii="仿宋" w:hAnsi="仿宋" w:eastAsia="仿宋" w:cs="仿宋"/>
          <w:color w:val="auto"/>
          <w:sz w:val="24"/>
          <w:u w:val="single"/>
        </w:rPr>
        <w:t xml:space="preserve">          </w:t>
      </w:r>
      <w:r>
        <w:rPr>
          <w:rFonts w:hint="eastAsia" w:ascii="仿宋" w:hAnsi="仿宋" w:eastAsia="仿宋" w:cs="仿宋"/>
          <w:color w:val="auto"/>
          <w:sz w:val="24"/>
        </w:rPr>
        <w:t>（被授权人姓名及身份证代码）代表我单位全权办理上述项目的</w:t>
      </w:r>
      <w:r>
        <w:rPr>
          <w:rFonts w:hint="eastAsia" w:ascii="仿宋" w:hAnsi="仿宋" w:eastAsia="仿宋" w:cs="仿宋"/>
          <w:color w:val="auto"/>
          <w:sz w:val="24"/>
          <w:lang w:eastAsia="zh-CN"/>
        </w:rPr>
        <w:t>询比</w:t>
      </w:r>
      <w:r>
        <w:rPr>
          <w:rFonts w:hint="eastAsia" w:ascii="仿宋" w:hAnsi="仿宋" w:eastAsia="仿宋" w:cs="仿宋"/>
          <w:color w:val="auto"/>
          <w:sz w:val="24"/>
        </w:rPr>
        <w:t>、签约等具体工作，并签署全部有关文件、协议及合同。</w:t>
      </w:r>
    </w:p>
    <w:p w14:paraId="3F0D0828">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我单位对被授权人的签字负全部责任。</w:t>
      </w:r>
    </w:p>
    <w:p w14:paraId="79ED9A05">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在撤消授权的书面通知以前，本授权书一直有效。被授权人在授权书有效期内签署的所有文件不因授权的撤消而失效。</w:t>
      </w:r>
    </w:p>
    <w:p w14:paraId="1B6E3C75">
      <w:pPr>
        <w:tabs>
          <w:tab w:val="left" w:pos="6300"/>
        </w:tabs>
        <w:snapToGrid w:val="0"/>
        <w:spacing w:line="360" w:lineRule="auto"/>
        <w:ind w:firstLine="570"/>
        <w:rPr>
          <w:rFonts w:hint="eastAsia" w:ascii="仿宋" w:hAnsi="仿宋" w:eastAsia="仿宋" w:cs="仿宋"/>
          <w:color w:val="auto"/>
          <w:sz w:val="24"/>
        </w:rPr>
      </w:pPr>
    </w:p>
    <w:p w14:paraId="1D4D84DF">
      <w:pPr>
        <w:tabs>
          <w:tab w:val="left" w:pos="6300"/>
        </w:tabs>
        <w:snapToGrid w:val="0"/>
        <w:spacing w:line="360" w:lineRule="auto"/>
        <w:ind w:firstLine="570"/>
        <w:rPr>
          <w:rFonts w:hint="eastAsia" w:ascii="仿宋" w:hAnsi="仿宋" w:eastAsia="仿宋" w:cs="仿宋"/>
          <w:color w:val="auto"/>
          <w:sz w:val="24"/>
        </w:rPr>
      </w:pPr>
    </w:p>
    <w:p w14:paraId="5D83AEE4">
      <w:pPr>
        <w:tabs>
          <w:tab w:val="left" w:pos="6300"/>
        </w:tabs>
        <w:snapToGrid w:val="0"/>
        <w:spacing w:line="360" w:lineRule="auto"/>
        <w:ind w:firstLine="570"/>
        <w:rPr>
          <w:rFonts w:hint="eastAsia" w:ascii="仿宋" w:hAnsi="仿宋" w:eastAsia="仿宋" w:cs="仿宋"/>
          <w:color w:val="auto"/>
          <w:sz w:val="24"/>
        </w:rPr>
      </w:pPr>
      <w:r>
        <w:rPr>
          <w:rFonts w:hint="eastAsia" w:ascii="仿宋" w:hAnsi="仿宋" w:eastAsia="仿宋" w:cs="仿宋"/>
          <w:color w:val="auto"/>
          <w:sz w:val="24"/>
        </w:rPr>
        <w:t>被授权人：                                 供应商法定代表人：</w:t>
      </w:r>
    </w:p>
    <w:p w14:paraId="36B0098A">
      <w:pPr>
        <w:tabs>
          <w:tab w:val="left" w:pos="6300"/>
        </w:tabs>
        <w:snapToGrid w:val="0"/>
        <w:spacing w:line="360" w:lineRule="auto"/>
        <w:ind w:firstLine="570"/>
        <w:rPr>
          <w:rFonts w:hint="eastAsia" w:ascii="仿宋" w:hAnsi="仿宋" w:eastAsia="仿宋" w:cs="仿宋"/>
          <w:color w:val="auto"/>
          <w:sz w:val="24"/>
          <w:szCs w:val="28"/>
        </w:rPr>
      </w:pPr>
      <w:r>
        <w:rPr>
          <w:rFonts w:hint="eastAsia" w:ascii="仿宋" w:hAnsi="仿宋" w:eastAsia="仿宋" w:cs="仿宋"/>
          <w:color w:val="auto"/>
          <w:sz w:val="24"/>
          <w:szCs w:val="28"/>
        </w:rPr>
        <w:t>（签字或盖章）                                （签字或盖章）</w:t>
      </w:r>
    </w:p>
    <w:p w14:paraId="52EEF6EE">
      <w:pPr>
        <w:tabs>
          <w:tab w:val="left" w:pos="6300"/>
        </w:tabs>
        <w:snapToGrid w:val="0"/>
        <w:spacing w:line="360" w:lineRule="auto"/>
        <w:ind w:firstLine="570"/>
        <w:rPr>
          <w:rFonts w:hint="eastAsia" w:ascii="仿宋" w:hAnsi="仿宋" w:eastAsia="仿宋" w:cs="仿宋"/>
          <w:color w:val="auto"/>
          <w:sz w:val="24"/>
          <w:szCs w:val="28"/>
        </w:rPr>
      </w:pPr>
    </w:p>
    <w:p w14:paraId="0E6E9BF6">
      <w:pPr>
        <w:tabs>
          <w:tab w:val="left" w:pos="6300"/>
        </w:tabs>
        <w:snapToGrid w:val="0"/>
        <w:spacing w:line="360" w:lineRule="auto"/>
        <w:ind w:firstLine="570"/>
        <w:rPr>
          <w:rFonts w:hint="eastAsia" w:ascii="仿宋" w:hAnsi="仿宋" w:eastAsia="仿宋" w:cs="仿宋"/>
          <w:color w:val="auto"/>
          <w:sz w:val="24"/>
        </w:rPr>
      </w:pPr>
    </w:p>
    <w:p w14:paraId="1862DBDF">
      <w:pPr>
        <w:tabs>
          <w:tab w:val="left" w:pos="6300"/>
        </w:tabs>
        <w:snapToGrid w:val="0"/>
        <w:spacing w:line="360" w:lineRule="auto"/>
        <w:ind w:firstLine="570"/>
        <w:rPr>
          <w:rFonts w:hint="eastAsia" w:ascii="仿宋" w:hAnsi="仿宋" w:eastAsia="仿宋" w:cs="仿宋"/>
          <w:color w:val="auto"/>
          <w:sz w:val="24"/>
        </w:rPr>
      </w:pPr>
      <w:r>
        <w:rPr>
          <w:rFonts w:hint="eastAsia" w:ascii="仿宋" w:hAnsi="仿宋" w:eastAsia="仿宋" w:cs="仿宋"/>
          <w:color w:val="auto"/>
          <w:sz w:val="24"/>
        </w:rPr>
        <w:t>（附：被授权人身份证正反面复印件）</w:t>
      </w:r>
    </w:p>
    <w:p w14:paraId="6C78A236">
      <w:pPr>
        <w:tabs>
          <w:tab w:val="left" w:pos="6300"/>
        </w:tabs>
        <w:snapToGrid w:val="0"/>
        <w:spacing w:line="360" w:lineRule="auto"/>
        <w:ind w:firstLine="570"/>
        <w:rPr>
          <w:rFonts w:hint="eastAsia" w:ascii="仿宋" w:hAnsi="仿宋" w:eastAsia="仿宋" w:cs="仿宋"/>
          <w:color w:val="auto"/>
          <w:sz w:val="24"/>
        </w:rPr>
      </w:pPr>
      <w:r>
        <w:rPr>
          <w:rFonts w:hint="eastAsia" w:ascii="仿宋" w:hAnsi="仿宋" w:eastAsia="仿宋" w:cs="仿宋"/>
          <w:color w:val="auto"/>
          <w:sz w:val="24"/>
        </w:rPr>
        <w:t xml:space="preserve">                                          </w:t>
      </w:r>
    </w:p>
    <w:p w14:paraId="6D9A426D">
      <w:pPr>
        <w:tabs>
          <w:tab w:val="left" w:pos="6300"/>
        </w:tabs>
        <w:snapToGrid w:val="0"/>
        <w:spacing w:line="360" w:lineRule="auto"/>
        <w:ind w:firstLine="570"/>
        <w:rPr>
          <w:rFonts w:hint="eastAsia" w:ascii="仿宋" w:hAnsi="仿宋" w:eastAsia="仿宋" w:cs="仿宋"/>
          <w:color w:val="auto"/>
          <w:sz w:val="24"/>
        </w:rPr>
      </w:pPr>
    </w:p>
    <w:p w14:paraId="7C45724A">
      <w:pPr>
        <w:tabs>
          <w:tab w:val="left" w:pos="6300"/>
        </w:tabs>
        <w:snapToGrid w:val="0"/>
        <w:spacing w:line="360" w:lineRule="auto"/>
        <w:ind w:firstLine="570"/>
        <w:rPr>
          <w:rFonts w:hint="eastAsia" w:ascii="仿宋" w:hAnsi="仿宋" w:eastAsia="仿宋" w:cs="仿宋"/>
          <w:color w:val="auto"/>
          <w:sz w:val="24"/>
        </w:rPr>
      </w:pPr>
    </w:p>
    <w:p w14:paraId="6E5577DF">
      <w:pPr>
        <w:tabs>
          <w:tab w:val="left" w:pos="6300"/>
        </w:tabs>
        <w:snapToGrid w:val="0"/>
        <w:spacing w:line="360" w:lineRule="auto"/>
        <w:ind w:right="480" w:firstLine="570"/>
        <w:jc w:val="right"/>
        <w:rPr>
          <w:rFonts w:hint="eastAsia" w:ascii="仿宋" w:hAnsi="仿宋" w:eastAsia="仿宋" w:cs="仿宋"/>
          <w:color w:val="auto"/>
          <w:sz w:val="24"/>
        </w:rPr>
      </w:pPr>
      <w:r>
        <w:rPr>
          <w:rFonts w:hint="eastAsia" w:ascii="仿宋" w:hAnsi="仿宋" w:eastAsia="仿宋" w:cs="仿宋"/>
          <w:color w:val="auto"/>
          <w:sz w:val="24"/>
        </w:rPr>
        <w:t>（供应商公章）</w:t>
      </w:r>
    </w:p>
    <w:p w14:paraId="3577B347">
      <w:pPr>
        <w:tabs>
          <w:tab w:val="left" w:pos="6300"/>
        </w:tabs>
        <w:snapToGrid w:val="0"/>
        <w:spacing w:line="360" w:lineRule="auto"/>
        <w:ind w:right="480" w:firstLine="570"/>
        <w:jc w:val="right"/>
        <w:rPr>
          <w:rFonts w:hint="eastAsia" w:ascii="仿宋" w:hAnsi="仿宋" w:eastAsia="仿宋" w:cs="仿宋"/>
          <w:color w:val="auto"/>
          <w:sz w:val="24"/>
        </w:rPr>
      </w:pPr>
      <w:r>
        <w:rPr>
          <w:rFonts w:hint="eastAsia" w:ascii="仿宋" w:hAnsi="仿宋" w:eastAsia="仿宋" w:cs="仿宋"/>
          <w:color w:val="auto"/>
          <w:sz w:val="24"/>
        </w:rPr>
        <w:t>年   月   日</w:t>
      </w:r>
    </w:p>
    <w:p w14:paraId="3FDCCEFC">
      <w:pPr>
        <w:tabs>
          <w:tab w:val="left" w:pos="6300"/>
        </w:tabs>
        <w:snapToGrid w:val="0"/>
        <w:spacing w:line="360" w:lineRule="auto"/>
        <w:ind w:firstLine="570"/>
        <w:rPr>
          <w:rFonts w:hint="eastAsia" w:ascii="仿宋" w:hAnsi="仿宋" w:eastAsia="仿宋" w:cs="仿宋"/>
          <w:color w:val="auto"/>
        </w:rPr>
      </w:pPr>
      <w:r>
        <w:rPr>
          <w:rFonts w:hint="eastAsia" w:ascii="仿宋" w:hAnsi="仿宋" w:eastAsia="仿宋" w:cs="仿宋"/>
          <w:color w:val="auto"/>
        </w:rPr>
        <w:br w:type="column"/>
      </w: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四</w:t>
      </w:r>
      <w:r>
        <w:rPr>
          <w:rFonts w:hint="eastAsia" w:ascii="仿宋" w:hAnsi="仿宋" w:eastAsia="仿宋" w:cs="仿宋"/>
          <w:color w:val="auto"/>
          <w:sz w:val="24"/>
          <w:szCs w:val="24"/>
        </w:rPr>
        <w:t>）</w:t>
      </w:r>
      <w:r>
        <w:rPr>
          <w:rFonts w:hint="eastAsia" w:ascii="仿宋" w:hAnsi="仿宋" w:eastAsia="仿宋" w:cs="仿宋"/>
          <w:color w:val="auto"/>
          <w:sz w:val="24"/>
          <w:szCs w:val="24"/>
          <w:lang w:eastAsia="zh-CN"/>
        </w:rPr>
        <w:t>基本资格条件承诺函</w:t>
      </w:r>
      <w:r>
        <w:rPr>
          <w:rFonts w:hint="eastAsia" w:ascii="仿宋" w:hAnsi="仿宋" w:eastAsia="仿宋" w:cs="仿宋"/>
          <w:color w:val="auto"/>
          <w:sz w:val="24"/>
          <w:szCs w:val="24"/>
        </w:rPr>
        <w:t>（格式）</w:t>
      </w:r>
    </w:p>
    <w:p w14:paraId="140E91F4">
      <w:pPr>
        <w:tabs>
          <w:tab w:val="left" w:pos="6300"/>
        </w:tabs>
        <w:snapToGrid w:val="0"/>
        <w:spacing w:line="360" w:lineRule="auto"/>
        <w:rPr>
          <w:rFonts w:hint="eastAsia" w:ascii="仿宋" w:hAnsi="仿宋" w:eastAsia="仿宋" w:cs="仿宋"/>
          <w:color w:val="auto"/>
        </w:rPr>
      </w:pPr>
    </w:p>
    <w:p w14:paraId="05A32796">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 xml:space="preserve">致 </w:t>
      </w:r>
      <w:r>
        <w:rPr>
          <w:rFonts w:hint="eastAsia" w:ascii="仿宋" w:hAnsi="仿宋" w:eastAsia="仿宋" w:cs="仿宋"/>
          <w:color w:val="auto"/>
          <w:sz w:val="24"/>
          <w:u w:val="single"/>
          <w:lang w:eastAsia="zh-CN"/>
        </w:rPr>
        <w:t>重庆大足石刻国际文化旅游集团有限公司</w:t>
      </w:r>
      <w:r>
        <w:rPr>
          <w:rFonts w:hint="eastAsia" w:ascii="仿宋" w:hAnsi="仿宋" w:eastAsia="仿宋" w:cs="仿宋"/>
          <w:color w:val="auto"/>
          <w:sz w:val="24"/>
        </w:rPr>
        <w:t>：</w:t>
      </w:r>
    </w:p>
    <w:p w14:paraId="29E6814E">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u w:val="single"/>
        </w:rPr>
        <w:t xml:space="preserve">                  （供应商名称）</w:t>
      </w:r>
      <w:r>
        <w:rPr>
          <w:rFonts w:hint="eastAsia" w:ascii="仿宋" w:hAnsi="仿宋" w:eastAsia="仿宋" w:cs="仿宋"/>
          <w:color w:val="auto"/>
          <w:sz w:val="24"/>
        </w:rPr>
        <w:t>郑重承诺：</w:t>
      </w:r>
    </w:p>
    <w:p w14:paraId="769430FE">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1.我方具有良好的商业信誉和健全的财务会计制度，具有履行合同所必需的设备和专业技术能力，具</w:t>
      </w:r>
      <w:r>
        <w:rPr>
          <w:rFonts w:hint="eastAsia" w:ascii="仿宋" w:hAnsi="仿宋" w:eastAsia="仿宋" w:cs="仿宋"/>
          <w:color w:val="auto"/>
          <w:sz w:val="24"/>
          <w:lang w:val="zh-CN"/>
        </w:rPr>
        <w:t>有依法缴纳税收和社会保障金的良好记录</w:t>
      </w:r>
      <w:r>
        <w:rPr>
          <w:rFonts w:hint="eastAsia" w:ascii="仿宋" w:hAnsi="仿宋" w:eastAsia="仿宋" w:cs="仿宋"/>
          <w:color w:val="auto"/>
          <w:sz w:val="24"/>
        </w:rPr>
        <w:t>，参加本项目采购活动前三年内无重大违法活动记录。</w:t>
      </w:r>
    </w:p>
    <w:p w14:paraId="47B6D154">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2.我方未列入在信用中国网站（www.creditchina.gov.cn）“失信被执行人”、“重大税收违法案件当事人名单”中，也未列入中国政府采购网（www.ccgp.gov.cn）“政府采购严重违法失信行为记录名单”中。</w:t>
      </w:r>
    </w:p>
    <w:p w14:paraId="417FF94F">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3.我方在采购项目评审（评标）环节结束后，随时接受采购人、采购代理机构的检查验证，配合提供相关证明材料，证明符合《中华人民共和国政府采购法》规定的供应商基本资格条件。</w:t>
      </w:r>
    </w:p>
    <w:p w14:paraId="64B24A6B">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我方对以上承诺负全部法律责任。</w:t>
      </w:r>
    </w:p>
    <w:p w14:paraId="78244083">
      <w:pPr>
        <w:tabs>
          <w:tab w:val="left" w:pos="6300"/>
        </w:tabs>
        <w:snapToGrid w:val="0"/>
        <w:spacing w:line="360" w:lineRule="auto"/>
        <w:ind w:firstLine="480" w:firstLineChars="200"/>
        <w:rPr>
          <w:rFonts w:hint="eastAsia" w:ascii="仿宋" w:hAnsi="仿宋" w:eastAsia="仿宋" w:cs="仿宋"/>
          <w:color w:val="auto"/>
          <w:sz w:val="24"/>
        </w:rPr>
      </w:pPr>
      <w:r>
        <w:rPr>
          <w:rFonts w:hint="eastAsia" w:ascii="仿宋" w:hAnsi="仿宋" w:eastAsia="仿宋" w:cs="仿宋"/>
          <w:color w:val="auto"/>
          <w:sz w:val="24"/>
        </w:rPr>
        <w:t>特此承诺。</w:t>
      </w:r>
    </w:p>
    <w:p w14:paraId="736AD62A">
      <w:pPr>
        <w:tabs>
          <w:tab w:val="left" w:pos="6300"/>
        </w:tabs>
        <w:snapToGrid w:val="0"/>
        <w:spacing w:line="360" w:lineRule="auto"/>
        <w:ind w:firstLine="480" w:firstLineChars="200"/>
        <w:rPr>
          <w:rFonts w:hint="eastAsia" w:ascii="仿宋" w:hAnsi="仿宋" w:eastAsia="仿宋" w:cs="仿宋"/>
          <w:color w:val="auto"/>
          <w:sz w:val="24"/>
        </w:rPr>
      </w:pPr>
    </w:p>
    <w:p w14:paraId="0DDD1C67">
      <w:pPr>
        <w:tabs>
          <w:tab w:val="left" w:pos="6300"/>
        </w:tabs>
        <w:snapToGrid w:val="0"/>
        <w:spacing w:line="360" w:lineRule="auto"/>
        <w:ind w:firstLine="480" w:firstLineChars="200"/>
        <w:jc w:val="right"/>
        <w:rPr>
          <w:rFonts w:hint="eastAsia" w:ascii="仿宋" w:hAnsi="仿宋" w:eastAsia="仿宋" w:cs="仿宋"/>
          <w:color w:val="auto"/>
          <w:sz w:val="24"/>
        </w:rPr>
      </w:pPr>
      <w:r>
        <w:rPr>
          <w:rFonts w:hint="eastAsia" w:ascii="仿宋" w:hAnsi="仿宋" w:eastAsia="仿宋" w:cs="仿宋"/>
          <w:color w:val="auto"/>
          <w:sz w:val="24"/>
        </w:rPr>
        <w:t>（供应商公章）</w:t>
      </w:r>
    </w:p>
    <w:p w14:paraId="0A8F02D7">
      <w:pPr>
        <w:tabs>
          <w:tab w:val="left" w:pos="6300"/>
        </w:tabs>
        <w:snapToGrid w:val="0"/>
        <w:spacing w:line="360" w:lineRule="auto"/>
        <w:ind w:firstLine="480" w:firstLineChars="200"/>
        <w:jc w:val="right"/>
        <w:rPr>
          <w:rFonts w:hint="eastAsia" w:ascii="仿宋" w:hAnsi="仿宋" w:eastAsia="仿宋" w:cs="仿宋"/>
          <w:color w:val="auto"/>
          <w:sz w:val="24"/>
        </w:rPr>
      </w:pPr>
      <w:r>
        <w:rPr>
          <w:rFonts w:hint="eastAsia" w:ascii="仿宋" w:hAnsi="仿宋" w:eastAsia="仿宋" w:cs="仿宋"/>
          <w:color w:val="auto"/>
          <w:sz w:val="24"/>
        </w:rPr>
        <w:t>年   月   日</w:t>
      </w:r>
    </w:p>
    <w:p w14:paraId="725B5DF7">
      <w:pPr>
        <w:tabs>
          <w:tab w:val="left" w:pos="6300"/>
        </w:tabs>
        <w:snapToGrid w:val="0"/>
        <w:spacing w:line="360" w:lineRule="auto"/>
        <w:ind w:firstLine="570"/>
        <w:rPr>
          <w:rFonts w:hint="eastAsia" w:ascii="仿宋" w:hAnsi="仿宋" w:eastAsia="仿宋" w:cs="仿宋"/>
          <w:color w:val="auto"/>
          <w:sz w:val="24"/>
          <w:szCs w:val="24"/>
        </w:rPr>
      </w:pPr>
    </w:p>
    <w:p w14:paraId="07FE5D5F">
      <w:pPr>
        <w:tabs>
          <w:tab w:val="left" w:pos="6300"/>
        </w:tabs>
        <w:snapToGrid w:val="0"/>
        <w:spacing w:line="360" w:lineRule="auto"/>
        <w:ind w:right="480"/>
        <w:jc w:val="both"/>
        <w:rPr>
          <w:rFonts w:hint="eastAsia" w:ascii="仿宋" w:hAnsi="仿宋" w:eastAsia="仿宋" w:cs="仿宋"/>
          <w:color w:val="auto"/>
          <w:sz w:val="24"/>
          <w:szCs w:val="24"/>
        </w:rPr>
      </w:pPr>
      <w:r>
        <w:rPr>
          <w:rFonts w:hint="eastAsia" w:ascii="仿宋" w:hAnsi="仿宋" w:eastAsia="仿宋" w:cs="仿宋"/>
          <w:color w:val="auto"/>
        </w:rPr>
        <w:br w:type="page"/>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五</w:t>
      </w:r>
      <w:r>
        <w:rPr>
          <w:rFonts w:hint="eastAsia" w:ascii="仿宋" w:hAnsi="仿宋" w:eastAsia="仿宋" w:cs="仿宋"/>
          <w:color w:val="auto"/>
          <w:sz w:val="24"/>
          <w:szCs w:val="24"/>
          <w:lang w:eastAsia="zh-CN"/>
        </w:rPr>
        <w:t>）特定资格条件证书或证明文件</w:t>
      </w:r>
    </w:p>
    <w:p w14:paraId="12C0CE83">
      <w:pPr>
        <w:pStyle w:val="5"/>
        <w:spacing w:before="0" w:after="0" w:line="360" w:lineRule="auto"/>
        <w:rPr>
          <w:rFonts w:hint="eastAsia" w:ascii="仿宋" w:hAnsi="仿宋" w:eastAsia="仿宋" w:cs="仿宋"/>
          <w:color w:val="auto"/>
          <w:sz w:val="24"/>
          <w:szCs w:val="24"/>
        </w:rPr>
      </w:pPr>
      <w:bookmarkStart w:id="191" w:name="_Toc14422"/>
      <w:r>
        <w:rPr>
          <w:rFonts w:hint="eastAsia" w:ascii="仿宋" w:hAnsi="仿宋" w:eastAsia="仿宋" w:cs="仿宋"/>
          <w:b w:val="0"/>
          <w:color w:val="auto"/>
          <w:sz w:val="28"/>
        </w:rPr>
        <w:br w:type="page"/>
      </w:r>
      <w:bookmarkStart w:id="192" w:name="_Toc27609"/>
      <w:r>
        <w:rPr>
          <w:rFonts w:hint="eastAsia" w:ascii="仿宋" w:hAnsi="仿宋" w:eastAsia="仿宋" w:cs="仿宋"/>
          <w:color w:val="auto"/>
          <w:sz w:val="24"/>
          <w:szCs w:val="24"/>
        </w:rPr>
        <w:t>五、其他资料</w:t>
      </w:r>
      <w:bookmarkEnd w:id="191"/>
      <w:bookmarkEnd w:id="192"/>
    </w:p>
    <w:p w14:paraId="1572D218">
      <w:pPr>
        <w:spacing w:line="360" w:lineRule="auto"/>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一</w:t>
      </w:r>
      <w:r>
        <w:rPr>
          <w:rFonts w:hint="eastAsia" w:ascii="仿宋" w:hAnsi="仿宋" w:eastAsia="仿宋" w:cs="仿宋"/>
          <w:color w:val="auto"/>
          <w:sz w:val="24"/>
          <w:szCs w:val="24"/>
        </w:rPr>
        <w:t>）其他与项目有关的资料</w:t>
      </w:r>
    </w:p>
    <w:p w14:paraId="183DC520">
      <w:pPr>
        <w:spacing w:line="360" w:lineRule="auto"/>
        <w:ind w:firstLine="480" w:firstLineChars="200"/>
        <w:rPr>
          <w:rFonts w:hint="eastAsia" w:ascii="仿宋" w:hAnsi="仿宋" w:eastAsia="仿宋" w:cs="仿宋"/>
          <w:color w:val="auto"/>
          <w:sz w:val="24"/>
          <w:szCs w:val="24"/>
        </w:rPr>
      </w:pPr>
    </w:p>
    <w:p w14:paraId="68AA1C19">
      <w:pPr>
        <w:spacing w:line="360" w:lineRule="auto"/>
        <w:ind w:firstLine="480" w:firstLineChars="200"/>
        <w:jc w:val="center"/>
        <w:rPr>
          <w:rFonts w:hint="eastAsia" w:ascii="仿宋" w:hAnsi="仿宋" w:eastAsia="仿宋" w:cs="仿宋"/>
          <w:color w:val="auto"/>
          <w:sz w:val="24"/>
          <w:szCs w:val="24"/>
        </w:rPr>
      </w:pPr>
    </w:p>
    <w:p w14:paraId="1308025B">
      <w:pPr>
        <w:spacing w:line="360" w:lineRule="auto"/>
        <w:ind w:firstLine="480" w:firstLineChars="200"/>
        <w:jc w:val="center"/>
        <w:rPr>
          <w:rFonts w:hint="eastAsia" w:ascii="仿宋" w:hAnsi="仿宋" w:eastAsia="仿宋" w:cs="仿宋"/>
          <w:color w:val="auto"/>
          <w:sz w:val="24"/>
          <w:szCs w:val="24"/>
        </w:rPr>
      </w:pPr>
    </w:p>
    <w:p w14:paraId="57BF4A55">
      <w:pPr>
        <w:spacing w:line="360" w:lineRule="auto"/>
        <w:ind w:firstLine="480" w:firstLineChars="200"/>
        <w:jc w:val="center"/>
        <w:rPr>
          <w:rFonts w:hint="eastAsia" w:ascii="仿宋" w:hAnsi="仿宋" w:eastAsia="仿宋" w:cs="仿宋"/>
          <w:color w:val="auto"/>
          <w:sz w:val="24"/>
          <w:szCs w:val="24"/>
        </w:rPr>
      </w:pPr>
    </w:p>
    <w:p w14:paraId="7670AEDB">
      <w:pPr>
        <w:spacing w:line="360" w:lineRule="auto"/>
        <w:ind w:firstLine="480" w:firstLineChars="200"/>
        <w:jc w:val="center"/>
        <w:rPr>
          <w:rFonts w:hint="eastAsia" w:ascii="仿宋" w:hAnsi="仿宋" w:eastAsia="仿宋" w:cs="仿宋"/>
          <w:color w:val="auto"/>
          <w:sz w:val="24"/>
          <w:szCs w:val="24"/>
        </w:rPr>
      </w:pPr>
    </w:p>
    <w:p w14:paraId="48F004D4">
      <w:pPr>
        <w:spacing w:line="360" w:lineRule="auto"/>
        <w:ind w:firstLine="480" w:firstLineChars="200"/>
        <w:jc w:val="center"/>
        <w:rPr>
          <w:rFonts w:hint="eastAsia" w:ascii="仿宋" w:hAnsi="仿宋" w:eastAsia="仿宋" w:cs="仿宋"/>
          <w:color w:val="auto"/>
          <w:sz w:val="24"/>
          <w:szCs w:val="24"/>
        </w:rPr>
      </w:pPr>
    </w:p>
    <w:p w14:paraId="755302EA">
      <w:pPr>
        <w:spacing w:line="360" w:lineRule="auto"/>
        <w:ind w:firstLine="480" w:firstLineChars="200"/>
        <w:jc w:val="center"/>
        <w:rPr>
          <w:rFonts w:hint="eastAsia" w:ascii="仿宋" w:hAnsi="仿宋" w:eastAsia="仿宋" w:cs="仿宋"/>
          <w:color w:val="auto"/>
          <w:sz w:val="24"/>
          <w:szCs w:val="24"/>
        </w:rPr>
      </w:pPr>
    </w:p>
    <w:p w14:paraId="4E3FDB8E">
      <w:pPr>
        <w:spacing w:line="360" w:lineRule="auto"/>
        <w:ind w:firstLine="480" w:firstLineChars="200"/>
        <w:jc w:val="center"/>
        <w:rPr>
          <w:rFonts w:hint="eastAsia" w:ascii="仿宋" w:hAnsi="仿宋" w:eastAsia="仿宋" w:cs="仿宋"/>
          <w:color w:val="auto"/>
          <w:sz w:val="24"/>
          <w:szCs w:val="24"/>
        </w:rPr>
      </w:pPr>
    </w:p>
    <w:p w14:paraId="7DAAE594">
      <w:pPr>
        <w:spacing w:line="360" w:lineRule="auto"/>
        <w:ind w:firstLine="480" w:firstLineChars="200"/>
        <w:jc w:val="center"/>
        <w:rPr>
          <w:rFonts w:hint="eastAsia" w:ascii="仿宋" w:hAnsi="仿宋" w:eastAsia="仿宋" w:cs="仿宋"/>
          <w:color w:val="auto"/>
          <w:sz w:val="24"/>
          <w:szCs w:val="24"/>
        </w:rPr>
      </w:pPr>
    </w:p>
    <w:p w14:paraId="79C28FEF">
      <w:pPr>
        <w:spacing w:line="360" w:lineRule="auto"/>
        <w:ind w:firstLine="480" w:firstLineChars="200"/>
        <w:jc w:val="center"/>
        <w:rPr>
          <w:rFonts w:hint="eastAsia" w:ascii="仿宋" w:hAnsi="仿宋" w:eastAsia="仿宋" w:cs="仿宋"/>
          <w:color w:val="auto"/>
          <w:sz w:val="24"/>
          <w:szCs w:val="24"/>
        </w:rPr>
      </w:pPr>
    </w:p>
    <w:p w14:paraId="7E6D2F28">
      <w:pPr>
        <w:spacing w:line="360" w:lineRule="auto"/>
        <w:ind w:firstLine="480" w:firstLineChars="200"/>
        <w:jc w:val="center"/>
        <w:rPr>
          <w:rFonts w:hint="eastAsia" w:ascii="仿宋" w:hAnsi="仿宋" w:eastAsia="仿宋" w:cs="仿宋"/>
          <w:color w:val="auto"/>
          <w:sz w:val="24"/>
          <w:szCs w:val="24"/>
        </w:rPr>
      </w:pPr>
    </w:p>
    <w:p w14:paraId="612250EE">
      <w:pPr>
        <w:spacing w:line="360" w:lineRule="auto"/>
        <w:ind w:firstLine="480" w:firstLineChars="200"/>
        <w:jc w:val="center"/>
        <w:rPr>
          <w:rFonts w:hint="eastAsia" w:ascii="仿宋" w:hAnsi="仿宋" w:eastAsia="仿宋" w:cs="仿宋"/>
          <w:color w:val="auto"/>
          <w:sz w:val="24"/>
          <w:szCs w:val="24"/>
        </w:rPr>
      </w:pPr>
    </w:p>
    <w:p w14:paraId="2EFF80BF">
      <w:pPr>
        <w:spacing w:line="360" w:lineRule="auto"/>
        <w:ind w:firstLine="480" w:firstLineChars="200"/>
        <w:jc w:val="center"/>
        <w:rPr>
          <w:rFonts w:hint="eastAsia" w:ascii="仿宋" w:hAnsi="仿宋" w:eastAsia="仿宋" w:cs="仿宋"/>
          <w:color w:val="auto"/>
          <w:sz w:val="24"/>
          <w:szCs w:val="24"/>
        </w:rPr>
      </w:pPr>
    </w:p>
    <w:p w14:paraId="0641B6FF">
      <w:pPr>
        <w:spacing w:line="360" w:lineRule="auto"/>
        <w:ind w:firstLine="480" w:firstLineChars="200"/>
        <w:jc w:val="center"/>
        <w:rPr>
          <w:rFonts w:hint="eastAsia" w:ascii="仿宋" w:hAnsi="仿宋" w:eastAsia="仿宋" w:cs="仿宋"/>
          <w:color w:val="auto"/>
          <w:sz w:val="24"/>
          <w:szCs w:val="24"/>
        </w:rPr>
      </w:pPr>
    </w:p>
    <w:p w14:paraId="4C834D36">
      <w:pPr>
        <w:spacing w:line="360" w:lineRule="auto"/>
        <w:ind w:firstLine="480" w:firstLineChars="200"/>
        <w:jc w:val="center"/>
        <w:rPr>
          <w:rFonts w:hint="eastAsia" w:ascii="仿宋" w:hAnsi="仿宋" w:eastAsia="仿宋" w:cs="仿宋"/>
          <w:color w:val="auto"/>
          <w:sz w:val="24"/>
          <w:szCs w:val="24"/>
        </w:rPr>
      </w:pPr>
    </w:p>
    <w:p w14:paraId="32D968A6">
      <w:pPr>
        <w:spacing w:line="360" w:lineRule="auto"/>
        <w:ind w:firstLine="480" w:firstLineChars="200"/>
        <w:jc w:val="center"/>
        <w:rPr>
          <w:rFonts w:hint="eastAsia" w:ascii="仿宋" w:hAnsi="仿宋" w:eastAsia="仿宋" w:cs="仿宋"/>
          <w:color w:val="auto"/>
          <w:sz w:val="24"/>
          <w:szCs w:val="24"/>
        </w:rPr>
      </w:pPr>
    </w:p>
    <w:p w14:paraId="4FDCA1BE">
      <w:pPr>
        <w:spacing w:line="360" w:lineRule="auto"/>
        <w:ind w:firstLine="480" w:firstLineChars="200"/>
        <w:jc w:val="center"/>
        <w:rPr>
          <w:rFonts w:hint="eastAsia" w:ascii="仿宋" w:hAnsi="仿宋" w:eastAsia="仿宋" w:cs="仿宋"/>
          <w:color w:val="auto"/>
          <w:sz w:val="24"/>
          <w:szCs w:val="24"/>
        </w:rPr>
      </w:pPr>
      <w:r>
        <w:rPr>
          <w:rFonts w:hint="eastAsia" w:ascii="仿宋" w:hAnsi="仿宋" w:eastAsia="仿宋" w:cs="仿宋"/>
          <w:color w:val="auto"/>
          <w:sz w:val="24"/>
          <w:szCs w:val="24"/>
        </w:rPr>
        <w:t>（结束）</w:t>
      </w:r>
    </w:p>
    <w:p w14:paraId="47EF4257">
      <w:pPr>
        <w:pStyle w:val="2"/>
        <w:spacing w:line="360" w:lineRule="auto"/>
        <w:rPr>
          <w:rFonts w:hint="eastAsia" w:ascii="仿宋" w:hAnsi="仿宋" w:eastAsia="仿宋" w:cs="仿宋"/>
          <w:color w:val="auto"/>
        </w:rPr>
      </w:pPr>
    </w:p>
    <w:p w14:paraId="465BF805">
      <w:pPr>
        <w:pStyle w:val="2"/>
        <w:spacing w:line="360" w:lineRule="auto"/>
        <w:rPr>
          <w:rFonts w:hint="eastAsia" w:ascii="仿宋" w:hAnsi="仿宋" w:eastAsia="仿宋" w:cs="仿宋"/>
          <w:color w:val="auto"/>
        </w:rPr>
      </w:pPr>
    </w:p>
    <w:p w14:paraId="2ABC7497">
      <w:pPr>
        <w:pStyle w:val="2"/>
        <w:spacing w:line="360" w:lineRule="auto"/>
        <w:rPr>
          <w:rFonts w:hint="eastAsia" w:ascii="仿宋" w:hAnsi="仿宋" w:eastAsia="仿宋" w:cs="仿宋"/>
          <w:color w:val="auto"/>
        </w:rPr>
      </w:pPr>
    </w:p>
    <w:p w14:paraId="6F73F164">
      <w:pPr>
        <w:spacing w:line="360" w:lineRule="auto"/>
        <w:rPr>
          <w:rFonts w:hint="eastAsia" w:ascii="仿宋" w:hAnsi="仿宋" w:eastAsia="仿宋" w:cs="仿宋"/>
          <w:color w:val="auto"/>
        </w:rPr>
      </w:pPr>
    </w:p>
    <w:p w14:paraId="2661CAD3">
      <w:pPr>
        <w:pStyle w:val="2"/>
        <w:spacing w:line="360" w:lineRule="auto"/>
        <w:rPr>
          <w:rFonts w:hint="eastAsia" w:ascii="仿宋" w:hAnsi="仿宋" w:eastAsia="仿宋" w:cs="仿宋"/>
          <w:color w:val="auto"/>
        </w:rPr>
      </w:pPr>
    </w:p>
    <w:p w14:paraId="644E2B7F">
      <w:pPr>
        <w:rPr>
          <w:rFonts w:hint="eastAsia"/>
          <w:color w:val="auto"/>
        </w:rPr>
      </w:pPr>
    </w:p>
    <w:p w14:paraId="5BDBB859">
      <w:pPr>
        <w:spacing w:line="360" w:lineRule="auto"/>
        <w:rPr>
          <w:rFonts w:hint="eastAsia" w:ascii="仿宋" w:hAnsi="仿宋" w:eastAsia="仿宋" w:cs="仿宋"/>
          <w:color w:val="auto"/>
        </w:rPr>
      </w:pPr>
    </w:p>
    <w:p w14:paraId="74019A5B">
      <w:pPr>
        <w:pStyle w:val="2"/>
        <w:spacing w:line="360" w:lineRule="auto"/>
        <w:rPr>
          <w:rFonts w:hint="eastAsia" w:ascii="仿宋" w:hAnsi="仿宋" w:eastAsia="仿宋" w:cs="仿宋"/>
          <w:color w:val="auto"/>
        </w:rPr>
      </w:pPr>
    </w:p>
    <w:p w14:paraId="29B3697E">
      <w:pPr>
        <w:pStyle w:val="2"/>
        <w:spacing w:line="360" w:lineRule="auto"/>
        <w:rPr>
          <w:rFonts w:hint="eastAsia" w:ascii="仿宋" w:hAnsi="仿宋" w:eastAsia="仿宋" w:cs="仿宋"/>
          <w:color w:val="auto"/>
        </w:rPr>
      </w:pPr>
    </w:p>
    <w:p w14:paraId="73AF6446">
      <w:pPr>
        <w:spacing w:line="360" w:lineRule="auto"/>
        <w:jc w:val="center"/>
        <w:rPr>
          <w:rFonts w:hint="eastAsia" w:ascii="仿宋" w:hAnsi="仿宋" w:eastAsia="仿宋" w:cs="仿宋"/>
          <w:b/>
          <w:bCs/>
          <w:color w:val="auto"/>
          <w:sz w:val="44"/>
          <w:szCs w:val="44"/>
        </w:rPr>
      </w:pPr>
      <w:bookmarkStart w:id="193" w:name="_Toc477027621"/>
      <w:bookmarkStart w:id="194" w:name="_Toc28290"/>
      <w:r>
        <w:rPr>
          <w:rFonts w:hint="eastAsia" w:ascii="仿宋" w:hAnsi="仿宋" w:eastAsia="仿宋" w:cs="仿宋"/>
          <w:b/>
          <w:bCs/>
          <w:color w:val="auto"/>
          <w:sz w:val="44"/>
          <w:szCs w:val="44"/>
        </w:rPr>
        <w:t xml:space="preserve">  附件一：发售登记表</w:t>
      </w:r>
    </w:p>
    <w:bookmarkEnd w:id="193"/>
    <w:bookmarkEnd w:id="194"/>
    <w:tbl>
      <w:tblPr>
        <w:tblStyle w:val="15"/>
        <w:tblpPr w:leftFromText="180" w:rightFromText="180" w:vertAnchor="text" w:horzAnchor="page" w:tblpX="1495" w:tblpY="490"/>
        <w:tblOverlap w:val="never"/>
        <w:tblW w:w="0" w:type="auto"/>
        <w:tblInd w:w="0" w:type="dxa"/>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32"/>
        <w:gridCol w:w="2391"/>
        <w:gridCol w:w="1051"/>
        <w:gridCol w:w="3965"/>
      </w:tblGrid>
      <w:tr w14:paraId="621E3FC8">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810" w:hRule="atLeast"/>
        </w:trPr>
        <w:tc>
          <w:tcPr>
            <w:tcW w:w="1832" w:type="dxa"/>
            <w:noWrap w:val="0"/>
            <w:vAlign w:val="center"/>
          </w:tcPr>
          <w:p w14:paraId="1C00A39F">
            <w:pPr>
              <w:tabs>
                <w:tab w:val="left" w:pos="6300"/>
              </w:tabs>
              <w:snapToGrid w:val="0"/>
              <w:spacing w:line="500" w:lineRule="exact"/>
              <w:jc w:val="center"/>
              <w:rPr>
                <w:rFonts w:hint="eastAsia" w:ascii="仿宋" w:hAnsi="仿宋" w:eastAsia="仿宋" w:cs="仿宋"/>
                <w:color w:val="auto"/>
                <w:sz w:val="21"/>
                <w:szCs w:val="21"/>
              </w:rPr>
            </w:pPr>
            <w:r>
              <w:rPr>
                <w:rFonts w:hint="eastAsia" w:ascii="方正仿宋_GBK" w:hAnsi="宋体" w:eastAsia="方正仿宋_GBK"/>
                <w:color w:val="auto"/>
                <w:sz w:val="24"/>
                <w:szCs w:val="24"/>
                <w:lang w:eastAsia="zh-CN"/>
              </w:rPr>
              <w:t>项目名称</w:t>
            </w:r>
          </w:p>
        </w:tc>
        <w:tc>
          <w:tcPr>
            <w:tcW w:w="7407" w:type="dxa"/>
            <w:gridSpan w:val="3"/>
            <w:noWrap w:val="0"/>
            <w:vAlign w:val="center"/>
          </w:tcPr>
          <w:p w14:paraId="0DEC3E03">
            <w:pPr>
              <w:tabs>
                <w:tab w:val="left" w:pos="6300"/>
              </w:tabs>
              <w:snapToGrid w:val="0"/>
              <w:spacing w:line="500" w:lineRule="exact"/>
              <w:jc w:val="center"/>
              <w:rPr>
                <w:rFonts w:hint="eastAsia" w:ascii="仿宋" w:hAnsi="仿宋" w:eastAsia="仿宋" w:cs="仿宋"/>
                <w:color w:val="auto"/>
                <w:sz w:val="21"/>
                <w:szCs w:val="21"/>
              </w:rPr>
            </w:pPr>
          </w:p>
        </w:tc>
      </w:tr>
      <w:tr w14:paraId="6FCADEC5">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806" w:hRule="atLeast"/>
        </w:trPr>
        <w:tc>
          <w:tcPr>
            <w:tcW w:w="1832" w:type="dxa"/>
            <w:noWrap w:val="0"/>
            <w:vAlign w:val="center"/>
          </w:tcPr>
          <w:p w14:paraId="6E3A0A1E">
            <w:pPr>
              <w:tabs>
                <w:tab w:val="left" w:pos="6300"/>
              </w:tabs>
              <w:snapToGrid w:val="0"/>
              <w:spacing w:line="500" w:lineRule="exact"/>
              <w:jc w:val="center"/>
              <w:rPr>
                <w:rFonts w:hint="eastAsia" w:ascii="仿宋" w:hAnsi="仿宋" w:eastAsia="仿宋" w:cs="仿宋"/>
                <w:color w:val="auto"/>
                <w:sz w:val="21"/>
                <w:szCs w:val="21"/>
              </w:rPr>
            </w:pPr>
            <w:r>
              <w:rPr>
                <w:rFonts w:hint="eastAsia" w:ascii="仿宋" w:hAnsi="仿宋" w:eastAsia="仿宋" w:cs="仿宋"/>
                <w:color w:val="auto"/>
                <w:sz w:val="21"/>
                <w:szCs w:val="21"/>
                <w:lang w:eastAsia="zh-CN"/>
              </w:rPr>
              <w:t>投标人</w:t>
            </w:r>
            <w:r>
              <w:rPr>
                <w:rFonts w:hint="eastAsia" w:ascii="仿宋" w:hAnsi="仿宋" w:eastAsia="仿宋" w:cs="仿宋"/>
                <w:color w:val="auto"/>
                <w:sz w:val="21"/>
                <w:szCs w:val="21"/>
              </w:rPr>
              <w:t>名称</w:t>
            </w:r>
          </w:p>
        </w:tc>
        <w:tc>
          <w:tcPr>
            <w:tcW w:w="7407" w:type="dxa"/>
            <w:gridSpan w:val="3"/>
            <w:noWrap w:val="0"/>
            <w:vAlign w:val="center"/>
          </w:tcPr>
          <w:p w14:paraId="7D5BC01C">
            <w:pPr>
              <w:tabs>
                <w:tab w:val="left" w:pos="6300"/>
              </w:tabs>
              <w:snapToGrid w:val="0"/>
              <w:spacing w:line="500" w:lineRule="exact"/>
              <w:jc w:val="center"/>
              <w:rPr>
                <w:rFonts w:hint="eastAsia" w:ascii="仿宋" w:hAnsi="仿宋" w:eastAsia="仿宋" w:cs="仿宋"/>
                <w:color w:val="auto"/>
                <w:sz w:val="21"/>
                <w:szCs w:val="21"/>
              </w:rPr>
            </w:pPr>
            <w:r>
              <w:rPr>
                <w:rFonts w:hint="eastAsia" w:ascii="仿宋" w:hAnsi="仿宋" w:eastAsia="仿宋" w:cs="仿宋"/>
                <w:color w:val="auto"/>
                <w:sz w:val="21"/>
                <w:szCs w:val="21"/>
              </w:rPr>
              <w:t>（</w:t>
            </w:r>
            <w:r>
              <w:rPr>
                <w:rFonts w:hint="eastAsia" w:ascii="仿宋" w:hAnsi="仿宋" w:eastAsia="仿宋" w:cs="仿宋"/>
                <w:color w:val="auto"/>
                <w:sz w:val="21"/>
                <w:szCs w:val="21"/>
                <w:lang w:eastAsia="zh-CN"/>
              </w:rPr>
              <w:t>投标人</w:t>
            </w:r>
            <w:r>
              <w:rPr>
                <w:rFonts w:hint="eastAsia" w:ascii="仿宋" w:hAnsi="仿宋" w:eastAsia="仿宋" w:cs="仿宋"/>
                <w:color w:val="auto"/>
                <w:sz w:val="21"/>
                <w:szCs w:val="21"/>
              </w:rPr>
              <w:t>公章）</w:t>
            </w:r>
          </w:p>
        </w:tc>
      </w:tr>
      <w:tr w14:paraId="39382B0A">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769" w:hRule="atLeast"/>
        </w:trPr>
        <w:tc>
          <w:tcPr>
            <w:tcW w:w="1832" w:type="dxa"/>
            <w:noWrap w:val="0"/>
            <w:vAlign w:val="center"/>
          </w:tcPr>
          <w:p w14:paraId="52DAB738">
            <w:pPr>
              <w:tabs>
                <w:tab w:val="left" w:pos="6300"/>
              </w:tabs>
              <w:snapToGrid w:val="0"/>
              <w:spacing w:line="500" w:lineRule="exact"/>
              <w:jc w:val="center"/>
              <w:rPr>
                <w:rFonts w:hint="eastAsia" w:ascii="仿宋" w:hAnsi="仿宋" w:eastAsia="仿宋" w:cs="仿宋"/>
                <w:color w:val="auto"/>
                <w:sz w:val="21"/>
                <w:szCs w:val="21"/>
              </w:rPr>
            </w:pPr>
            <w:r>
              <w:rPr>
                <w:rFonts w:hint="eastAsia" w:ascii="仿宋" w:hAnsi="仿宋" w:eastAsia="仿宋" w:cs="仿宋"/>
                <w:color w:val="auto"/>
                <w:sz w:val="21"/>
                <w:szCs w:val="21"/>
              </w:rPr>
              <w:t>联系人</w:t>
            </w:r>
          </w:p>
        </w:tc>
        <w:tc>
          <w:tcPr>
            <w:tcW w:w="2391" w:type="dxa"/>
            <w:noWrap w:val="0"/>
            <w:vAlign w:val="center"/>
          </w:tcPr>
          <w:p w14:paraId="279F636D">
            <w:pPr>
              <w:tabs>
                <w:tab w:val="left" w:pos="6300"/>
              </w:tabs>
              <w:snapToGrid w:val="0"/>
              <w:spacing w:line="500" w:lineRule="exact"/>
              <w:ind w:firstLine="570"/>
              <w:rPr>
                <w:rFonts w:hint="eastAsia" w:ascii="仿宋" w:hAnsi="仿宋" w:eastAsia="仿宋" w:cs="仿宋"/>
                <w:color w:val="auto"/>
                <w:sz w:val="21"/>
                <w:szCs w:val="21"/>
              </w:rPr>
            </w:pPr>
          </w:p>
        </w:tc>
        <w:tc>
          <w:tcPr>
            <w:tcW w:w="1051" w:type="dxa"/>
            <w:noWrap w:val="0"/>
            <w:vAlign w:val="center"/>
          </w:tcPr>
          <w:p w14:paraId="2701E83C">
            <w:pPr>
              <w:tabs>
                <w:tab w:val="left" w:pos="6300"/>
              </w:tabs>
              <w:snapToGrid w:val="0"/>
              <w:spacing w:line="500" w:lineRule="exact"/>
              <w:rPr>
                <w:rFonts w:hint="eastAsia" w:ascii="仿宋" w:hAnsi="仿宋" w:eastAsia="仿宋" w:cs="仿宋"/>
                <w:color w:val="auto"/>
                <w:sz w:val="21"/>
                <w:szCs w:val="21"/>
              </w:rPr>
            </w:pPr>
            <w:r>
              <w:rPr>
                <w:rFonts w:hint="eastAsia" w:ascii="仿宋" w:hAnsi="仿宋" w:eastAsia="仿宋" w:cs="仿宋"/>
                <w:color w:val="auto"/>
                <w:sz w:val="21"/>
                <w:szCs w:val="21"/>
              </w:rPr>
              <w:t>手机</w:t>
            </w:r>
          </w:p>
        </w:tc>
        <w:tc>
          <w:tcPr>
            <w:tcW w:w="3965" w:type="dxa"/>
            <w:noWrap w:val="0"/>
            <w:vAlign w:val="center"/>
          </w:tcPr>
          <w:p w14:paraId="4F59D8DD">
            <w:pPr>
              <w:tabs>
                <w:tab w:val="left" w:pos="6300"/>
              </w:tabs>
              <w:snapToGrid w:val="0"/>
              <w:spacing w:line="500" w:lineRule="exact"/>
              <w:ind w:firstLine="570"/>
              <w:rPr>
                <w:rFonts w:hint="eastAsia" w:ascii="仿宋" w:hAnsi="仿宋" w:eastAsia="仿宋" w:cs="仿宋"/>
                <w:color w:val="auto"/>
                <w:sz w:val="21"/>
                <w:szCs w:val="21"/>
              </w:rPr>
            </w:pPr>
          </w:p>
        </w:tc>
      </w:tr>
      <w:tr w14:paraId="1B11DA9C">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713" w:hRule="atLeast"/>
        </w:trPr>
        <w:tc>
          <w:tcPr>
            <w:tcW w:w="1832" w:type="dxa"/>
            <w:noWrap w:val="0"/>
            <w:vAlign w:val="center"/>
          </w:tcPr>
          <w:p w14:paraId="15C107EF">
            <w:pPr>
              <w:tabs>
                <w:tab w:val="left" w:pos="6300"/>
              </w:tabs>
              <w:snapToGrid w:val="0"/>
              <w:spacing w:line="500" w:lineRule="exact"/>
              <w:jc w:val="center"/>
              <w:rPr>
                <w:rFonts w:hint="eastAsia" w:ascii="仿宋" w:hAnsi="仿宋" w:eastAsia="仿宋" w:cs="仿宋"/>
                <w:color w:val="auto"/>
                <w:sz w:val="21"/>
                <w:szCs w:val="21"/>
              </w:rPr>
            </w:pPr>
            <w:r>
              <w:rPr>
                <w:rFonts w:hint="eastAsia" w:ascii="仿宋" w:hAnsi="仿宋" w:eastAsia="仿宋" w:cs="仿宋"/>
                <w:color w:val="auto"/>
                <w:sz w:val="21"/>
                <w:szCs w:val="21"/>
              </w:rPr>
              <w:t>办公电话</w:t>
            </w:r>
          </w:p>
        </w:tc>
        <w:tc>
          <w:tcPr>
            <w:tcW w:w="2391" w:type="dxa"/>
            <w:noWrap w:val="0"/>
            <w:vAlign w:val="center"/>
          </w:tcPr>
          <w:p w14:paraId="015B9A54">
            <w:pPr>
              <w:tabs>
                <w:tab w:val="left" w:pos="6300"/>
              </w:tabs>
              <w:snapToGrid w:val="0"/>
              <w:spacing w:line="500" w:lineRule="exact"/>
              <w:ind w:firstLine="570"/>
              <w:rPr>
                <w:rFonts w:hint="eastAsia" w:ascii="仿宋" w:hAnsi="仿宋" w:eastAsia="仿宋" w:cs="仿宋"/>
                <w:color w:val="auto"/>
                <w:sz w:val="21"/>
                <w:szCs w:val="21"/>
              </w:rPr>
            </w:pPr>
          </w:p>
        </w:tc>
        <w:tc>
          <w:tcPr>
            <w:tcW w:w="1051" w:type="dxa"/>
            <w:noWrap w:val="0"/>
            <w:vAlign w:val="center"/>
          </w:tcPr>
          <w:p w14:paraId="7376CA1D">
            <w:pPr>
              <w:tabs>
                <w:tab w:val="left" w:pos="6300"/>
              </w:tabs>
              <w:snapToGrid w:val="0"/>
              <w:spacing w:line="500" w:lineRule="exact"/>
              <w:rPr>
                <w:rFonts w:hint="eastAsia" w:ascii="仿宋" w:hAnsi="仿宋" w:eastAsia="仿宋" w:cs="仿宋"/>
                <w:color w:val="auto"/>
                <w:sz w:val="21"/>
                <w:szCs w:val="21"/>
              </w:rPr>
            </w:pPr>
            <w:r>
              <w:rPr>
                <w:rFonts w:hint="eastAsia" w:ascii="仿宋" w:hAnsi="仿宋" w:eastAsia="仿宋" w:cs="仿宋"/>
                <w:color w:val="auto"/>
                <w:sz w:val="21"/>
                <w:szCs w:val="21"/>
              </w:rPr>
              <w:t>传真</w:t>
            </w:r>
          </w:p>
        </w:tc>
        <w:tc>
          <w:tcPr>
            <w:tcW w:w="3965" w:type="dxa"/>
            <w:noWrap w:val="0"/>
            <w:vAlign w:val="center"/>
          </w:tcPr>
          <w:p w14:paraId="710220DB">
            <w:pPr>
              <w:tabs>
                <w:tab w:val="left" w:pos="6300"/>
              </w:tabs>
              <w:snapToGrid w:val="0"/>
              <w:spacing w:line="500" w:lineRule="exact"/>
              <w:ind w:firstLine="570"/>
              <w:rPr>
                <w:rFonts w:hint="eastAsia" w:ascii="仿宋" w:hAnsi="仿宋" w:eastAsia="仿宋" w:cs="仿宋"/>
                <w:color w:val="auto"/>
                <w:sz w:val="21"/>
                <w:szCs w:val="21"/>
              </w:rPr>
            </w:pPr>
          </w:p>
        </w:tc>
      </w:tr>
      <w:tr w14:paraId="26F184DB">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trPr>
        <w:tc>
          <w:tcPr>
            <w:tcW w:w="1832" w:type="dxa"/>
            <w:noWrap w:val="0"/>
            <w:vAlign w:val="center"/>
          </w:tcPr>
          <w:p w14:paraId="0604386A">
            <w:pPr>
              <w:tabs>
                <w:tab w:val="left" w:pos="6300"/>
              </w:tabs>
              <w:snapToGrid w:val="0"/>
              <w:spacing w:line="500" w:lineRule="exact"/>
              <w:jc w:val="center"/>
              <w:rPr>
                <w:rFonts w:hint="eastAsia" w:ascii="仿宋" w:hAnsi="仿宋" w:eastAsia="仿宋" w:cs="仿宋"/>
                <w:color w:val="auto"/>
                <w:sz w:val="21"/>
                <w:szCs w:val="21"/>
              </w:rPr>
            </w:pPr>
            <w:r>
              <w:rPr>
                <w:rFonts w:hint="eastAsia" w:ascii="仿宋" w:hAnsi="仿宋" w:eastAsia="仿宋" w:cs="仿宋"/>
                <w:color w:val="auto"/>
                <w:sz w:val="21"/>
                <w:szCs w:val="21"/>
              </w:rPr>
              <w:t>E-mail</w:t>
            </w:r>
          </w:p>
        </w:tc>
        <w:tc>
          <w:tcPr>
            <w:tcW w:w="7407" w:type="dxa"/>
            <w:gridSpan w:val="3"/>
            <w:noWrap w:val="0"/>
            <w:vAlign w:val="center"/>
          </w:tcPr>
          <w:p w14:paraId="2B44A941">
            <w:pPr>
              <w:tabs>
                <w:tab w:val="left" w:pos="6300"/>
              </w:tabs>
              <w:snapToGrid w:val="0"/>
              <w:spacing w:line="500" w:lineRule="exact"/>
              <w:ind w:firstLine="570"/>
              <w:rPr>
                <w:rFonts w:hint="eastAsia" w:ascii="仿宋" w:hAnsi="仿宋" w:eastAsia="仿宋" w:cs="仿宋"/>
                <w:color w:val="auto"/>
                <w:sz w:val="21"/>
                <w:szCs w:val="21"/>
              </w:rPr>
            </w:pPr>
          </w:p>
        </w:tc>
      </w:tr>
      <w:tr w14:paraId="4CBBBF1A">
        <w:tblPrEx>
          <w:tblBorders>
            <w:top w:val="double" w:color="auto" w:sz="4" w:space="0"/>
            <w:left w:val="double" w:color="auto" w:sz="4" w:space="0"/>
            <w:bottom w:val="double" w:color="auto" w:sz="4" w:space="0"/>
            <w:right w:val="double" w:color="auto" w:sz="4" w:space="0"/>
            <w:insideH w:val="single" w:color="auto" w:sz="4" w:space="0"/>
            <w:insideV w:val="single" w:color="auto" w:sz="4" w:space="0"/>
          </w:tblBorders>
          <w:tblCellMar>
            <w:top w:w="0" w:type="dxa"/>
            <w:left w:w="108" w:type="dxa"/>
            <w:bottom w:w="0" w:type="dxa"/>
            <w:right w:w="108" w:type="dxa"/>
          </w:tblCellMar>
        </w:tblPrEx>
        <w:trPr>
          <w:trHeight w:val="824" w:hRule="atLeast"/>
        </w:trPr>
        <w:tc>
          <w:tcPr>
            <w:tcW w:w="1832" w:type="dxa"/>
            <w:noWrap w:val="0"/>
            <w:vAlign w:val="center"/>
          </w:tcPr>
          <w:p w14:paraId="45910CC9">
            <w:pPr>
              <w:tabs>
                <w:tab w:val="left" w:pos="6300"/>
              </w:tabs>
              <w:snapToGrid w:val="0"/>
              <w:spacing w:line="500" w:lineRule="exact"/>
              <w:jc w:val="center"/>
              <w:rPr>
                <w:rFonts w:hint="eastAsia" w:ascii="仿宋" w:hAnsi="仿宋" w:eastAsia="仿宋" w:cs="仿宋"/>
                <w:color w:val="auto"/>
                <w:sz w:val="21"/>
                <w:szCs w:val="21"/>
              </w:rPr>
            </w:pPr>
            <w:r>
              <w:rPr>
                <w:rFonts w:hint="eastAsia" w:ascii="仿宋" w:hAnsi="仿宋" w:eastAsia="仿宋" w:cs="仿宋"/>
                <w:color w:val="auto"/>
                <w:sz w:val="21"/>
                <w:szCs w:val="21"/>
              </w:rPr>
              <w:t>单位地址</w:t>
            </w:r>
          </w:p>
        </w:tc>
        <w:tc>
          <w:tcPr>
            <w:tcW w:w="7407" w:type="dxa"/>
            <w:gridSpan w:val="3"/>
            <w:noWrap w:val="0"/>
            <w:vAlign w:val="center"/>
          </w:tcPr>
          <w:p w14:paraId="424599BC">
            <w:pPr>
              <w:tabs>
                <w:tab w:val="left" w:pos="6300"/>
              </w:tabs>
              <w:snapToGrid w:val="0"/>
              <w:spacing w:line="500" w:lineRule="exact"/>
              <w:ind w:firstLine="570"/>
              <w:rPr>
                <w:rFonts w:hint="eastAsia" w:ascii="仿宋" w:hAnsi="仿宋" w:eastAsia="仿宋" w:cs="仿宋"/>
                <w:color w:val="auto"/>
                <w:sz w:val="21"/>
                <w:szCs w:val="21"/>
              </w:rPr>
            </w:pPr>
          </w:p>
        </w:tc>
      </w:tr>
    </w:tbl>
    <w:p w14:paraId="6316509A">
      <w:pPr>
        <w:spacing w:line="360" w:lineRule="auto"/>
        <w:jc w:val="center"/>
        <w:rPr>
          <w:rFonts w:hint="eastAsia" w:ascii="仿宋" w:hAnsi="仿宋" w:eastAsia="仿宋" w:cs="仿宋"/>
          <w:color w:val="auto"/>
          <w:sz w:val="28"/>
          <w:szCs w:val="20"/>
          <w:lang w:eastAsia="zh-CN"/>
        </w:rPr>
      </w:pPr>
    </w:p>
    <w:p w14:paraId="5A2076D5">
      <w:pPr>
        <w:spacing w:line="520" w:lineRule="exact"/>
        <w:ind w:firstLine="480"/>
        <w:rPr>
          <w:rFonts w:hint="eastAsia" w:ascii="仿宋" w:hAnsi="仿宋" w:eastAsia="仿宋" w:cs="仿宋"/>
          <w:color w:val="auto"/>
          <w:highlight w:val="none"/>
        </w:rPr>
      </w:pPr>
      <w:r>
        <w:rPr>
          <w:rFonts w:hint="eastAsia" w:ascii="仿宋" w:hAnsi="仿宋" w:eastAsia="仿宋" w:cs="仿宋"/>
          <w:color w:val="auto"/>
          <w:highlight w:val="none"/>
        </w:rPr>
        <w:t>相关说明：</w:t>
      </w:r>
    </w:p>
    <w:p w14:paraId="7A3CF2DE">
      <w:pPr>
        <w:tabs>
          <w:tab w:val="left" w:pos="6300"/>
        </w:tabs>
        <w:snapToGrid w:val="0"/>
        <w:spacing w:line="500" w:lineRule="exact"/>
        <w:ind w:firstLine="570"/>
        <w:outlineLvl w:val="1"/>
        <w:rPr>
          <w:rFonts w:hint="eastAsia" w:ascii="仿宋" w:hAnsi="仿宋" w:eastAsia="仿宋" w:cs="仿宋"/>
          <w:color w:val="auto"/>
          <w:sz w:val="21"/>
          <w:szCs w:val="21"/>
          <w:highlight w:val="none"/>
        </w:rPr>
      </w:pPr>
      <w:bookmarkStart w:id="195" w:name="_Toc6684"/>
      <w:bookmarkStart w:id="196" w:name="_Toc3165"/>
      <w:r>
        <w:rPr>
          <w:rFonts w:hint="eastAsia" w:ascii="仿宋" w:hAnsi="仿宋" w:eastAsia="仿宋" w:cs="仿宋"/>
          <w:color w:val="auto"/>
          <w:sz w:val="21"/>
          <w:szCs w:val="21"/>
          <w:highlight w:val="none"/>
        </w:rPr>
        <w:t>1.现金购买</w:t>
      </w:r>
      <w:bookmarkEnd w:id="195"/>
      <w:bookmarkEnd w:id="196"/>
    </w:p>
    <w:p w14:paraId="419CE6AF">
      <w:pPr>
        <w:tabs>
          <w:tab w:val="left" w:pos="6300"/>
        </w:tabs>
        <w:snapToGrid w:val="0"/>
        <w:spacing w:line="500" w:lineRule="exact"/>
        <w:ind w:firstLine="570"/>
        <w:rPr>
          <w:rFonts w:hint="eastAsia" w:ascii="仿宋" w:hAnsi="仿宋" w:eastAsia="仿宋" w:cs="仿宋"/>
          <w:color w:val="auto"/>
          <w:sz w:val="21"/>
          <w:szCs w:val="21"/>
          <w:highlight w:val="none"/>
        </w:rPr>
      </w:pPr>
      <w:r>
        <w:rPr>
          <w:rFonts w:hint="eastAsia" w:ascii="仿宋" w:hAnsi="仿宋" w:eastAsia="仿宋" w:cs="仿宋"/>
          <w:color w:val="auto"/>
          <w:sz w:val="21"/>
          <w:szCs w:val="21"/>
          <w:highlight w:val="none"/>
        </w:rPr>
        <w:t>在</w:t>
      </w:r>
      <w:r>
        <w:rPr>
          <w:rFonts w:hint="eastAsia" w:ascii="仿宋" w:hAnsi="仿宋" w:eastAsia="仿宋" w:cs="仿宋"/>
          <w:color w:val="auto"/>
          <w:sz w:val="21"/>
          <w:szCs w:val="21"/>
          <w:highlight w:val="none"/>
          <w:lang w:eastAsia="zh-CN"/>
        </w:rPr>
        <w:t>文件</w:t>
      </w:r>
      <w:r>
        <w:rPr>
          <w:rFonts w:hint="eastAsia" w:ascii="仿宋" w:hAnsi="仿宋" w:eastAsia="仿宋" w:cs="仿宋"/>
          <w:color w:val="auto"/>
          <w:sz w:val="21"/>
          <w:szCs w:val="21"/>
          <w:highlight w:val="none"/>
        </w:rPr>
        <w:t>发售期内</w:t>
      </w:r>
      <w:r>
        <w:rPr>
          <w:rFonts w:hint="eastAsia" w:ascii="仿宋" w:hAnsi="仿宋" w:eastAsia="仿宋" w:cs="仿宋"/>
          <w:color w:val="auto"/>
          <w:sz w:val="21"/>
          <w:szCs w:val="21"/>
          <w:highlight w:val="none"/>
          <w:lang w:eastAsia="zh-CN"/>
        </w:rPr>
        <w:t>按</w:t>
      </w:r>
      <w:r>
        <w:rPr>
          <w:rFonts w:hint="eastAsia" w:ascii="仿宋" w:hAnsi="仿宋" w:eastAsia="仿宋" w:cs="仿宋"/>
          <w:color w:val="auto"/>
          <w:sz w:val="21"/>
          <w:szCs w:val="21"/>
          <w:highlight w:val="none"/>
          <w:lang w:val="en-US" w:eastAsia="zh-CN"/>
        </w:rPr>
        <w:t>采购文件</w:t>
      </w:r>
      <w:r>
        <w:rPr>
          <w:rFonts w:hint="eastAsia" w:ascii="仿宋" w:hAnsi="仿宋" w:eastAsia="仿宋" w:cs="仿宋"/>
          <w:color w:val="auto"/>
          <w:sz w:val="21"/>
          <w:szCs w:val="21"/>
          <w:highlight w:val="none"/>
          <w:lang w:eastAsia="zh-CN"/>
        </w:rPr>
        <w:t>要求购买</w:t>
      </w:r>
      <w:r>
        <w:rPr>
          <w:rFonts w:hint="eastAsia" w:ascii="仿宋" w:hAnsi="仿宋" w:eastAsia="仿宋" w:cs="仿宋"/>
          <w:color w:val="auto"/>
          <w:sz w:val="21"/>
          <w:szCs w:val="21"/>
          <w:highlight w:val="none"/>
        </w:rPr>
        <w:t>。</w:t>
      </w:r>
    </w:p>
    <w:p w14:paraId="16C77B94">
      <w:pPr>
        <w:spacing w:line="520" w:lineRule="exact"/>
        <w:ind w:firstLine="480"/>
        <w:outlineLvl w:val="9"/>
        <w:rPr>
          <w:rFonts w:hint="eastAsia" w:ascii="宋体" w:hAnsi="宋体" w:eastAsia="宋体" w:cs="宋体"/>
          <w:color w:val="auto"/>
          <w:highlight w:val="none"/>
        </w:rPr>
      </w:pPr>
      <w:r>
        <w:rPr>
          <w:rFonts w:hint="eastAsia" w:ascii="宋体" w:hAnsi="宋体" w:eastAsia="宋体" w:cs="宋体"/>
          <w:color w:val="auto"/>
          <w:highlight w:val="none"/>
        </w:rPr>
        <w:t>相关说明：</w:t>
      </w:r>
    </w:p>
    <w:p w14:paraId="2BCEA56E">
      <w:pPr>
        <w:spacing w:line="520" w:lineRule="exact"/>
        <w:ind w:firstLine="480"/>
        <w:outlineLvl w:val="9"/>
        <w:rPr>
          <w:rFonts w:hint="eastAsia" w:ascii="宋体" w:hAnsi="宋体" w:eastAsia="宋体" w:cs="宋体"/>
          <w:color w:val="auto"/>
          <w:highlight w:val="none"/>
          <w:lang w:eastAsia="zh-CN"/>
        </w:rPr>
      </w:pPr>
      <w:r>
        <w:rPr>
          <w:rFonts w:hint="eastAsia" w:ascii="宋体" w:hAnsi="宋体" w:eastAsia="宋体" w:cs="宋体"/>
          <w:color w:val="auto"/>
          <w:highlight w:val="none"/>
        </w:rPr>
        <w:t>供应商需在规定的报名时间内（工作日：每天上午9：00-12:00时，下午14：00-17：00时）缴纳报名费。供应商在缴纳报名费后，请将《报名登记表》（加盖供应商公章）</w:t>
      </w:r>
      <w:r>
        <w:rPr>
          <w:rFonts w:hint="eastAsia" w:ascii="宋体" w:hAnsi="宋体" w:eastAsia="宋体" w:cs="宋体"/>
          <w:color w:val="auto"/>
          <w:highlight w:val="none"/>
          <w:lang w:eastAsia="zh-CN"/>
        </w:rPr>
        <w:t>传至邮箱</w:t>
      </w:r>
      <w:r>
        <w:rPr>
          <w:rFonts w:hint="eastAsia" w:ascii="宋体" w:hAnsi="宋体" w:eastAsia="宋体" w:cs="宋体"/>
          <w:color w:val="auto"/>
          <w:highlight w:val="none"/>
        </w:rPr>
        <w:t>。</w:t>
      </w:r>
    </w:p>
    <w:p w14:paraId="0CFA38DA">
      <w:pPr>
        <w:spacing w:line="360" w:lineRule="auto"/>
        <w:jc w:val="center"/>
        <w:rPr>
          <w:rFonts w:hint="eastAsia" w:ascii="仿宋" w:hAnsi="仿宋" w:eastAsia="仿宋" w:cs="仿宋"/>
          <w:color w:val="auto"/>
          <w:sz w:val="24"/>
          <w:szCs w:val="18"/>
        </w:rPr>
      </w:pPr>
    </w:p>
    <w:p w14:paraId="601EE1CC">
      <w:pPr>
        <w:pStyle w:val="2"/>
        <w:rPr>
          <w:rFonts w:hint="default"/>
        </w:rPr>
      </w:pPr>
    </w:p>
    <w:p w14:paraId="339E3A5C">
      <w:pPr>
        <w:rPr>
          <w:rFonts w:hint="default"/>
        </w:rPr>
      </w:pPr>
    </w:p>
    <w:p w14:paraId="2BE262F3">
      <w:pPr>
        <w:pStyle w:val="2"/>
        <w:rPr>
          <w:rFonts w:hint="default"/>
        </w:rPr>
      </w:pPr>
    </w:p>
    <w:p w14:paraId="12EDF945">
      <w:pPr>
        <w:rPr>
          <w:rFonts w:hint="default"/>
        </w:rPr>
      </w:pPr>
    </w:p>
    <w:p w14:paraId="5D3054BC">
      <w:pPr>
        <w:pStyle w:val="2"/>
        <w:rPr>
          <w:rFonts w:hint="default"/>
        </w:rPr>
      </w:pPr>
    </w:p>
    <w:p w14:paraId="4902C7A5">
      <w:pPr>
        <w:rPr>
          <w:rFonts w:hint="default"/>
        </w:rPr>
      </w:pPr>
    </w:p>
    <w:p w14:paraId="18BB795B">
      <w:pPr>
        <w:pStyle w:val="2"/>
        <w:rPr>
          <w:rFonts w:hint="default" w:eastAsia="仿宋_GB2312"/>
          <w:lang w:val="en-US" w:eastAsia="zh-CN"/>
        </w:rPr>
      </w:pPr>
      <w:bookmarkStart w:id="197" w:name="_GoBack"/>
      <w:r>
        <w:rPr>
          <w:rFonts w:hint="default" w:eastAsia="仿宋_GB2312"/>
          <w:lang w:val="en-US" w:eastAsia="zh-CN"/>
        </w:rPr>
        <w:drawing>
          <wp:anchor distT="0" distB="0" distL="114300" distR="114300" simplePos="0" relativeHeight="251660288" behindDoc="0" locked="0" layoutInCell="1" allowOverlap="1">
            <wp:simplePos x="0" y="0"/>
            <wp:positionH relativeFrom="column">
              <wp:posOffset>-969645</wp:posOffset>
            </wp:positionH>
            <wp:positionV relativeFrom="paragraph">
              <wp:posOffset>3418840</wp:posOffset>
            </wp:positionV>
            <wp:extent cx="7320280" cy="4474210"/>
            <wp:effectExtent l="0" t="0" r="13970" b="2540"/>
            <wp:wrapSquare wrapText="bothSides"/>
            <wp:docPr id="5" name="图片 5" descr="lQLPKHNq-NTclt3NAeHNAxOwSzQEcK3kzAgJ0vHmlCwAAA_787_4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lQLPKHNq-NTclt3NAeHNAxOwSzQEcK3kzAgJ0vHmlCwAAA_787_481"/>
                    <pic:cNvPicPr>
                      <a:picLocks noChangeAspect="1"/>
                    </pic:cNvPicPr>
                  </pic:nvPicPr>
                  <pic:blipFill>
                    <a:blip r:embed="rId14"/>
                    <a:stretch>
                      <a:fillRect/>
                    </a:stretch>
                  </pic:blipFill>
                  <pic:spPr>
                    <a:xfrm>
                      <a:off x="0" y="0"/>
                      <a:ext cx="7320280" cy="4474210"/>
                    </a:xfrm>
                    <a:prstGeom prst="rect">
                      <a:avLst/>
                    </a:prstGeom>
                  </pic:spPr>
                </pic:pic>
              </a:graphicData>
            </a:graphic>
          </wp:anchor>
        </w:drawing>
      </w:r>
      <w:r>
        <w:rPr>
          <w:rFonts w:hint="default" w:eastAsia="仿宋_GB2312"/>
          <w:lang w:val="en-US" w:eastAsia="zh-CN"/>
        </w:rPr>
        <w:drawing>
          <wp:anchor distT="0" distB="0" distL="114300" distR="114300" simplePos="0" relativeHeight="251659264" behindDoc="0" locked="0" layoutInCell="1" allowOverlap="1">
            <wp:simplePos x="0" y="0"/>
            <wp:positionH relativeFrom="column">
              <wp:posOffset>-508000</wp:posOffset>
            </wp:positionH>
            <wp:positionV relativeFrom="paragraph">
              <wp:posOffset>501650</wp:posOffset>
            </wp:positionV>
            <wp:extent cx="6489700" cy="3489960"/>
            <wp:effectExtent l="0" t="0" r="6350" b="15240"/>
            <wp:wrapSquare wrapText="bothSides"/>
            <wp:docPr id="4" name="图片 4" descr="lQLPJx4_SUpvpt3NAYHNAsywIXpDyGN4nGQJ0vHmkpmzAA_716_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lQLPJx4_SUpvpt3NAYHNAsywIXpDyGN4nGQJ0vHmkpmzAA_716_385"/>
                    <pic:cNvPicPr>
                      <a:picLocks noChangeAspect="1"/>
                    </pic:cNvPicPr>
                  </pic:nvPicPr>
                  <pic:blipFill>
                    <a:blip r:embed="rId15"/>
                    <a:stretch>
                      <a:fillRect/>
                    </a:stretch>
                  </pic:blipFill>
                  <pic:spPr>
                    <a:xfrm>
                      <a:off x="0" y="0"/>
                      <a:ext cx="6489700" cy="3489960"/>
                    </a:xfrm>
                    <a:prstGeom prst="rect">
                      <a:avLst/>
                    </a:prstGeom>
                  </pic:spPr>
                </pic:pic>
              </a:graphicData>
            </a:graphic>
          </wp:anchor>
        </w:drawing>
      </w:r>
      <w:r>
        <w:rPr>
          <w:rFonts w:hint="eastAsia"/>
          <w:lang w:val="en-US" w:eastAsia="zh-CN"/>
        </w:rPr>
        <w:t>附件2：</w:t>
      </w:r>
    </w:p>
    <w:bookmarkEnd w:id="197"/>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swiss"/>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仿宋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A8D391">
    <w:pPr>
      <w:pStyle w:val="10"/>
      <w:framePr w:wrap="around" w:vAnchor="text" w:hAnchor="margin" w:xAlign="center" w:y="1"/>
      <w:rPr>
        <w:rStyle w:val="18"/>
      </w:rPr>
    </w:pPr>
    <w:r>
      <w:fldChar w:fldCharType="begin"/>
    </w:r>
    <w:r>
      <w:rPr>
        <w:rStyle w:val="18"/>
      </w:rPr>
      <w:instrText xml:space="preserve">PAGE  </w:instrText>
    </w:r>
    <w:r>
      <w:fldChar w:fldCharType="separate"/>
    </w:r>
    <w:r>
      <w:fldChar w:fldCharType="end"/>
    </w:r>
  </w:p>
  <w:p w14:paraId="283F29AB">
    <w:pPr>
      <w:pStyle w:val="1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C90AF6">
    <w:pPr>
      <w:pStyle w:val="10"/>
      <w:framePr w:wrap="around" w:vAnchor="text" w:hAnchor="margin" w:xAlign="center" w:y="1"/>
      <w:rPr>
        <w:rStyle w:val="18"/>
      </w:rPr>
    </w:pPr>
  </w:p>
  <w:p w14:paraId="728628CE">
    <w:pPr>
      <w:pStyle w:val="10"/>
      <w:jc w:val="center"/>
      <w:rPr>
        <w:rFonts w:hint="eastAsia" w:ascii="宋体" w:hAnsi="宋体"/>
        <w:sz w:val="2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5B3F62B">
    <w:pPr>
      <w:pStyle w:val="1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3537B0">
    <w:pPr>
      <w:pStyle w:val="10"/>
      <w:jc w:val="center"/>
      <w:rPr>
        <w:rFonts w:hint="eastAsia" w:ascii="宋体" w:hAnsi="宋体"/>
        <w:sz w:val="21"/>
        <w:szCs w:val="21"/>
      </w:rPr>
    </w:pPr>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3A6E11D">
                          <w:pPr>
                            <w:pStyle w:val="10"/>
                            <w:jc w:val="center"/>
                          </w:pPr>
                          <w:r>
                            <w:rPr>
                              <w:rFonts w:ascii="宋体" w:hAnsi="宋体"/>
                              <w:sz w:val="21"/>
                              <w:szCs w:val="21"/>
                            </w:rPr>
                            <w:fldChar w:fldCharType="begin"/>
                          </w:r>
                          <w:r>
                            <w:rPr>
                              <w:rStyle w:val="18"/>
                              <w:rFonts w:ascii="宋体" w:hAnsi="宋体"/>
                              <w:sz w:val="21"/>
                              <w:szCs w:val="21"/>
                            </w:rPr>
                            <w:instrText xml:space="preserve"> PAGE </w:instrText>
                          </w:r>
                          <w:r>
                            <w:rPr>
                              <w:rFonts w:ascii="宋体" w:hAnsi="宋体"/>
                              <w:sz w:val="21"/>
                              <w:szCs w:val="21"/>
                            </w:rPr>
                            <w:fldChar w:fldCharType="separate"/>
                          </w:r>
                          <w:r>
                            <w:rPr>
                              <w:rStyle w:val="18"/>
                              <w:rFonts w:ascii="宋体" w:hAnsi="宋体"/>
                              <w:sz w:val="21"/>
                              <w:szCs w:val="21"/>
                            </w:rPr>
                            <w:t>- 4 -</w:t>
                          </w:r>
                          <w:r>
                            <w:rPr>
                              <w:rFonts w:ascii="宋体" w:hAnsi="宋体"/>
                              <w:sz w:val="21"/>
                              <w:szCs w:val="21"/>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G+QoMkBAACZAwAADgAAAGRycy9lMm9Eb2MueG1srVPNjtMwEL4j8Q6W&#10;79TZroS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uHEPW+K0uU60G4PSRsovSWK4ywU2GcWGE3bVdeicf3kvXw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Eb5CgyQEAAJkDAAAOAAAAAAAAAAEAIAAAAB4BAABkcnMvZTJvRG9j&#10;LnhtbFBLBQYAAAAABgAGAFkBAABZBQAAAAA=&#10;">
              <v:fill on="f" focussize="0,0"/>
              <v:stroke on="f"/>
              <v:imagedata o:title=""/>
              <o:lock v:ext="edit" aspectratio="f"/>
              <v:textbox inset="0mm,0mm,0mm,0mm" style="mso-fit-shape-to-text:t;">
                <w:txbxContent>
                  <w:p w14:paraId="63A6E11D">
                    <w:pPr>
                      <w:pStyle w:val="10"/>
                      <w:jc w:val="center"/>
                    </w:pPr>
                    <w:r>
                      <w:rPr>
                        <w:rFonts w:ascii="宋体" w:hAnsi="宋体"/>
                        <w:sz w:val="21"/>
                        <w:szCs w:val="21"/>
                      </w:rPr>
                      <w:fldChar w:fldCharType="begin"/>
                    </w:r>
                    <w:r>
                      <w:rPr>
                        <w:rStyle w:val="18"/>
                        <w:rFonts w:ascii="宋体" w:hAnsi="宋体"/>
                        <w:sz w:val="21"/>
                        <w:szCs w:val="21"/>
                      </w:rPr>
                      <w:instrText xml:space="preserve"> PAGE </w:instrText>
                    </w:r>
                    <w:r>
                      <w:rPr>
                        <w:rFonts w:ascii="宋体" w:hAnsi="宋体"/>
                        <w:sz w:val="21"/>
                        <w:szCs w:val="21"/>
                      </w:rPr>
                      <w:fldChar w:fldCharType="separate"/>
                    </w:r>
                    <w:r>
                      <w:rPr>
                        <w:rStyle w:val="18"/>
                        <w:rFonts w:ascii="宋体" w:hAnsi="宋体"/>
                        <w:sz w:val="21"/>
                        <w:szCs w:val="21"/>
                      </w:rPr>
                      <w:t>- 4 -</w:t>
                    </w:r>
                    <w:r>
                      <w:rPr>
                        <w:rFonts w:ascii="宋体" w:hAnsi="宋体"/>
                        <w:sz w:val="21"/>
                        <w:szCs w:val="21"/>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473104">
    <w:pPr>
      <w:pStyle w:val="10"/>
      <w:jc w:val="center"/>
      <w:rPr>
        <w:rFonts w:hint="eastAsia" w:ascii="宋体" w:hAnsi="宋体"/>
        <w:sz w:val="21"/>
        <w:szCs w:val="21"/>
      </w:rPr>
    </w:pPr>
    <w:r>
      <w:rPr>
        <w:sz w:val="21"/>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67C8689">
                          <w:pPr>
                            <w:pStyle w:val="10"/>
                            <w:jc w:val="center"/>
                          </w:pPr>
                          <w:r>
                            <w:rPr>
                              <w:rFonts w:ascii="宋体" w:hAnsi="宋体"/>
                              <w:sz w:val="21"/>
                              <w:szCs w:val="21"/>
                            </w:rPr>
                            <w:fldChar w:fldCharType="begin"/>
                          </w:r>
                          <w:r>
                            <w:rPr>
                              <w:rStyle w:val="18"/>
                              <w:rFonts w:ascii="宋体" w:hAnsi="宋体"/>
                              <w:sz w:val="21"/>
                              <w:szCs w:val="21"/>
                            </w:rPr>
                            <w:instrText xml:space="preserve"> PAGE </w:instrText>
                          </w:r>
                          <w:r>
                            <w:rPr>
                              <w:rFonts w:ascii="宋体" w:hAnsi="宋体"/>
                              <w:sz w:val="21"/>
                              <w:szCs w:val="21"/>
                            </w:rPr>
                            <w:fldChar w:fldCharType="separate"/>
                          </w:r>
                          <w:r>
                            <w:rPr>
                              <w:rStyle w:val="18"/>
                              <w:rFonts w:ascii="宋体" w:hAnsi="宋体"/>
                              <w:sz w:val="21"/>
                              <w:szCs w:val="21"/>
                            </w:rPr>
                            <w:t>- 40 -</w:t>
                          </w:r>
                          <w:r>
                            <w:rPr>
                              <w:rFonts w:ascii="宋体" w:hAnsi="宋体"/>
                              <w:sz w:val="21"/>
                              <w:szCs w:val="21"/>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fill on="f" focussize="0,0"/>
              <v:stroke on="f"/>
              <v:imagedata o:title=""/>
              <o:lock v:ext="edit" aspectratio="f"/>
              <v:textbox inset="0mm,0mm,0mm,0mm" style="mso-fit-shape-to-text:t;">
                <w:txbxContent>
                  <w:p w14:paraId="267C8689">
                    <w:pPr>
                      <w:pStyle w:val="10"/>
                      <w:jc w:val="center"/>
                    </w:pPr>
                    <w:r>
                      <w:rPr>
                        <w:rFonts w:ascii="宋体" w:hAnsi="宋体"/>
                        <w:sz w:val="21"/>
                        <w:szCs w:val="21"/>
                      </w:rPr>
                      <w:fldChar w:fldCharType="begin"/>
                    </w:r>
                    <w:r>
                      <w:rPr>
                        <w:rStyle w:val="18"/>
                        <w:rFonts w:ascii="宋体" w:hAnsi="宋体"/>
                        <w:sz w:val="21"/>
                        <w:szCs w:val="21"/>
                      </w:rPr>
                      <w:instrText xml:space="preserve"> PAGE </w:instrText>
                    </w:r>
                    <w:r>
                      <w:rPr>
                        <w:rFonts w:ascii="宋体" w:hAnsi="宋体"/>
                        <w:sz w:val="21"/>
                        <w:szCs w:val="21"/>
                      </w:rPr>
                      <w:fldChar w:fldCharType="separate"/>
                    </w:r>
                    <w:r>
                      <w:rPr>
                        <w:rStyle w:val="18"/>
                        <w:rFonts w:ascii="宋体" w:hAnsi="宋体"/>
                        <w:sz w:val="21"/>
                        <w:szCs w:val="21"/>
                      </w:rPr>
                      <w:t>- 40 -</w:t>
                    </w:r>
                    <w:r>
                      <w:rPr>
                        <w:rFonts w:ascii="宋体" w:hAnsi="宋体"/>
                        <w:sz w:val="21"/>
                        <w:szCs w:val="21"/>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5601FD">
    <w:pPr>
      <w:pStyle w:val="10"/>
      <w:framePr w:wrap="around" w:vAnchor="text" w:hAnchor="margin" w:xAlign="center" w:y="1"/>
      <w:rPr>
        <w:rStyle w:val="18"/>
      </w:rPr>
    </w:pPr>
    <w:r>
      <w:fldChar w:fldCharType="begin"/>
    </w:r>
    <w:r>
      <w:rPr>
        <w:rStyle w:val="18"/>
      </w:rPr>
      <w:instrText xml:space="preserve">PAGE  </w:instrText>
    </w:r>
    <w:r>
      <w:fldChar w:fldCharType="separate"/>
    </w:r>
    <w:r>
      <w:fldChar w:fldCharType="end"/>
    </w:r>
  </w:p>
  <w:p w14:paraId="1DF4EBFD">
    <w:pPr>
      <w:pStyle w:val="10"/>
      <w:ind w:right="36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09A6EA">
    <w:pPr>
      <w:pStyle w:val="10"/>
      <w:jc w:val="center"/>
      <w:rPr>
        <w:rFonts w:hint="eastAsia" w:ascii="宋体" w:hAnsi="宋体"/>
        <w:sz w:val="21"/>
        <w:szCs w:val="21"/>
      </w:rPr>
    </w:pPr>
    <w:r>
      <w:rPr>
        <w:sz w:val="21"/>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AAFEE53">
                          <w:pPr>
                            <w:pStyle w:val="10"/>
                            <w:jc w:val="center"/>
                          </w:pPr>
                          <w:r>
                            <w:rPr>
                              <w:rFonts w:ascii="宋体" w:hAnsi="宋体"/>
                              <w:sz w:val="21"/>
                              <w:szCs w:val="21"/>
                            </w:rPr>
                            <w:fldChar w:fldCharType="begin"/>
                          </w:r>
                          <w:r>
                            <w:rPr>
                              <w:rStyle w:val="18"/>
                              <w:rFonts w:ascii="宋体" w:hAnsi="宋体"/>
                              <w:sz w:val="21"/>
                              <w:szCs w:val="21"/>
                            </w:rPr>
                            <w:instrText xml:space="preserve"> PAGE </w:instrText>
                          </w:r>
                          <w:r>
                            <w:rPr>
                              <w:rFonts w:ascii="宋体" w:hAnsi="宋体"/>
                              <w:sz w:val="21"/>
                              <w:szCs w:val="21"/>
                            </w:rPr>
                            <w:fldChar w:fldCharType="separate"/>
                          </w:r>
                          <w:r>
                            <w:rPr>
                              <w:rStyle w:val="18"/>
                              <w:rFonts w:ascii="宋体" w:hAnsi="宋体"/>
                              <w:sz w:val="21"/>
                              <w:szCs w:val="21"/>
                            </w:rPr>
                            <w:t>- 40 -</w:t>
                          </w:r>
                          <w:r>
                            <w:rPr>
                              <w:rFonts w:ascii="宋体" w:hAnsi="宋体"/>
                              <w:sz w:val="21"/>
                              <w:szCs w:val="21"/>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14:paraId="0AAFEE53">
                    <w:pPr>
                      <w:pStyle w:val="10"/>
                      <w:jc w:val="center"/>
                    </w:pPr>
                    <w:r>
                      <w:rPr>
                        <w:rFonts w:ascii="宋体" w:hAnsi="宋体"/>
                        <w:sz w:val="21"/>
                        <w:szCs w:val="21"/>
                      </w:rPr>
                      <w:fldChar w:fldCharType="begin"/>
                    </w:r>
                    <w:r>
                      <w:rPr>
                        <w:rStyle w:val="18"/>
                        <w:rFonts w:ascii="宋体" w:hAnsi="宋体"/>
                        <w:sz w:val="21"/>
                        <w:szCs w:val="21"/>
                      </w:rPr>
                      <w:instrText xml:space="preserve"> PAGE </w:instrText>
                    </w:r>
                    <w:r>
                      <w:rPr>
                        <w:rFonts w:ascii="宋体" w:hAnsi="宋体"/>
                        <w:sz w:val="21"/>
                        <w:szCs w:val="21"/>
                      </w:rPr>
                      <w:fldChar w:fldCharType="separate"/>
                    </w:r>
                    <w:r>
                      <w:rPr>
                        <w:rStyle w:val="18"/>
                        <w:rFonts w:ascii="宋体" w:hAnsi="宋体"/>
                        <w:sz w:val="21"/>
                        <w:szCs w:val="21"/>
                      </w:rPr>
                      <w:t>- 40 -</w:t>
                    </w:r>
                    <w:r>
                      <w:rPr>
                        <w:rFonts w:ascii="宋体" w:hAnsi="宋体"/>
                        <w:sz w:val="21"/>
                        <w:szCs w:val="21"/>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892D1D">
    <w:pPr>
      <w:pStyle w:val="12"/>
      <w:pBdr>
        <w:bottom w:val="single" w:color="auto" w:sz="4" w:space="0"/>
      </w:pBdr>
      <w:tabs>
        <w:tab w:val="left" w:pos="6802"/>
        <w:tab w:val="clear" w:pos="4153"/>
      </w:tabs>
      <w:jc w:val="both"/>
      <w:rPr>
        <w:rFonts w:hint="eastAsia"/>
      </w:rPr>
    </w:pPr>
    <w:r>
      <w:rPr>
        <w:rFonts w:hint="eastAsia" w:ascii="方正仿宋_GBK" w:eastAsia="方正仿宋_GBK"/>
        <w:sz w:val="21"/>
        <w:szCs w:val="21"/>
        <w:lang w:val="en-US" w:eastAsia="zh-CN"/>
      </w:rPr>
      <w:t>重庆修为工程咨询有限公司</w:t>
    </w:r>
    <w:r>
      <w:rPr>
        <w:rFonts w:hint="eastAsia" w:ascii="方正仿宋_GBK" w:eastAsia="方正仿宋_GBK"/>
        <w:sz w:val="21"/>
        <w:szCs w:val="21"/>
        <w:lang w:eastAsia="zh-CN"/>
      </w:rPr>
      <w:tab/>
    </w:r>
    <w:r>
      <w:rPr>
        <w:rFonts w:hint="eastAsia" w:ascii="方正仿宋_GBK" w:eastAsia="方正仿宋_GBK"/>
        <w:sz w:val="21"/>
        <w:szCs w:val="21"/>
        <w:lang w:val="en-US" w:eastAsia="zh-CN"/>
      </w:rPr>
      <w:t xml:space="preserve">                </w:t>
    </w:r>
    <w:r>
      <w:rPr>
        <w:rFonts w:hint="eastAsia" w:ascii="方正仿宋_GBK" w:eastAsia="方正仿宋_GBK"/>
        <w:sz w:val="21"/>
        <w:szCs w:val="21"/>
        <w:lang w:eastAsia="zh-CN"/>
      </w:rPr>
      <w:t>询比文件</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D443D1">
    <w:pPr>
      <w:pStyle w:val="12"/>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B98DEB">
    <w:pPr>
      <w:pStyle w:val="12"/>
      <w:pBdr>
        <w:bottom w:val="none" w:color="auto" w:sz="0" w:space="1"/>
      </w:pBdr>
      <w:jc w:val="both"/>
      <w:rPr>
        <w:rFonts w:hint="eastAsia" w:ascii="方正仿宋_GBK" w:eastAsia="方正仿宋_GBK"/>
        <w:color w:val="FFFFFF"/>
        <w:sz w:val="21"/>
        <w:szCs w:val="21"/>
      </w:rPr>
    </w:pPr>
    <w:r>
      <w:rPr>
        <w:rFonts w:hint="eastAsia" w:ascii="方正仿宋_GBK" w:eastAsia="方正仿宋_GBK"/>
        <w:color w:val="FFFFFF"/>
        <w:sz w:val="21"/>
        <w:szCs w:val="21"/>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81E8065"/>
    <w:multiLevelType w:val="singleLevel"/>
    <w:tmpl w:val="B81E8065"/>
    <w:lvl w:ilvl="0" w:tentative="0">
      <w:start w:val="1"/>
      <w:numFmt w:val="decimal"/>
      <w:suff w:val="nothing"/>
      <w:lvlText w:val="%1．"/>
      <w:lvlJc w:val="left"/>
      <w:pPr>
        <w:ind w:left="0" w:firstLine="400"/>
      </w:pPr>
      <w:rPr>
        <w:rFonts w:hint="default"/>
      </w:rPr>
    </w:lvl>
  </w:abstractNum>
  <w:abstractNum w:abstractNumId="1">
    <w:nsid w:val="B8B5F6F5"/>
    <w:multiLevelType w:val="singleLevel"/>
    <w:tmpl w:val="B8B5F6F5"/>
    <w:lvl w:ilvl="0" w:tentative="0">
      <w:start w:val="4"/>
      <w:numFmt w:val="chineseCounting"/>
      <w:suff w:val="nothing"/>
      <w:lvlText w:val="%1、"/>
      <w:lvlJc w:val="left"/>
      <w:rPr>
        <w:rFonts w:hint="eastAsia"/>
      </w:rPr>
    </w:lvl>
  </w:abstractNum>
  <w:abstractNum w:abstractNumId="2">
    <w:nsid w:val="0686FD9D"/>
    <w:multiLevelType w:val="singleLevel"/>
    <w:tmpl w:val="0686FD9D"/>
    <w:lvl w:ilvl="0" w:tentative="0">
      <w:start w:val="1"/>
      <w:numFmt w:val="decimal"/>
      <w:suff w:val="nothing"/>
      <w:lvlText w:val="%1．"/>
      <w:lvlJc w:val="left"/>
      <w:pPr>
        <w:ind w:left="0" w:firstLine="400"/>
      </w:pPr>
      <w:rPr>
        <w:rFonts w:hint="default"/>
      </w:rPr>
    </w:lvl>
  </w:abstractNum>
  <w:abstractNum w:abstractNumId="3">
    <w:nsid w:val="6B1542A5"/>
    <w:multiLevelType w:val="singleLevel"/>
    <w:tmpl w:val="6B1542A5"/>
    <w:lvl w:ilvl="0" w:tentative="0">
      <w:start w:val="1"/>
      <w:numFmt w:val="decimal"/>
      <w:suff w:val="nothing"/>
      <w:lvlText w:val="%1．"/>
      <w:lvlJc w:val="left"/>
      <w:pPr>
        <w:ind w:left="80" w:firstLine="400"/>
      </w:pPr>
      <w:rPr>
        <w:rFonts w:hint="default"/>
      </w:r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58A37C5"/>
    <w:rsid w:val="00006574"/>
    <w:rsid w:val="00032A14"/>
    <w:rsid w:val="000B17F7"/>
    <w:rsid w:val="001A7562"/>
    <w:rsid w:val="00267E8C"/>
    <w:rsid w:val="002A2169"/>
    <w:rsid w:val="002E2602"/>
    <w:rsid w:val="00385AA5"/>
    <w:rsid w:val="00566860"/>
    <w:rsid w:val="005A7419"/>
    <w:rsid w:val="005C7B5C"/>
    <w:rsid w:val="006445F1"/>
    <w:rsid w:val="006F55B4"/>
    <w:rsid w:val="007B673A"/>
    <w:rsid w:val="007F568B"/>
    <w:rsid w:val="00812627"/>
    <w:rsid w:val="0082547A"/>
    <w:rsid w:val="008430A1"/>
    <w:rsid w:val="008B7C1C"/>
    <w:rsid w:val="00986008"/>
    <w:rsid w:val="00A30A7E"/>
    <w:rsid w:val="00AC671F"/>
    <w:rsid w:val="00AD5A8E"/>
    <w:rsid w:val="00AF119B"/>
    <w:rsid w:val="00B91009"/>
    <w:rsid w:val="00C47FC4"/>
    <w:rsid w:val="00C94A2D"/>
    <w:rsid w:val="00C96B5B"/>
    <w:rsid w:val="00CC2D91"/>
    <w:rsid w:val="00CF1F54"/>
    <w:rsid w:val="00E40FFA"/>
    <w:rsid w:val="00E56141"/>
    <w:rsid w:val="00E74F9B"/>
    <w:rsid w:val="00F362BE"/>
    <w:rsid w:val="00F7639D"/>
    <w:rsid w:val="00F821CE"/>
    <w:rsid w:val="01062348"/>
    <w:rsid w:val="010B44D9"/>
    <w:rsid w:val="010E5676"/>
    <w:rsid w:val="0113440F"/>
    <w:rsid w:val="01145D5E"/>
    <w:rsid w:val="011547AB"/>
    <w:rsid w:val="01187121"/>
    <w:rsid w:val="011F5353"/>
    <w:rsid w:val="01215609"/>
    <w:rsid w:val="01391681"/>
    <w:rsid w:val="013C6E5A"/>
    <w:rsid w:val="013F349A"/>
    <w:rsid w:val="01482F09"/>
    <w:rsid w:val="014B2EE7"/>
    <w:rsid w:val="014C2DCC"/>
    <w:rsid w:val="01532EC2"/>
    <w:rsid w:val="0154183C"/>
    <w:rsid w:val="01573FC3"/>
    <w:rsid w:val="015B0582"/>
    <w:rsid w:val="015E5338"/>
    <w:rsid w:val="01600F2E"/>
    <w:rsid w:val="01654BE5"/>
    <w:rsid w:val="016B7DBB"/>
    <w:rsid w:val="016C36D2"/>
    <w:rsid w:val="01757C70"/>
    <w:rsid w:val="01777BAB"/>
    <w:rsid w:val="01A11471"/>
    <w:rsid w:val="01A8637A"/>
    <w:rsid w:val="01A93246"/>
    <w:rsid w:val="01AC3951"/>
    <w:rsid w:val="01AE7D18"/>
    <w:rsid w:val="01BD2C9D"/>
    <w:rsid w:val="01C05433"/>
    <w:rsid w:val="01C94EB1"/>
    <w:rsid w:val="01D76F84"/>
    <w:rsid w:val="01D85A39"/>
    <w:rsid w:val="01D90BDF"/>
    <w:rsid w:val="01EB3C28"/>
    <w:rsid w:val="01F60974"/>
    <w:rsid w:val="01FA553F"/>
    <w:rsid w:val="0207422B"/>
    <w:rsid w:val="020776A3"/>
    <w:rsid w:val="020E21C6"/>
    <w:rsid w:val="020E65E2"/>
    <w:rsid w:val="02161BCE"/>
    <w:rsid w:val="02187399"/>
    <w:rsid w:val="02420B99"/>
    <w:rsid w:val="024A133E"/>
    <w:rsid w:val="02517C6B"/>
    <w:rsid w:val="02621191"/>
    <w:rsid w:val="0265389B"/>
    <w:rsid w:val="026B19BD"/>
    <w:rsid w:val="026D1F94"/>
    <w:rsid w:val="02792A3D"/>
    <w:rsid w:val="027B6917"/>
    <w:rsid w:val="02881881"/>
    <w:rsid w:val="028E4E61"/>
    <w:rsid w:val="02921F30"/>
    <w:rsid w:val="029339F0"/>
    <w:rsid w:val="02A453A2"/>
    <w:rsid w:val="02A676B5"/>
    <w:rsid w:val="02AC65D8"/>
    <w:rsid w:val="02B14AE6"/>
    <w:rsid w:val="02B80216"/>
    <w:rsid w:val="02BF08A4"/>
    <w:rsid w:val="02C1301D"/>
    <w:rsid w:val="02CD3A70"/>
    <w:rsid w:val="02D74AFB"/>
    <w:rsid w:val="02D82D0D"/>
    <w:rsid w:val="02DE349C"/>
    <w:rsid w:val="02DF5D38"/>
    <w:rsid w:val="02EF3DF7"/>
    <w:rsid w:val="02F600A5"/>
    <w:rsid w:val="02FD00F5"/>
    <w:rsid w:val="03183A40"/>
    <w:rsid w:val="032061EF"/>
    <w:rsid w:val="0322281E"/>
    <w:rsid w:val="03230320"/>
    <w:rsid w:val="032314B7"/>
    <w:rsid w:val="032B468A"/>
    <w:rsid w:val="03326D03"/>
    <w:rsid w:val="0340123B"/>
    <w:rsid w:val="034E5E0D"/>
    <w:rsid w:val="035F2D00"/>
    <w:rsid w:val="0360133E"/>
    <w:rsid w:val="03617F73"/>
    <w:rsid w:val="03632F3C"/>
    <w:rsid w:val="03672624"/>
    <w:rsid w:val="03674807"/>
    <w:rsid w:val="036913B4"/>
    <w:rsid w:val="036A24E3"/>
    <w:rsid w:val="036F06C9"/>
    <w:rsid w:val="037D3F6D"/>
    <w:rsid w:val="03876262"/>
    <w:rsid w:val="0390148B"/>
    <w:rsid w:val="0390218B"/>
    <w:rsid w:val="03A66687"/>
    <w:rsid w:val="03A93D9A"/>
    <w:rsid w:val="03AC2AD2"/>
    <w:rsid w:val="03C96B91"/>
    <w:rsid w:val="03CF6AC6"/>
    <w:rsid w:val="03D160E3"/>
    <w:rsid w:val="03D74001"/>
    <w:rsid w:val="03DC12A3"/>
    <w:rsid w:val="03E12677"/>
    <w:rsid w:val="03E67229"/>
    <w:rsid w:val="03EA4810"/>
    <w:rsid w:val="03EC5C52"/>
    <w:rsid w:val="03F1668F"/>
    <w:rsid w:val="03F3047F"/>
    <w:rsid w:val="03F7640F"/>
    <w:rsid w:val="03F80F2D"/>
    <w:rsid w:val="040345BE"/>
    <w:rsid w:val="04051376"/>
    <w:rsid w:val="040F769E"/>
    <w:rsid w:val="04181B32"/>
    <w:rsid w:val="0425568D"/>
    <w:rsid w:val="042D7AC2"/>
    <w:rsid w:val="0431245E"/>
    <w:rsid w:val="043A5929"/>
    <w:rsid w:val="043B5E75"/>
    <w:rsid w:val="043B6939"/>
    <w:rsid w:val="043E2FBE"/>
    <w:rsid w:val="04434986"/>
    <w:rsid w:val="0450227D"/>
    <w:rsid w:val="045352F4"/>
    <w:rsid w:val="046028A8"/>
    <w:rsid w:val="04606C32"/>
    <w:rsid w:val="046252B5"/>
    <w:rsid w:val="0462532C"/>
    <w:rsid w:val="04664804"/>
    <w:rsid w:val="046D68E9"/>
    <w:rsid w:val="046E4DA0"/>
    <w:rsid w:val="0472193A"/>
    <w:rsid w:val="047A4DF0"/>
    <w:rsid w:val="047F0B09"/>
    <w:rsid w:val="047F1639"/>
    <w:rsid w:val="04832CC7"/>
    <w:rsid w:val="048D0DAE"/>
    <w:rsid w:val="04A0640B"/>
    <w:rsid w:val="04A31320"/>
    <w:rsid w:val="04A90BEE"/>
    <w:rsid w:val="04AA4AED"/>
    <w:rsid w:val="04B76A28"/>
    <w:rsid w:val="04C1250F"/>
    <w:rsid w:val="04C3053F"/>
    <w:rsid w:val="04C465FD"/>
    <w:rsid w:val="04C75BFF"/>
    <w:rsid w:val="04CB0ED7"/>
    <w:rsid w:val="04D34034"/>
    <w:rsid w:val="04D92C60"/>
    <w:rsid w:val="04E433AB"/>
    <w:rsid w:val="04E936B5"/>
    <w:rsid w:val="04EA67FB"/>
    <w:rsid w:val="04EB6F42"/>
    <w:rsid w:val="04F05B66"/>
    <w:rsid w:val="04F07A81"/>
    <w:rsid w:val="04F80FC8"/>
    <w:rsid w:val="04FA0212"/>
    <w:rsid w:val="04FE4025"/>
    <w:rsid w:val="05041230"/>
    <w:rsid w:val="05042CB8"/>
    <w:rsid w:val="050D2643"/>
    <w:rsid w:val="05195CF1"/>
    <w:rsid w:val="051D3CB0"/>
    <w:rsid w:val="052455EF"/>
    <w:rsid w:val="05262F34"/>
    <w:rsid w:val="05312C14"/>
    <w:rsid w:val="05390D84"/>
    <w:rsid w:val="053B5667"/>
    <w:rsid w:val="053C3E72"/>
    <w:rsid w:val="053D2F30"/>
    <w:rsid w:val="053D3CF8"/>
    <w:rsid w:val="05417426"/>
    <w:rsid w:val="05527E74"/>
    <w:rsid w:val="055B5FCB"/>
    <w:rsid w:val="056236AB"/>
    <w:rsid w:val="05657CD4"/>
    <w:rsid w:val="056A1834"/>
    <w:rsid w:val="056B6F2C"/>
    <w:rsid w:val="05704DD8"/>
    <w:rsid w:val="05711613"/>
    <w:rsid w:val="05747820"/>
    <w:rsid w:val="05761BE7"/>
    <w:rsid w:val="05762B73"/>
    <w:rsid w:val="057E082F"/>
    <w:rsid w:val="057E1562"/>
    <w:rsid w:val="0580627D"/>
    <w:rsid w:val="05832453"/>
    <w:rsid w:val="05853A5D"/>
    <w:rsid w:val="058A6447"/>
    <w:rsid w:val="059A2061"/>
    <w:rsid w:val="059A504E"/>
    <w:rsid w:val="05A45E30"/>
    <w:rsid w:val="05A953E9"/>
    <w:rsid w:val="05A97AD9"/>
    <w:rsid w:val="05AC56C9"/>
    <w:rsid w:val="05B23107"/>
    <w:rsid w:val="05B73790"/>
    <w:rsid w:val="05BD4653"/>
    <w:rsid w:val="05C43B75"/>
    <w:rsid w:val="05CE03B0"/>
    <w:rsid w:val="05D726F8"/>
    <w:rsid w:val="05E13F10"/>
    <w:rsid w:val="05E3350B"/>
    <w:rsid w:val="05E824A4"/>
    <w:rsid w:val="05F02086"/>
    <w:rsid w:val="05F46BE0"/>
    <w:rsid w:val="060C7486"/>
    <w:rsid w:val="060E66DB"/>
    <w:rsid w:val="060F49E9"/>
    <w:rsid w:val="06225546"/>
    <w:rsid w:val="06357A7C"/>
    <w:rsid w:val="06381103"/>
    <w:rsid w:val="064318A0"/>
    <w:rsid w:val="0645710E"/>
    <w:rsid w:val="06461BB8"/>
    <w:rsid w:val="06474D78"/>
    <w:rsid w:val="06577EB7"/>
    <w:rsid w:val="067114A6"/>
    <w:rsid w:val="06741073"/>
    <w:rsid w:val="0676436E"/>
    <w:rsid w:val="067B64FD"/>
    <w:rsid w:val="06821A10"/>
    <w:rsid w:val="068939F5"/>
    <w:rsid w:val="06917A3D"/>
    <w:rsid w:val="069301AD"/>
    <w:rsid w:val="06A0447A"/>
    <w:rsid w:val="06A534A0"/>
    <w:rsid w:val="06A878CD"/>
    <w:rsid w:val="06B2254E"/>
    <w:rsid w:val="06B66398"/>
    <w:rsid w:val="06BC38B2"/>
    <w:rsid w:val="06C078AE"/>
    <w:rsid w:val="06C30E0F"/>
    <w:rsid w:val="06C46A3C"/>
    <w:rsid w:val="06C72620"/>
    <w:rsid w:val="06D10D8B"/>
    <w:rsid w:val="06E000B7"/>
    <w:rsid w:val="06E0135B"/>
    <w:rsid w:val="06E14539"/>
    <w:rsid w:val="06EF481A"/>
    <w:rsid w:val="06F11468"/>
    <w:rsid w:val="07270207"/>
    <w:rsid w:val="07275ACF"/>
    <w:rsid w:val="0731537F"/>
    <w:rsid w:val="07351DED"/>
    <w:rsid w:val="0736356E"/>
    <w:rsid w:val="07384EA3"/>
    <w:rsid w:val="073D44C9"/>
    <w:rsid w:val="07405938"/>
    <w:rsid w:val="07442242"/>
    <w:rsid w:val="07480A26"/>
    <w:rsid w:val="074A22BD"/>
    <w:rsid w:val="074B16CA"/>
    <w:rsid w:val="074F0165"/>
    <w:rsid w:val="0756709B"/>
    <w:rsid w:val="07642524"/>
    <w:rsid w:val="076A658C"/>
    <w:rsid w:val="07742B61"/>
    <w:rsid w:val="0775590C"/>
    <w:rsid w:val="07771468"/>
    <w:rsid w:val="07836467"/>
    <w:rsid w:val="0788183C"/>
    <w:rsid w:val="07884F32"/>
    <w:rsid w:val="078B5E0E"/>
    <w:rsid w:val="0793476C"/>
    <w:rsid w:val="0793790F"/>
    <w:rsid w:val="0795132A"/>
    <w:rsid w:val="079671F0"/>
    <w:rsid w:val="07A635F4"/>
    <w:rsid w:val="07A95D9A"/>
    <w:rsid w:val="07B6339D"/>
    <w:rsid w:val="07B73F86"/>
    <w:rsid w:val="07B8312D"/>
    <w:rsid w:val="07B90B07"/>
    <w:rsid w:val="07C475B6"/>
    <w:rsid w:val="07CE4919"/>
    <w:rsid w:val="07D05D20"/>
    <w:rsid w:val="07D9678D"/>
    <w:rsid w:val="07D96A5F"/>
    <w:rsid w:val="07E73D48"/>
    <w:rsid w:val="07F55170"/>
    <w:rsid w:val="07F84EBA"/>
    <w:rsid w:val="07FA4CBB"/>
    <w:rsid w:val="08034A8E"/>
    <w:rsid w:val="08035DA8"/>
    <w:rsid w:val="08072654"/>
    <w:rsid w:val="081B4B84"/>
    <w:rsid w:val="08267F81"/>
    <w:rsid w:val="082B5817"/>
    <w:rsid w:val="08312B60"/>
    <w:rsid w:val="08354D78"/>
    <w:rsid w:val="083C6CDE"/>
    <w:rsid w:val="0848584A"/>
    <w:rsid w:val="084C38DE"/>
    <w:rsid w:val="085C5D71"/>
    <w:rsid w:val="086527CA"/>
    <w:rsid w:val="086756EE"/>
    <w:rsid w:val="087201C0"/>
    <w:rsid w:val="088321AB"/>
    <w:rsid w:val="08884AD4"/>
    <w:rsid w:val="08937714"/>
    <w:rsid w:val="0895627C"/>
    <w:rsid w:val="08A0229A"/>
    <w:rsid w:val="08A204AB"/>
    <w:rsid w:val="08A368BF"/>
    <w:rsid w:val="08AB3DF4"/>
    <w:rsid w:val="08AB7694"/>
    <w:rsid w:val="08AC5272"/>
    <w:rsid w:val="08AE53B4"/>
    <w:rsid w:val="08BA0BD7"/>
    <w:rsid w:val="08BD42AA"/>
    <w:rsid w:val="08BF7B9B"/>
    <w:rsid w:val="08C26A4B"/>
    <w:rsid w:val="08C3383F"/>
    <w:rsid w:val="08C73C71"/>
    <w:rsid w:val="08CB5C73"/>
    <w:rsid w:val="08D00ACC"/>
    <w:rsid w:val="08D234DB"/>
    <w:rsid w:val="08D67F0E"/>
    <w:rsid w:val="08DC0F24"/>
    <w:rsid w:val="08E1265A"/>
    <w:rsid w:val="08EB14D8"/>
    <w:rsid w:val="08F521B9"/>
    <w:rsid w:val="09082AB2"/>
    <w:rsid w:val="090B2CC0"/>
    <w:rsid w:val="0913639D"/>
    <w:rsid w:val="091F2FA4"/>
    <w:rsid w:val="09241E71"/>
    <w:rsid w:val="09304DD5"/>
    <w:rsid w:val="0935152C"/>
    <w:rsid w:val="093777BE"/>
    <w:rsid w:val="093D5E51"/>
    <w:rsid w:val="09445D49"/>
    <w:rsid w:val="095B09F3"/>
    <w:rsid w:val="09640B9E"/>
    <w:rsid w:val="097349AB"/>
    <w:rsid w:val="09787F67"/>
    <w:rsid w:val="098842F7"/>
    <w:rsid w:val="098918B9"/>
    <w:rsid w:val="098C7E5B"/>
    <w:rsid w:val="09962BB1"/>
    <w:rsid w:val="09993D8D"/>
    <w:rsid w:val="09A843BF"/>
    <w:rsid w:val="09AB753D"/>
    <w:rsid w:val="09BF499B"/>
    <w:rsid w:val="09C56974"/>
    <w:rsid w:val="09C66643"/>
    <w:rsid w:val="09CC6F7F"/>
    <w:rsid w:val="09CE4B38"/>
    <w:rsid w:val="09CF19C3"/>
    <w:rsid w:val="09E52B26"/>
    <w:rsid w:val="09E86C3F"/>
    <w:rsid w:val="09F733CD"/>
    <w:rsid w:val="09FA0314"/>
    <w:rsid w:val="0A0103A0"/>
    <w:rsid w:val="0A014F35"/>
    <w:rsid w:val="0A077740"/>
    <w:rsid w:val="0A0A1264"/>
    <w:rsid w:val="0A0A6B8C"/>
    <w:rsid w:val="0A0B72FE"/>
    <w:rsid w:val="0A1A2253"/>
    <w:rsid w:val="0A1A33E2"/>
    <w:rsid w:val="0A1A7DDE"/>
    <w:rsid w:val="0A1B1CA4"/>
    <w:rsid w:val="0A1C0752"/>
    <w:rsid w:val="0A2F06A9"/>
    <w:rsid w:val="0A304C6E"/>
    <w:rsid w:val="0A360794"/>
    <w:rsid w:val="0A366C66"/>
    <w:rsid w:val="0A394C4D"/>
    <w:rsid w:val="0A3C4D5A"/>
    <w:rsid w:val="0A3F1445"/>
    <w:rsid w:val="0A4D6C0C"/>
    <w:rsid w:val="0A5218B4"/>
    <w:rsid w:val="0A562484"/>
    <w:rsid w:val="0A67519E"/>
    <w:rsid w:val="0A69569F"/>
    <w:rsid w:val="0A6B3EB1"/>
    <w:rsid w:val="0A7F5345"/>
    <w:rsid w:val="0A84371E"/>
    <w:rsid w:val="0A852FF3"/>
    <w:rsid w:val="0A8C3AA2"/>
    <w:rsid w:val="0A8C7DB3"/>
    <w:rsid w:val="0A8E66B5"/>
    <w:rsid w:val="0A8F6D6D"/>
    <w:rsid w:val="0A9844A5"/>
    <w:rsid w:val="0A9846F2"/>
    <w:rsid w:val="0A995B48"/>
    <w:rsid w:val="0ABA44E8"/>
    <w:rsid w:val="0ABA7CA1"/>
    <w:rsid w:val="0ABF7A4D"/>
    <w:rsid w:val="0AC02385"/>
    <w:rsid w:val="0AC754FE"/>
    <w:rsid w:val="0AC878D4"/>
    <w:rsid w:val="0AD66994"/>
    <w:rsid w:val="0ADA62E4"/>
    <w:rsid w:val="0ADD4C1F"/>
    <w:rsid w:val="0AF20819"/>
    <w:rsid w:val="0B0A7C6A"/>
    <w:rsid w:val="0B0C542C"/>
    <w:rsid w:val="0B23167F"/>
    <w:rsid w:val="0B2C234D"/>
    <w:rsid w:val="0B2E1954"/>
    <w:rsid w:val="0B2E6C8D"/>
    <w:rsid w:val="0B342903"/>
    <w:rsid w:val="0B385520"/>
    <w:rsid w:val="0B4D26D5"/>
    <w:rsid w:val="0B5429C3"/>
    <w:rsid w:val="0B55319B"/>
    <w:rsid w:val="0B5A6F13"/>
    <w:rsid w:val="0B5B6BF7"/>
    <w:rsid w:val="0B5E55C2"/>
    <w:rsid w:val="0B6508DD"/>
    <w:rsid w:val="0B6B57C1"/>
    <w:rsid w:val="0B7038F5"/>
    <w:rsid w:val="0B807716"/>
    <w:rsid w:val="0B882A1C"/>
    <w:rsid w:val="0B8968D6"/>
    <w:rsid w:val="0B900F2D"/>
    <w:rsid w:val="0B9A6772"/>
    <w:rsid w:val="0B9E4F02"/>
    <w:rsid w:val="0BB639FC"/>
    <w:rsid w:val="0BC33D3F"/>
    <w:rsid w:val="0BC5002C"/>
    <w:rsid w:val="0BC55D2E"/>
    <w:rsid w:val="0BCC3586"/>
    <w:rsid w:val="0BD16F41"/>
    <w:rsid w:val="0BDA6FC5"/>
    <w:rsid w:val="0BEB23E9"/>
    <w:rsid w:val="0BF028EF"/>
    <w:rsid w:val="0BFB3D56"/>
    <w:rsid w:val="0BFB51FA"/>
    <w:rsid w:val="0C0221B0"/>
    <w:rsid w:val="0C136300"/>
    <w:rsid w:val="0C1D5F22"/>
    <w:rsid w:val="0C376B9D"/>
    <w:rsid w:val="0C411665"/>
    <w:rsid w:val="0C5724C2"/>
    <w:rsid w:val="0C5A130E"/>
    <w:rsid w:val="0C5C4CF8"/>
    <w:rsid w:val="0C5E2B48"/>
    <w:rsid w:val="0C6271FD"/>
    <w:rsid w:val="0C67691E"/>
    <w:rsid w:val="0C6A3700"/>
    <w:rsid w:val="0C732A68"/>
    <w:rsid w:val="0C7C6E56"/>
    <w:rsid w:val="0C7F75C0"/>
    <w:rsid w:val="0C81228B"/>
    <w:rsid w:val="0C82391C"/>
    <w:rsid w:val="0C84704C"/>
    <w:rsid w:val="0C847473"/>
    <w:rsid w:val="0C85340A"/>
    <w:rsid w:val="0C8C3B77"/>
    <w:rsid w:val="0C8E5432"/>
    <w:rsid w:val="0C95795F"/>
    <w:rsid w:val="0C982C51"/>
    <w:rsid w:val="0C9A7712"/>
    <w:rsid w:val="0C9B463B"/>
    <w:rsid w:val="0CA008B8"/>
    <w:rsid w:val="0CA01137"/>
    <w:rsid w:val="0CA93D98"/>
    <w:rsid w:val="0CAF044F"/>
    <w:rsid w:val="0CB502BA"/>
    <w:rsid w:val="0CB87A8C"/>
    <w:rsid w:val="0CC14287"/>
    <w:rsid w:val="0CC43CC6"/>
    <w:rsid w:val="0CC5029D"/>
    <w:rsid w:val="0CD535FE"/>
    <w:rsid w:val="0CD908EB"/>
    <w:rsid w:val="0CE45454"/>
    <w:rsid w:val="0CE71CF1"/>
    <w:rsid w:val="0CE73BA1"/>
    <w:rsid w:val="0CE90B7D"/>
    <w:rsid w:val="0CE91C12"/>
    <w:rsid w:val="0CF00141"/>
    <w:rsid w:val="0D072C40"/>
    <w:rsid w:val="0D086DB1"/>
    <w:rsid w:val="0D1409AA"/>
    <w:rsid w:val="0D145E31"/>
    <w:rsid w:val="0D267CC1"/>
    <w:rsid w:val="0D3C0ACB"/>
    <w:rsid w:val="0D44024B"/>
    <w:rsid w:val="0D451CF2"/>
    <w:rsid w:val="0D452452"/>
    <w:rsid w:val="0D484F68"/>
    <w:rsid w:val="0D497643"/>
    <w:rsid w:val="0D4D65F8"/>
    <w:rsid w:val="0D4E728F"/>
    <w:rsid w:val="0D5020E8"/>
    <w:rsid w:val="0D5F10A9"/>
    <w:rsid w:val="0D613D18"/>
    <w:rsid w:val="0D723183"/>
    <w:rsid w:val="0D731E92"/>
    <w:rsid w:val="0D74571C"/>
    <w:rsid w:val="0D7F4AC8"/>
    <w:rsid w:val="0D8E0E3B"/>
    <w:rsid w:val="0D927A7C"/>
    <w:rsid w:val="0D947543"/>
    <w:rsid w:val="0D9B3844"/>
    <w:rsid w:val="0D9D5DCC"/>
    <w:rsid w:val="0DA26DBE"/>
    <w:rsid w:val="0DA34B9E"/>
    <w:rsid w:val="0DA45ACF"/>
    <w:rsid w:val="0DA62C36"/>
    <w:rsid w:val="0DB5152A"/>
    <w:rsid w:val="0DBC28A0"/>
    <w:rsid w:val="0DBE4675"/>
    <w:rsid w:val="0DC061AE"/>
    <w:rsid w:val="0DCF0F43"/>
    <w:rsid w:val="0DD2118D"/>
    <w:rsid w:val="0DD433BA"/>
    <w:rsid w:val="0DD57918"/>
    <w:rsid w:val="0DD758EB"/>
    <w:rsid w:val="0DE767D9"/>
    <w:rsid w:val="0DEC40E2"/>
    <w:rsid w:val="0DF60CE2"/>
    <w:rsid w:val="0DF61776"/>
    <w:rsid w:val="0DFF5BF1"/>
    <w:rsid w:val="0E054689"/>
    <w:rsid w:val="0E066532"/>
    <w:rsid w:val="0E15253A"/>
    <w:rsid w:val="0E1E052D"/>
    <w:rsid w:val="0E2218DF"/>
    <w:rsid w:val="0E272FBA"/>
    <w:rsid w:val="0E2B2714"/>
    <w:rsid w:val="0E2D7488"/>
    <w:rsid w:val="0E374E31"/>
    <w:rsid w:val="0E3E2134"/>
    <w:rsid w:val="0E4A5F3D"/>
    <w:rsid w:val="0E542BE6"/>
    <w:rsid w:val="0E5F4D9B"/>
    <w:rsid w:val="0E657F2F"/>
    <w:rsid w:val="0E6F0423"/>
    <w:rsid w:val="0E736FFC"/>
    <w:rsid w:val="0E7B5815"/>
    <w:rsid w:val="0E7E3D57"/>
    <w:rsid w:val="0E87253C"/>
    <w:rsid w:val="0E93154A"/>
    <w:rsid w:val="0E981B86"/>
    <w:rsid w:val="0EB15B7E"/>
    <w:rsid w:val="0EB35B52"/>
    <w:rsid w:val="0EB61F84"/>
    <w:rsid w:val="0EC64664"/>
    <w:rsid w:val="0ECB0807"/>
    <w:rsid w:val="0ECD30C2"/>
    <w:rsid w:val="0EEE3BC5"/>
    <w:rsid w:val="0EF053FB"/>
    <w:rsid w:val="0EF2447B"/>
    <w:rsid w:val="0EFF558B"/>
    <w:rsid w:val="0F0C05B1"/>
    <w:rsid w:val="0F115C94"/>
    <w:rsid w:val="0F14661A"/>
    <w:rsid w:val="0F1825CE"/>
    <w:rsid w:val="0F187782"/>
    <w:rsid w:val="0F1A772D"/>
    <w:rsid w:val="0F1E6430"/>
    <w:rsid w:val="0F2B1A02"/>
    <w:rsid w:val="0F2B2E1E"/>
    <w:rsid w:val="0F367161"/>
    <w:rsid w:val="0F382BF8"/>
    <w:rsid w:val="0F3B2423"/>
    <w:rsid w:val="0F42089E"/>
    <w:rsid w:val="0F447F3C"/>
    <w:rsid w:val="0F565940"/>
    <w:rsid w:val="0F6E4FDC"/>
    <w:rsid w:val="0F732680"/>
    <w:rsid w:val="0F76580E"/>
    <w:rsid w:val="0F800976"/>
    <w:rsid w:val="0F8A1140"/>
    <w:rsid w:val="0F8A323A"/>
    <w:rsid w:val="0F8F2EE1"/>
    <w:rsid w:val="0F9A43E6"/>
    <w:rsid w:val="0FAE6BF8"/>
    <w:rsid w:val="0FAF6A79"/>
    <w:rsid w:val="0FB515F1"/>
    <w:rsid w:val="0FBE42E8"/>
    <w:rsid w:val="0FC23756"/>
    <w:rsid w:val="0FC36CC3"/>
    <w:rsid w:val="0FC64871"/>
    <w:rsid w:val="0FD01DAF"/>
    <w:rsid w:val="0FD1231B"/>
    <w:rsid w:val="0FD72FDA"/>
    <w:rsid w:val="0FD96036"/>
    <w:rsid w:val="0FE421D8"/>
    <w:rsid w:val="0FFC63EA"/>
    <w:rsid w:val="10041A68"/>
    <w:rsid w:val="100E286E"/>
    <w:rsid w:val="10110F72"/>
    <w:rsid w:val="1017121C"/>
    <w:rsid w:val="101D4F94"/>
    <w:rsid w:val="10214A9B"/>
    <w:rsid w:val="10266ABF"/>
    <w:rsid w:val="10301CCC"/>
    <w:rsid w:val="10322E66"/>
    <w:rsid w:val="103444D3"/>
    <w:rsid w:val="10352A59"/>
    <w:rsid w:val="10396392"/>
    <w:rsid w:val="103C1D05"/>
    <w:rsid w:val="103F5E51"/>
    <w:rsid w:val="10402083"/>
    <w:rsid w:val="10433959"/>
    <w:rsid w:val="104C0003"/>
    <w:rsid w:val="10616A57"/>
    <w:rsid w:val="108475B7"/>
    <w:rsid w:val="10873250"/>
    <w:rsid w:val="108E77B6"/>
    <w:rsid w:val="10915DD2"/>
    <w:rsid w:val="10995B5F"/>
    <w:rsid w:val="109A47D0"/>
    <w:rsid w:val="109E65A9"/>
    <w:rsid w:val="10A54745"/>
    <w:rsid w:val="10AD13E0"/>
    <w:rsid w:val="10C4268B"/>
    <w:rsid w:val="10C51B47"/>
    <w:rsid w:val="10CC42CC"/>
    <w:rsid w:val="10DB56D1"/>
    <w:rsid w:val="10DD3770"/>
    <w:rsid w:val="10DF0D3B"/>
    <w:rsid w:val="10E65A02"/>
    <w:rsid w:val="10E765C4"/>
    <w:rsid w:val="10ED20BB"/>
    <w:rsid w:val="10F218F2"/>
    <w:rsid w:val="10F34812"/>
    <w:rsid w:val="10F60A32"/>
    <w:rsid w:val="11047182"/>
    <w:rsid w:val="11091FDA"/>
    <w:rsid w:val="11092782"/>
    <w:rsid w:val="110A4EDF"/>
    <w:rsid w:val="11160AC9"/>
    <w:rsid w:val="111D15C0"/>
    <w:rsid w:val="112D0CEE"/>
    <w:rsid w:val="11304E0A"/>
    <w:rsid w:val="11322E93"/>
    <w:rsid w:val="11370C6A"/>
    <w:rsid w:val="113E19F6"/>
    <w:rsid w:val="113F6971"/>
    <w:rsid w:val="11432768"/>
    <w:rsid w:val="11445308"/>
    <w:rsid w:val="11551BA2"/>
    <w:rsid w:val="11776C75"/>
    <w:rsid w:val="117F6667"/>
    <w:rsid w:val="11887848"/>
    <w:rsid w:val="118A66A5"/>
    <w:rsid w:val="118B3629"/>
    <w:rsid w:val="118D6D46"/>
    <w:rsid w:val="1196028D"/>
    <w:rsid w:val="119835D6"/>
    <w:rsid w:val="119F5264"/>
    <w:rsid w:val="11A7533F"/>
    <w:rsid w:val="11B502A5"/>
    <w:rsid w:val="11B6307E"/>
    <w:rsid w:val="11C002AC"/>
    <w:rsid w:val="11C10566"/>
    <w:rsid w:val="11C6133D"/>
    <w:rsid w:val="11C82818"/>
    <w:rsid w:val="11CD21FA"/>
    <w:rsid w:val="11D6451E"/>
    <w:rsid w:val="11E00D3B"/>
    <w:rsid w:val="11E81C11"/>
    <w:rsid w:val="11ED0B73"/>
    <w:rsid w:val="11F45CD9"/>
    <w:rsid w:val="120241CC"/>
    <w:rsid w:val="120B2133"/>
    <w:rsid w:val="121C1FD4"/>
    <w:rsid w:val="121C574E"/>
    <w:rsid w:val="121F2D18"/>
    <w:rsid w:val="12247418"/>
    <w:rsid w:val="122C3E80"/>
    <w:rsid w:val="122D444B"/>
    <w:rsid w:val="12412E91"/>
    <w:rsid w:val="12431A68"/>
    <w:rsid w:val="124745F0"/>
    <w:rsid w:val="124D008C"/>
    <w:rsid w:val="1250182D"/>
    <w:rsid w:val="1256790E"/>
    <w:rsid w:val="127908DE"/>
    <w:rsid w:val="12796A51"/>
    <w:rsid w:val="127B229C"/>
    <w:rsid w:val="12873A09"/>
    <w:rsid w:val="12891455"/>
    <w:rsid w:val="128A5F6B"/>
    <w:rsid w:val="128F6BE1"/>
    <w:rsid w:val="12905917"/>
    <w:rsid w:val="129F752C"/>
    <w:rsid w:val="12A021D4"/>
    <w:rsid w:val="12A02384"/>
    <w:rsid w:val="12A0623C"/>
    <w:rsid w:val="12A240B1"/>
    <w:rsid w:val="12A41D02"/>
    <w:rsid w:val="12A4486D"/>
    <w:rsid w:val="12A625E7"/>
    <w:rsid w:val="12AC3D07"/>
    <w:rsid w:val="12B12F0E"/>
    <w:rsid w:val="12BC1AFF"/>
    <w:rsid w:val="12C007AB"/>
    <w:rsid w:val="12C51D74"/>
    <w:rsid w:val="12C65F3A"/>
    <w:rsid w:val="12E5033B"/>
    <w:rsid w:val="12E63402"/>
    <w:rsid w:val="12F3476D"/>
    <w:rsid w:val="12F510D2"/>
    <w:rsid w:val="12F750B1"/>
    <w:rsid w:val="12FE25D2"/>
    <w:rsid w:val="13053015"/>
    <w:rsid w:val="130937CA"/>
    <w:rsid w:val="130C69D5"/>
    <w:rsid w:val="130D08F4"/>
    <w:rsid w:val="13170A8A"/>
    <w:rsid w:val="1317154B"/>
    <w:rsid w:val="13182D52"/>
    <w:rsid w:val="131D231F"/>
    <w:rsid w:val="1323275A"/>
    <w:rsid w:val="1326649A"/>
    <w:rsid w:val="13271403"/>
    <w:rsid w:val="132B255B"/>
    <w:rsid w:val="13382F8D"/>
    <w:rsid w:val="13383AFE"/>
    <w:rsid w:val="134242C3"/>
    <w:rsid w:val="13434FC8"/>
    <w:rsid w:val="1347363B"/>
    <w:rsid w:val="13473863"/>
    <w:rsid w:val="13475460"/>
    <w:rsid w:val="134D6163"/>
    <w:rsid w:val="13527A51"/>
    <w:rsid w:val="13531FC1"/>
    <w:rsid w:val="135B67F9"/>
    <w:rsid w:val="135F0038"/>
    <w:rsid w:val="13644554"/>
    <w:rsid w:val="136D63F1"/>
    <w:rsid w:val="13726277"/>
    <w:rsid w:val="13730502"/>
    <w:rsid w:val="137830F5"/>
    <w:rsid w:val="137D4341"/>
    <w:rsid w:val="1388309B"/>
    <w:rsid w:val="138D4D9F"/>
    <w:rsid w:val="138D61D0"/>
    <w:rsid w:val="139B09D7"/>
    <w:rsid w:val="13A02124"/>
    <w:rsid w:val="13A742C0"/>
    <w:rsid w:val="13A74EC1"/>
    <w:rsid w:val="13AA046C"/>
    <w:rsid w:val="13AB3B7D"/>
    <w:rsid w:val="13AD3DF5"/>
    <w:rsid w:val="13B60703"/>
    <w:rsid w:val="13B80FE1"/>
    <w:rsid w:val="13BB2F48"/>
    <w:rsid w:val="13D64A14"/>
    <w:rsid w:val="13DA214E"/>
    <w:rsid w:val="13E77870"/>
    <w:rsid w:val="13EB1A67"/>
    <w:rsid w:val="13F246EB"/>
    <w:rsid w:val="13F51F75"/>
    <w:rsid w:val="14024CF7"/>
    <w:rsid w:val="140C11DB"/>
    <w:rsid w:val="140E3EE9"/>
    <w:rsid w:val="14142ACB"/>
    <w:rsid w:val="14142FD6"/>
    <w:rsid w:val="142577AF"/>
    <w:rsid w:val="142B3FDF"/>
    <w:rsid w:val="142B7528"/>
    <w:rsid w:val="14321E1F"/>
    <w:rsid w:val="143A0226"/>
    <w:rsid w:val="143F5378"/>
    <w:rsid w:val="14410493"/>
    <w:rsid w:val="14444DAA"/>
    <w:rsid w:val="144E157F"/>
    <w:rsid w:val="14646DC3"/>
    <w:rsid w:val="146F64AE"/>
    <w:rsid w:val="14736E3D"/>
    <w:rsid w:val="14783434"/>
    <w:rsid w:val="147F3BFC"/>
    <w:rsid w:val="14805B02"/>
    <w:rsid w:val="14975490"/>
    <w:rsid w:val="14A277C7"/>
    <w:rsid w:val="14B0562E"/>
    <w:rsid w:val="14B92052"/>
    <w:rsid w:val="14BA55C2"/>
    <w:rsid w:val="14BE36BB"/>
    <w:rsid w:val="14BE609A"/>
    <w:rsid w:val="14BF130C"/>
    <w:rsid w:val="14C43669"/>
    <w:rsid w:val="14CB278B"/>
    <w:rsid w:val="14CD16B0"/>
    <w:rsid w:val="14CE1448"/>
    <w:rsid w:val="14CE3B12"/>
    <w:rsid w:val="14D13243"/>
    <w:rsid w:val="14D85538"/>
    <w:rsid w:val="14D85BE3"/>
    <w:rsid w:val="14DB2E34"/>
    <w:rsid w:val="14DF7426"/>
    <w:rsid w:val="14EE7200"/>
    <w:rsid w:val="14EF4905"/>
    <w:rsid w:val="14F510D5"/>
    <w:rsid w:val="14FB3DFF"/>
    <w:rsid w:val="14FC1022"/>
    <w:rsid w:val="14FE2971"/>
    <w:rsid w:val="1502257D"/>
    <w:rsid w:val="150D75A7"/>
    <w:rsid w:val="15122C76"/>
    <w:rsid w:val="15154CE1"/>
    <w:rsid w:val="15162F63"/>
    <w:rsid w:val="15166140"/>
    <w:rsid w:val="151A6DF8"/>
    <w:rsid w:val="151B34E5"/>
    <w:rsid w:val="151C7D64"/>
    <w:rsid w:val="152371C8"/>
    <w:rsid w:val="152C3146"/>
    <w:rsid w:val="1531585C"/>
    <w:rsid w:val="15346B09"/>
    <w:rsid w:val="153513E3"/>
    <w:rsid w:val="1536564C"/>
    <w:rsid w:val="15367D78"/>
    <w:rsid w:val="15386D7C"/>
    <w:rsid w:val="154064F6"/>
    <w:rsid w:val="1551263A"/>
    <w:rsid w:val="15553679"/>
    <w:rsid w:val="15597E17"/>
    <w:rsid w:val="155D1F6F"/>
    <w:rsid w:val="156069EA"/>
    <w:rsid w:val="15644B35"/>
    <w:rsid w:val="15685B3C"/>
    <w:rsid w:val="15734F4D"/>
    <w:rsid w:val="15766CE2"/>
    <w:rsid w:val="1577607A"/>
    <w:rsid w:val="1581029C"/>
    <w:rsid w:val="15810B04"/>
    <w:rsid w:val="1587445C"/>
    <w:rsid w:val="158B2F30"/>
    <w:rsid w:val="158C12F3"/>
    <w:rsid w:val="15937F09"/>
    <w:rsid w:val="159B446E"/>
    <w:rsid w:val="159D5F80"/>
    <w:rsid w:val="15A06933"/>
    <w:rsid w:val="15A30656"/>
    <w:rsid w:val="15A42C52"/>
    <w:rsid w:val="15A63FC8"/>
    <w:rsid w:val="15AE4C6D"/>
    <w:rsid w:val="15C00962"/>
    <w:rsid w:val="15C41A36"/>
    <w:rsid w:val="15CA7367"/>
    <w:rsid w:val="15D127E0"/>
    <w:rsid w:val="15D556FF"/>
    <w:rsid w:val="15E004F9"/>
    <w:rsid w:val="15F22001"/>
    <w:rsid w:val="15F43EC0"/>
    <w:rsid w:val="15F61E87"/>
    <w:rsid w:val="15FC2382"/>
    <w:rsid w:val="16010973"/>
    <w:rsid w:val="160329CA"/>
    <w:rsid w:val="16121FDB"/>
    <w:rsid w:val="161752BE"/>
    <w:rsid w:val="16177ACE"/>
    <w:rsid w:val="16181616"/>
    <w:rsid w:val="161B2936"/>
    <w:rsid w:val="16215E6F"/>
    <w:rsid w:val="162160A3"/>
    <w:rsid w:val="162246AE"/>
    <w:rsid w:val="16226475"/>
    <w:rsid w:val="16291735"/>
    <w:rsid w:val="16327E1F"/>
    <w:rsid w:val="163533E7"/>
    <w:rsid w:val="16366BF4"/>
    <w:rsid w:val="1638522F"/>
    <w:rsid w:val="16392049"/>
    <w:rsid w:val="163F7EF2"/>
    <w:rsid w:val="16485050"/>
    <w:rsid w:val="164D1ACD"/>
    <w:rsid w:val="164D6A08"/>
    <w:rsid w:val="165203F1"/>
    <w:rsid w:val="16526637"/>
    <w:rsid w:val="16536BC9"/>
    <w:rsid w:val="165B60CE"/>
    <w:rsid w:val="166221ED"/>
    <w:rsid w:val="1663761D"/>
    <w:rsid w:val="16660F3A"/>
    <w:rsid w:val="16686DEB"/>
    <w:rsid w:val="166A0727"/>
    <w:rsid w:val="166A57AF"/>
    <w:rsid w:val="166C4046"/>
    <w:rsid w:val="166D11F1"/>
    <w:rsid w:val="167317FF"/>
    <w:rsid w:val="16756C2F"/>
    <w:rsid w:val="168A4F00"/>
    <w:rsid w:val="168B02B1"/>
    <w:rsid w:val="1690616B"/>
    <w:rsid w:val="169B4D84"/>
    <w:rsid w:val="169B6CB5"/>
    <w:rsid w:val="169C381D"/>
    <w:rsid w:val="169C57DF"/>
    <w:rsid w:val="16AC02F7"/>
    <w:rsid w:val="16B14CCF"/>
    <w:rsid w:val="16B7342E"/>
    <w:rsid w:val="16BF1550"/>
    <w:rsid w:val="16C32B7F"/>
    <w:rsid w:val="16C41AFF"/>
    <w:rsid w:val="16C71627"/>
    <w:rsid w:val="16C724CD"/>
    <w:rsid w:val="16D51ECB"/>
    <w:rsid w:val="16E6314C"/>
    <w:rsid w:val="16E75B73"/>
    <w:rsid w:val="16F62265"/>
    <w:rsid w:val="16F818E2"/>
    <w:rsid w:val="16F93DF3"/>
    <w:rsid w:val="16FB104D"/>
    <w:rsid w:val="16FE1447"/>
    <w:rsid w:val="17073839"/>
    <w:rsid w:val="170C7EBF"/>
    <w:rsid w:val="170E771F"/>
    <w:rsid w:val="171268E1"/>
    <w:rsid w:val="1717391A"/>
    <w:rsid w:val="171A50B9"/>
    <w:rsid w:val="171D5C7F"/>
    <w:rsid w:val="172109EF"/>
    <w:rsid w:val="17271087"/>
    <w:rsid w:val="17287294"/>
    <w:rsid w:val="17287C95"/>
    <w:rsid w:val="172B5831"/>
    <w:rsid w:val="17376C71"/>
    <w:rsid w:val="173B68E7"/>
    <w:rsid w:val="17400A62"/>
    <w:rsid w:val="17424CC3"/>
    <w:rsid w:val="17435C3D"/>
    <w:rsid w:val="17441E4E"/>
    <w:rsid w:val="17485746"/>
    <w:rsid w:val="17581E57"/>
    <w:rsid w:val="175910B8"/>
    <w:rsid w:val="175B6263"/>
    <w:rsid w:val="175E705D"/>
    <w:rsid w:val="17642B3B"/>
    <w:rsid w:val="17713636"/>
    <w:rsid w:val="17762DDE"/>
    <w:rsid w:val="177B1838"/>
    <w:rsid w:val="17843B40"/>
    <w:rsid w:val="17893B70"/>
    <w:rsid w:val="178C490D"/>
    <w:rsid w:val="179917E0"/>
    <w:rsid w:val="17AF2B05"/>
    <w:rsid w:val="17B70B1C"/>
    <w:rsid w:val="17BC2905"/>
    <w:rsid w:val="17BD68E8"/>
    <w:rsid w:val="17C13D82"/>
    <w:rsid w:val="17C96BC1"/>
    <w:rsid w:val="17CA5765"/>
    <w:rsid w:val="17CB474F"/>
    <w:rsid w:val="17CD3B0D"/>
    <w:rsid w:val="17D44F9C"/>
    <w:rsid w:val="17D842C3"/>
    <w:rsid w:val="17DF30F2"/>
    <w:rsid w:val="17EB0152"/>
    <w:rsid w:val="17F15D42"/>
    <w:rsid w:val="17F41E63"/>
    <w:rsid w:val="17F43359"/>
    <w:rsid w:val="17F43862"/>
    <w:rsid w:val="17F82872"/>
    <w:rsid w:val="17FE28B6"/>
    <w:rsid w:val="180325D4"/>
    <w:rsid w:val="180A21E8"/>
    <w:rsid w:val="18163697"/>
    <w:rsid w:val="181C120B"/>
    <w:rsid w:val="182217D4"/>
    <w:rsid w:val="18261E07"/>
    <w:rsid w:val="183D7238"/>
    <w:rsid w:val="18410996"/>
    <w:rsid w:val="18470D81"/>
    <w:rsid w:val="184848E8"/>
    <w:rsid w:val="1850260D"/>
    <w:rsid w:val="185F223A"/>
    <w:rsid w:val="186744A5"/>
    <w:rsid w:val="187270E0"/>
    <w:rsid w:val="187B1D00"/>
    <w:rsid w:val="18844D8B"/>
    <w:rsid w:val="1889314B"/>
    <w:rsid w:val="188B40FB"/>
    <w:rsid w:val="188B5513"/>
    <w:rsid w:val="18910DB5"/>
    <w:rsid w:val="18914742"/>
    <w:rsid w:val="189C4136"/>
    <w:rsid w:val="189D46FA"/>
    <w:rsid w:val="189F4384"/>
    <w:rsid w:val="18A33A60"/>
    <w:rsid w:val="18A46B86"/>
    <w:rsid w:val="18B856D7"/>
    <w:rsid w:val="18BF4A12"/>
    <w:rsid w:val="18C35228"/>
    <w:rsid w:val="18C50479"/>
    <w:rsid w:val="18E076DA"/>
    <w:rsid w:val="18E83B37"/>
    <w:rsid w:val="18EF7891"/>
    <w:rsid w:val="18F53AF0"/>
    <w:rsid w:val="1903156F"/>
    <w:rsid w:val="19093A08"/>
    <w:rsid w:val="190D3863"/>
    <w:rsid w:val="19225477"/>
    <w:rsid w:val="192348F7"/>
    <w:rsid w:val="1925510E"/>
    <w:rsid w:val="19262D20"/>
    <w:rsid w:val="19272691"/>
    <w:rsid w:val="192B1F9A"/>
    <w:rsid w:val="19353DD2"/>
    <w:rsid w:val="193E7A58"/>
    <w:rsid w:val="194A1C6F"/>
    <w:rsid w:val="195B763F"/>
    <w:rsid w:val="19600C29"/>
    <w:rsid w:val="19613CA5"/>
    <w:rsid w:val="19642AFF"/>
    <w:rsid w:val="19676146"/>
    <w:rsid w:val="19691E6F"/>
    <w:rsid w:val="196C2D55"/>
    <w:rsid w:val="19745D23"/>
    <w:rsid w:val="19883823"/>
    <w:rsid w:val="19906C59"/>
    <w:rsid w:val="19994F85"/>
    <w:rsid w:val="19A707FF"/>
    <w:rsid w:val="19AF28C5"/>
    <w:rsid w:val="19C13959"/>
    <w:rsid w:val="19D201D4"/>
    <w:rsid w:val="19D54780"/>
    <w:rsid w:val="19D7590E"/>
    <w:rsid w:val="19DA4A50"/>
    <w:rsid w:val="19DA732E"/>
    <w:rsid w:val="19DC10E7"/>
    <w:rsid w:val="19E23981"/>
    <w:rsid w:val="1A033033"/>
    <w:rsid w:val="1A034649"/>
    <w:rsid w:val="1A084E9B"/>
    <w:rsid w:val="1A0C7AB0"/>
    <w:rsid w:val="1A0D3210"/>
    <w:rsid w:val="1A1C2410"/>
    <w:rsid w:val="1A20575E"/>
    <w:rsid w:val="1A222D4B"/>
    <w:rsid w:val="1A227C18"/>
    <w:rsid w:val="1A2451BE"/>
    <w:rsid w:val="1A281CA2"/>
    <w:rsid w:val="1A2C54F5"/>
    <w:rsid w:val="1A3C722E"/>
    <w:rsid w:val="1A45379D"/>
    <w:rsid w:val="1A472A61"/>
    <w:rsid w:val="1A567AF7"/>
    <w:rsid w:val="1A5E0A57"/>
    <w:rsid w:val="1A5E4B92"/>
    <w:rsid w:val="1A62111C"/>
    <w:rsid w:val="1A6F4BDB"/>
    <w:rsid w:val="1A7F5DB2"/>
    <w:rsid w:val="1A895B6C"/>
    <w:rsid w:val="1A8B2023"/>
    <w:rsid w:val="1A8B7DE9"/>
    <w:rsid w:val="1A97226F"/>
    <w:rsid w:val="1A9972CF"/>
    <w:rsid w:val="1A9A698F"/>
    <w:rsid w:val="1A9E3C0E"/>
    <w:rsid w:val="1AA078D3"/>
    <w:rsid w:val="1AAB3DA7"/>
    <w:rsid w:val="1AAB4B24"/>
    <w:rsid w:val="1AB42C83"/>
    <w:rsid w:val="1AB6247A"/>
    <w:rsid w:val="1AB94352"/>
    <w:rsid w:val="1AB95979"/>
    <w:rsid w:val="1ABF030E"/>
    <w:rsid w:val="1ACE10B7"/>
    <w:rsid w:val="1AE35E9E"/>
    <w:rsid w:val="1AEF19A1"/>
    <w:rsid w:val="1AF12926"/>
    <w:rsid w:val="1AF21F54"/>
    <w:rsid w:val="1AFB5500"/>
    <w:rsid w:val="1B0B2E25"/>
    <w:rsid w:val="1B0D2098"/>
    <w:rsid w:val="1B0E7B27"/>
    <w:rsid w:val="1B10652B"/>
    <w:rsid w:val="1B12336C"/>
    <w:rsid w:val="1B19773F"/>
    <w:rsid w:val="1B1A19A0"/>
    <w:rsid w:val="1B1F09C4"/>
    <w:rsid w:val="1B38097D"/>
    <w:rsid w:val="1B3C77DE"/>
    <w:rsid w:val="1B455622"/>
    <w:rsid w:val="1B5059B2"/>
    <w:rsid w:val="1B61490C"/>
    <w:rsid w:val="1B680069"/>
    <w:rsid w:val="1B6C3A95"/>
    <w:rsid w:val="1B6D5612"/>
    <w:rsid w:val="1B77663C"/>
    <w:rsid w:val="1B791A36"/>
    <w:rsid w:val="1B7D15EF"/>
    <w:rsid w:val="1B8B2111"/>
    <w:rsid w:val="1B956879"/>
    <w:rsid w:val="1BAA636E"/>
    <w:rsid w:val="1BCE2A0B"/>
    <w:rsid w:val="1BCE59BF"/>
    <w:rsid w:val="1BCF60F9"/>
    <w:rsid w:val="1BD15A8D"/>
    <w:rsid w:val="1BD17F38"/>
    <w:rsid w:val="1BDB6643"/>
    <w:rsid w:val="1BEC7681"/>
    <w:rsid w:val="1BED27D2"/>
    <w:rsid w:val="1C041E1A"/>
    <w:rsid w:val="1C1B3BD7"/>
    <w:rsid w:val="1C1D4C47"/>
    <w:rsid w:val="1C1E57D4"/>
    <w:rsid w:val="1C2232A3"/>
    <w:rsid w:val="1C2C1437"/>
    <w:rsid w:val="1C2C42E4"/>
    <w:rsid w:val="1C2D25B3"/>
    <w:rsid w:val="1C30011A"/>
    <w:rsid w:val="1C400B4B"/>
    <w:rsid w:val="1C4162EF"/>
    <w:rsid w:val="1C4935FA"/>
    <w:rsid w:val="1C554D50"/>
    <w:rsid w:val="1C63197D"/>
    <w:rsid w:val="1C705992"/>
    <w:rsid w:val="1C710898"/>
    <w:rsid w:val="1C72354E"/>
    <w:rsid w:val="1C783DD5"/>
    <w:rsid w:val="1C7B04A6"/>
    <w:rsid w:val="1C83353D"/>
    <w:rsid w:val="1C87649F"/>
    <w:rsid w:val="1C8C1FF7"/>
    <w:rsid w:val="1C932024"/>
    <w:rsid w:val="1C942D66"/>
    <w:rsid w:val="1C9773C9"/>
    <w:rsid w:val="1CA72607"/>
    <w:rsid w:val="1CA742DB"/>
    <w:rsid w:val="1CA90CBE"/>
    <w:rsid w:val="1CAE19B3"/>
    <w:rsid w:val="1CAE373E"/>
    <w:rsid w:val="1CB12297"/>
    <w:rsid w:val="1CB25367"/>
    <w:rsid w:val="1CB83886"/>
    <w:rsid w:val="1CBC2EA7"/>
    <w:rsid w:val="1CD72468"/>
    <w:rsid w:val="1CE92BC7"/>
    <w:rsid w:val="1CEB1FA4"/>
    <w:rsid w:val="1CEE37F2"/>
    <w:rsid w:val="1CF636B4"/>
    <w:rsid w:val="1CF67D76"/>
    <w:rsid w:val="1CF87360"/>
    <w:rsid w:val="1CF96659"/>
    <w:rsid w:val="1CFD69BF"/>
    <w:rsid w:val="1D00128D"/>
    <w:rsid w:val="1D011EA3"/>
    <w:rsid w:val="1D0A0335"/>
    <w:rsid w:val="1D0F79C4"/>
    <w:rsid w:val="1D152D18"/>
    <w:rsid w:val="1D1A0288"/>
    <w:rsid w:val="1D1A2EF3"/>
    <w:rsid w:val="1D1D0F66"/>
    <w:rsid w:val="1D1E618D"/>
    <w:rsid w:val="1D216FC3"/>
    <w:rsid w:val="1D3509E3"/>
    <w:rsid w:val="1D3520B2"/>
    <w:rsid w:val="1D3A6548"/>
    <w:rsid w:val="1D4D7134"/>
    <w:rsid w:val="1D537ECD"/>
    <w:rsid w:val="1D580599"/>
    <w:rsid w:val="1D6318C5"/>
    <w:rsid w:val="1D73291A"/>
    <w:rsid w:val="1D737860"/>
    <w:rsid w:val="1D740B83"/>
    <w:rsid w:val="1D7424C2"/>
    <w:rsid w:val="1D7468F2"/>
    <w:rsid w:val="1D746D61"/>
    <w:rsid w:val="1D7A2003"/>
    <w:rsid w:val="1D823231"/>
    <w:rsid w:val="1D83026D"/>
    <w:rsid w:val="1D876857"/>
    <w:rsid w:val="1D886C89"/>
    <w:rsid w:val="1D8F682E"/>
    <w:rsid w:val="1D9E7E33"/>
    <w:rsid w:val="1DAC62F5"/>
    <w:rsid w:val="1DAD0DC3"/>
    <w:rsid w:val="1DB247C2"/>
    <w:rsid w:val="1DBA0A13"/>
    <w:rsid w:val="1DBB3283"/>
    <w:rsid w:val="1DC25525"/>
    <w:rsid w:val="1DCB1396"/>
    <w:rsid w:val="1DCD4AA9"/>
    <w:rsid w:val="1DD20CFE"/>
    <w:rsid w:val="1DE75C7C"/>
    <w:rsid w:val="1DEE546A"/>
    <w:rsid w:val="1DEE5F53"/>
    <w:rsid w:val="1DF30300"/>
    <w:rsid w:val="1DFB39EC"/>
    <w:rsid w:val="1DFB595E"/>
    <w:rsid w:val="1DFC61D9"/>
    <w:rsid w:val="1DFE116F"/>
    <w:rsid w:val="1DFF5BB1"/>
    <w:rsid w:val="1E016A77"/>
    <w:rsid w:val="1E0339B3"/>
    <w:rsid w:val="1E0662C2"/>
    <w:rsid w:val="1E0C1D69"/>
    <w:rsid w:val="1E0D1F3C"/>
    <w:rsid w:val="1E121D57"/>
    <w:rsid w:val="1E156EEE"/>
    <w:rsid w:val="1E21439A"/>
    <w:rsid w:val="1E2F7AE2"/>
    <w:rsid w:val="1E3E06B3"/>
    <w:rsid w:val="1E3E16E6"/>
    <w:rsid w:val="1E3F20DE"/>
    <w:rsid w:val="1E410A3C"/>
    <w:rsid w:val="1E521EF9"/>
    <w:rsid w:val="1E53145D"/>
    <w:rsid w:val="1E54216D"/>
    <w:rsid w:val="1E565014"/>
    <w:rsid w:val="1E662A72"/>
    <w:rsid w:val="1E6E6AD8"/>
    <w:rsid w:val="1E79483B"/>
    <w:rsid w:val="1E795C22"/>
    <w:rsid w:val="1E7D0B80"/>
    <w:rsid w:val="1E7E6239"/>
    <w:rsid w:val="1E8423B7"/>
    <w:rsid w:val="1E8A0290"/>
    <w:rsid w:val="1E8B797D"/>
    <w:rsid w:val="1E8D2387"/>
    <w:rsid w:val="1E8E6164"/>
    <w:rsid w:val="1E941247"/>
    <w:rsid w:val="1EA4560C"/>
    <w:rsid w:val="1EC412EA"/>
    <w:rsid w:val="1EC45B28"/>
    <w:rsid w:val="1EC63FC0"/>
    <w:rsid w:val="1ECC5D9C"/>
    <w:rsid w:val="1ED344CE"/>
    <w:rsid w:val="1EDC116C"/>
    <w:rsid w:val="1EDF4547"/>
    <w:rsid w:val="1EE81D94"/>
    <w:rsid w:val="1EF36D7D"/>
    <w:rsid w:val="1EF479C7"/>
    <w:rsid w:val="1EFA44B5"/>
    <w:rsid w:val="1EFB2018"/>
    <w:rsid w:val="1EFD4839"/>
    <w:rsid w:val="1EFD6E71"/>
    <w:rsid w:val="1F0C4D63"/>
    <w:rsid w:val="1F1651D3"/>
    <w:rsid w:val="1F1F5DDB"/>
    <w:rsid w:val="1F204EC8"/>
    <w:rsid w:val="1F2866C3"/>
    <w:rsid w:val="1F3F2B50"/>
    <w:rsid w:val="1F4F6750"/>
    <w:rsid w:val="1F534925"/>
    <w:rsid w:val="1F58167E"/>
    <w:rsid w:val="1F5B1ABA"/>
    <w:rsid w:val="1F627701"/>
    <w:rsid w:val="1F6F3A6A"/>
    <w:rsid w:val="1F7A5D90"/>
    <w:rsid w:val="1F7C00BB"/>
    <w:rsid w:val="1F97413A"/>
    <w:rsid w:val="1F9976EF"/>
    <w:rsid w:val="1FA67E51"/>
    <w:rsid w:val="1FAD40E3"/>
    <w:rsid w:val="1FBA42CF"/>
    <w:rsid w:val="1FBEB49B"/>
    <w:rsid w:val="1FC73A0F"/>
    <w:rsid w:val="1FCA35AF"/>
    <w:rsid w:val="1FCA67AB"/>
    <w:rsid w:val="1FD22542"/>
    <w:rsid w:val="1FD601C1"/>
    <w:rsid w:val="1FEB6402"/>
    <w:rsid w:val="20041CD3"/>
    <w:rsid w:val="20042EC1"/>
    <w:rsid w:val="20171B8F"/>
    <w:rsid w:val="2019310B"/>
    <w:rsid w:val="20223440"/>
    <w:rsid w:val="202E1ACF"/>
    <w:rsid w:val="20306E2F"/>
    <w:rsid w:val="20363F0A"/>
    <w:rsid w:val="2038130B"/>
    <w:rsid w:val="20401354"/>
    <w:rsid w:val="206D6682"/>
    <w:rsid w:val="20774AF8"/>
    <w:rsid w:val="20776D38"/>
    <w:rsid w:val="20867C8F"/>
    <w:rsid w:val="20872170"/>
    <w:rsid w:val="208A4691"/>
    <w:rsid w:val="209C0049"/>
    <w:rsid w:val="20A040D2"/>
    <w:rsid w:val="20A261B5"/>
    <w:rsid w:val="20A26218"/>
    <w:rsid w:val="20A46024"/>
    <w:rsid w:val="20A62A22"/>
    <w:rsid w:val="20AA2118"/>
    <w:rsid w:val="20AC2551"/>
    <w:rsid w:val="20B20591"/>
    <w:rsid w:val="20B65344"/>
    <w:rsid w:val="20BE4A96"/>
    <w:rsid w:val="20E118FD"/>
    <w:rsid w:val="20E76943"/>
    <w:rsid w:val="20ED6EA0"/>
    <w:rsid w:val="20EF7E20"/>
    <w:rsid w:val="20F46083"/>
    <w:rsid w:val="20F87251"/>
    <w:rsid w:val="20FB1421"/>
    <w:rsid w:val="20FC4085"/>
    <w:rsid w:val="21034009"/>
    <w:rsid w:val="21090976"/>
    <w:rsid w:val="210A62F9"/>
    <w:rsid w:val="21111086"/>
    <w:rsid w:val="21140266"/>
    <w:rsid w:val="21163E2A"/>
    <w:rsid w:val="21214B9B"/>
    <w:rsid w:val="21225187"/>
    <w:rsid w:val="212472C1"/>
    <w:rsid w:val="212645C3"/>
    <w:rsid w:val="2127147D"/>
    <w:rsid w:val="21355E76"/>
    <w:rsid w:val="213859FC"/>
    <w:rsid w:val="214435D7"/>
    <w:rsid w:val="214461AB"/>
    <w:rsid w:val="215328CB"/>
    <w:rsid w:val="216201A4"/>
    <w:rsid w:val="21704FB8"/>
    <w:rsid w:val="217830AD"/>
    <w:rsid w:val="217E5857"/>
    <w:rsid w:val="218237FD"/>
    <w:rsid w:val="21862497"/>
    <w:rsid w:val="219E230B"/>
    <w:rsid w:val="21A950E4"/>
    <w:rsid w:val="21AF1FEE"/>
    <w:rsid w:val="21AF7A78"/>
    <w:rsid w:val="21B51BC7"/>
    <w:rsid w:val="21B564FD"/>
    <w:rsid w:val="21B96AE7"/>
    <w:rsid w:val="21BB092F"/>
    <w:rsid w:val="21BB7D03"/>
    <w:rsid w:val="21BC617F"/>
    <w:rsid w:val="21DF73A8"/>
    <w:rsid w:val="21E14B5A"/>
    <w:rsid w:val="21E67937"/>
    <w:rsid w:val="21EA0844"/>
    <w:rsid w:val="21EB2796"/>
    <w:rsid w:val="21FC25B1"/>
    <w:rsid w:val="21FC372F"/>
    <w:rsid w:val="22024DC0"/>
    <w:rsid w:val="2204219A"/>
    <w:rsid w:val="220E2455"/>
    <w:rsid w:val="220E7179"/>
    <w:rsid w:val="221376C1"/>
    <w:rsid w:val="221C0454"/>
    <w:rsid w:val="22213A38"/>
    <w:rsid w:val="222479CA"/>
    <w:rsid w:val="22257F4C"/>
    <w:rsid w:val="22261CA6"/>
    <w:rsid w:val="22294F49"/>
    <w:rsid w:val="22320154"/>
    <w:rsid w:val="22353CEB"/>
    <w:rsid w:val="223A2AD8"/>
    <w:rsid w:val="223C34B6"/>
    <w:rsid w:val="22424DE0"/>
    <w:rsid w:val="22451F76"/>
    <w:rsid w:val="22455FCC"/>
    <w:rsid w:val="224602F7"/>
    <w:rsid w:val="22496E3E"/>
    <w:rsid w:val="22513509"/>
    <w:rsid w:val="225557DA"/>
    <w:rsid w:val="225C5A69"/>
    <w:rsid w:val="226A3D5C"/>
    <w:rsid w:val="226B735C"/>
    <w:rsid w:val="226D6B31"/>
    <w:rsid w:val="226F0A4E"/>
    <w:rsid w:val="226F62B9"/>
    <w:rsid w:val="227B6459"/>
    <w:rsid w:val="227B6F04"/>
    <w:rsid w:val="228215C4"/>
    <w:rsid w:val="22822650"/>
    <w:rsid w:val="22873597"/>
    <w:rsid w:val="22960CAF"/>
    <w:rsid w:val="22A41BB7"/>
    <w:rsid w:val="22AA2593"/>
    <w:rsid w:val="22B064CB"/>
    <w:rsid w:val="22B83EA8"/>
    <w:rsid w:val="22B8608A"/>
    <w:rsid w:val="22BB7D90"/>
    <w:rsid w:val="22C6065C"/>
    <w:rsid w:val="22CD32A9"/>
    <w:rsid w:val="22CE21CB"/>
    <w:rsid w:val="22CF41C3"/>
    <w:rsid w:val="22D17A88"/>
    <w:rsid w:val="22D30F4F"/>
    <w:rsid w:val="22D97633"/>
    <w:rsid w:val="22E63777"/>
    <w:rsid w:val="22EF503E"/>
    <w:rsid w:val="22F70A3F"/>
    <w:rsid w:val="22F73A7A"/>
    <w:rsid w:val="23051D71"/>
    <w:rsid w:val="230A6BE4"/>
    <w:rsid w:val="231255AA"/>
    <w:rsid w:val="23236287"/>
    <w:rsid w:val="232C1AE4"/>
    <w:rsid w:val="232D301C"/>
    <w:rsid w:val="23304156"/>
    <w:rsid w:val="23321383"/>
    <w:rsid w:val="233C1B68"/>
    <w:rsid w:val="233E78F0"/>
    <w:rsid w:val="234260C5"/>
    <w:rsid w:val="23496FB2"/>
    <w:rsid w:val="234F55FD"/>
    <w:rsid w:val="235267CF"/>
    <w:rsid w:val="23530E13"/>
    <w:rsid w:val="23563003"/>
    <w:rsid w:val="235B12A5"/>
    <w:rsid w:val="23684A52"/>
    <w:rsid w:val="23704524"/>
    <w:rsid w:val="23730BE8"/>
    <w:rsid w:val="23752469"/>
    <w:rsid w:val="237D026F"/>
    <w:rsid w:val="23867F19"/>
    <w:rsid w:val="239362F2"/>
    <w:rsid w:val="23A1606D"/>
    <w:rsid w:val="23A261BF"/>
    <w:rsid w:val="23AB1E16"/>
    <w:rsid w:val="23B02A3C"/>
    <w:rsid w:val="23B80CC8"/>
    <w:rsid w:val="23BD6E2E"/>
    <w:rsid w:val="23C25868"/>
    <w:rsid w:val="23D04EC3"/>
    <w:rsid w:val="23D239C7"/>
    <w:rsid w:val="23D25CEE"/>
    <w:rsid w:val="23D5262F"/>
    <w:rsid w:val="23D82DF1"/>
    <w:rsid w:val="23DD439B"/>
    <w:rsid w:val="23E22D5C"/>
    <w:rsid w:val="23E44BFD"/>
    <w:rsid w:val="23F1062A"/>
    <w:rsid w:val="23F143D0"/>
    <w:rsid w:val="23FC229A"/>
    <w:rsid w:val="24005886"/>
    <w:rsid w:val="24024243"/>
    <w:rsid w:val="24063B7D"/>
    <w:rsid w:val="24103AC8"/>
    <w:rsid w:val="24192AA2"/>
    <w:rsid w:val="241A3EEB"/>
    <w:rsid w:val="24225643"/>
    <w:rsid w:val="24271505"/>
    <w:rsid w:val="242A2BC9"/>
    <w:rsid w:val="242C2EAA"/>
    <w:rsid w:val="242D72C0"/>
    <w:rsid w:val="24347DA0"/>
    <w:rsid w:val="24412D38"/>
    <w:rsid w:val="24487596"/>
    <w:rsid w:val="244A4FCD"/>
    <w:rsid w:val="24504937"/>
    <w:rsid w:val="24524C3D"/>
    <w:rsid w:val="245B0676"/>
    <w:rsid w:val="245C5DC3"/>
    <w:rsid w:val="24647F4F"/>
    <w:rsid w:val="247A56B7"/>
    <w:rsid w:val="247C729F"/>
    <w:rsid w:val="24860685"/>
    <w:rsid w:val="249128B6"/>
    <w:rsid w:val="24915022"/>
    <w:rsid w:val="24927F7C"/>
    <w:rsid w:val="249A56B9"/>
    <w:rsid w:val="249F5E3D"/>
    <w:rsid w:val="24BF7B92"/>
    <w:rsid w:val="24C23194"/>
    <w:rsid w:val="24C45D87"/>
    <w:rsid w:val="24C61B29"/>
    <w:rsid w:val="24C67C89"/>
    <w:rsid w:val="24CC7D79"/>
    <w:rsid w:val="24CF4094"/>
    <w:rsid w:val="24D35992"/>
    <w:rsid w:val="24DE2D94"/>
    <w:rsid w:val="24E4002A"/>
    <w:rsid w:val="24F02577"/>
    <w:rsid w:val="24F60109"/>
    <w:rsid w:val="24FB74DF"/>
    <w:rsid w:val="25006771"/>
    <w:rsid w:val="25047989"/>
    <w:rsid w:val="250637FF"/>
    <w:rsid w:val="251511B0"/>
    <w:rsid w:val="25226783"/>
    <w:rsid w:val="25237927"/>
    <w:rsid w:val="25255581"/>
    <w:rsid w:val="252A49D2"/>
    <w:rsid w:val="253016D3"/>
    <w:rsid w:val="25344017"/>
    <w:rsid w:val="25391DBE"/>
    <w:rsid w:val="253A5AEC"/>
    <w:rsid w:val="253F3D3F"/>
    <w:rsid w:val="254B2A90"/>
    <w:rsid w:val="256626F4"/>
    <w:rsid w:val="256A14C4"/>
    <w:rsid w:val="257E483F"/>
    <w:rsid w:val="25801EAC"/>
    <w:rsid w:val="258319B6"/>
    <w:rsid w:val="258C3ADE"/>
    <w:rsid w:val="258E410D"/>
    <w:rsid w:val="25911149"/>
    <w:rsid w:val="25936C1C"/>
    <w:rsid w:val="25937FAF"/>
    <w:rsid w:val="25952B38"/>
    <w:rsid w:val="25991FFF"/>
    <w:rsid w:val="25997D97"/>
    <w:rsid w:val="25A633A9"/>
    <w:rsid w:val="25AB6950"/>
    <w:rsid w:val="25AE3D90"/>
    <w:rsid w:val="25AF0A0E"/>
    <w:rsid w:val="25B06E17"/>
    <w:rsid w:val="25B356F8"/>
    <w:rsid w:val="25C30AB8"/>
    <w:rsid w:val="25C43A1F"/>
    <w:rsid w:val="25D019AE"/>
    <w:rsid w:val="25D87700"/>
    <w:rsid w:val="25EB2C6A"/>
    <w:rsid w:val="25EF109C"/>
    <w:rsid w:val="25F32BA6"/>
    <w:rsid w:val="25F624CA"/>
    <w:rsid w:val="25F97D12"/>
    <w:rsid w:val="2608240D"/>
    <w:rsid w:val="260B508D"/>
    <w:rsid w:val="260C3042"/>
    <w:rsid w:val="26196FBD"/>
    <w:rsid w:val="26255256"/>
    <w:rsid w:val="262733E3"/>
    <w:rsid w:val="263110CF"/>
    <w:rsid w:val="26363EDE"/>
    <w:rsid w:val="263918B6"/>
    <w:rsid w:val="263E4B2E"/>
    <w:rsid w:val="26431C9D"/>
    <w:rsid w:val="264B49B7"/>
    <w:rsid w:val="26503628"/>
    <w:rsid w:val="26561E33"/>
    <w:rsid w:val="2656294C"/>
    <w:rsid w:val="265E696D"/>
    <w:rsid w:val="266137F6"/>
    <w:rsid w:val="26621611"/>
    <w:rsid w:val="26642012"/>
    <w:rsid w:val="26663375"/>
    <w:rsid w:val="26694C78"/>
    <w:rsid w:val="266D5554"/>
    <w:rsid w:val="267004C6"/>
    <w:rsid w:val="26721947"/>
    <w:rsid w:val="267721FD"/>
    <w:rsid w:val="26775053"/>
    <w:rsid w:val="26863C1F"/>
    <w:rsid w:val="268D2614"/>
    <w:rsid w:val="2691044C"/>
    <w:rsid w:val="269431EC"/>
    <w:rsid w:val="269E48D1"/>
    <w:rsid w:val="26A53FAF"/>
    <w:rsid w:val="26B276ED"/>
    <w:rsid w:val="26B41EAB"/>
    <w:rsid w:val="26BF1EED"/>
    <w:rsid w:val="26C32FA8"/>
    <w:rsid w:val="26CD3E37"/>
    <w:rsid w:val="26CE5B33"/>
    <w:rsid w:val="26D01026"/>
    <w:rsid w:val="26D116FF"/>
    <w:rsid w:val="26D245D2"/>
    <w:rsid w:val="26D40933"/>
    <w:rsid w:val="26D77AEB"/>
    <w:rsid w:val="26DF1B59"/>
    <w:rsid w:val="26E30100"/>
    <w:rsid w:val="26E92B9A"/>
    <w:rsid w:val="26EC3A40"/>
    <w:rsid w:val="26EC4129"/>
    <w:rsid w:val="26EF6D5C"/>
    <w:rsid w:val="26FB2184"/>
    <w:rsid w:val="27072518"/>
    <w:rsid w:val="270A66A3"/>
    <w:rsid w:val="270C7454"/>
    <w:rsid w:val="270E0E5C"/>
    <w:rsid w:val="27113A91"/>
    <w:rsid w:val="271569F0"/>
    <w:rsid w:val="27214E95"/>
    <w:rsid w:val="272E380C"/>
    <w:rsid w:val="272E72ED"/>
    <w:rsid w:val="273D5BE6"/>
    <w:rsid w:val="273F21BD"/>
    <w:rsid w:val="273F3A77"/>
    <w:rsid w:val="274A1FF8"/>
    <w:rsid w:val="275773E8"/>
    <w:rsid w:val="276324AE"/>
    <w:rsid w:val="27655538"/>
    <w:rsid w:val="27662A78"/>
    <w:rsid w:val="276C5384"/>
    <w:rsid w:val="276E1B15"/>
    <w:rsid w:val="27716DAB"/>
    <w:rsid w:val="27770D64"/>
    <w:rsid w:val="277C1FD8"/>
    <w:rsid w:val="277C317A"/>
    <w:rsid w:val="2788214E"/>
    <w:rsid w:val="278A3397"/>
    <w:rsid w:val="278A4F34"/>
    <w:rsid w:val="2792581D"/>
    <w:rsid w:val="27961113"/>
    <w:rsid w:val="27965B83"/>
    <w:rsid w:val="27972B21"/>
    <w:rsid w:val="279C4EFE"/>
    <w:rsid w:val="27A17A8C"/>
    <w:rsid w:val="27A77228"/>
    <w:rsid w:val="27A81F63"/>
    <w:rsid w:val="27AA11A0"/>
    <w:rsid w:val="27AB1F81"/>
    <w:rsid w:val="27C4580D"/>
    <w:rsid w:val="27CA212F"/>
    <w:rsid w:val="27CC024F"/>
    <w:rsid w:val="27D417C3"/>
    <w:rsid w:val="27DD2883"/>
    <w:rsid w:val="27E21A5F"/>
    <w:rsid w:val="27E65DF7"/>
    <w:rsid w:val="27E72D97"/>
    <w:rsid w:val="27EA610E"/>
    <w:rsid w:val="27F217F5"/>
    <w:rsid w:val="27F4226E"/>
    <w:rsid w:val="27FF6E5C"/>
    <w:rsid w:val="28006F68"/>
    <w:rsid w:val="28021CB2"/>
    <w:rsid w:val="28051DA9"/>
    <w:rsid w:val="28056708"/>
    <w:rsid w:val="280A38B7"/>
    <w:rsid w:val="2814570E"/>
    <w:rsid w:val="28190237"/>
    <w:rsid w:val="28281479"/>
    <w:rsid w:val="2835591A"/>
    <w:rsid w:val="283703C7"/>
    <w:rsid w:val="28374D14"/>
    <w:rsid w:val="283806A0"/>
    <w:rsid w:val="283B48D2"/>
    <w:rsid w:val="283C00F3"/>
    <w:rsid w:val="2841679B"/>
    <w:rsid w:val="284A7C88"/>
    <w:rsid w:val="284B0B72"/>
    <w:rsid w:val="285E13B1"/>
    <w:rsid w:val="28627132"/>
    <w:rsid w:val="286B5BF5"/>
    <w:rsid w:val="28757D8E"/>
    <w:rsid w:val="2877267A"/>
    <w:rsid w:val="287F6CA0"/>
    <w:rsid w:val="288E178F"/>
    <w:rsid w:val="28995DA5"/>
    <w:rsid w:val="28A07D03"/>
    <w:rsid w:val="28A76CE7"/>
    <w:rsid w:val="28C039B4"/>
    <w:rsid w:val="28C35B96"/>
    <w:rsid w:val="28DD32E7"/>
    <w:rsid w:val="29117D15"/>
    <w:rsid w:val="29152B2E"/>
    <w:rsid w:val="2919405D"/>
    <w:rsid w:val="291C02C1"/>
    <w:rsid w:val="291D18C5"/>
    <w:rsid w:val="29241871"/>
    <w:rsid w:val="29255DAF"/>
    <w:rsid w:val="29297C21"/>
    <w:rsid w:val="292B5E9B"/>
    <w:rsid w:val="2931567B"/>
    <w:rsid w:val="29321C20"/>
    <w:rsid w:val="293A6CD3"/>
    <w:rsid w:val="294237C9"/>
    <w:rsid w:val="294A43C7"/>
    <w:rsid w:val="2951008A"/>
    <w:rsid w:val="295A2F9C"/>
    <w:rsid w:val="296E65D1"/>
    <w:rsid w:val="297039DE"/>
    <w:rsid w:val="29713728"/>
    <w:rsid w:val="29722307"/>
    <w:rsid w:val="2972328C"/>
    <w:rsid w:val="29725426"/>
    <w:rsid w:val="29737B13"/>
    <w:rsid w:val="29760494"/>
    <w:rsid w:val="297936DB"/>
    <w:rsid w:val="297F28DA"/>
    <w:rsid w:val="2981079A"/>
    <w:rsid w:val="29834F6D"/>
    <w:rsid w:val="298A6312"/>
    <w:rsid w:val="299B7DAB"/>
    <w:rsid w:val="29A674D5"/>
    <w:rsid w:val="29A738C2"/>
    <w:rsid w:val="29A92B50"/>
    <w:rsid w:val="29AA69E0"/>
    <w:rsid w:val="29AA6DD1"/>
    <w:rsid w:val="2A02235D"/>
    <w:rsid w:val="2A022C2F"/>
    <w:rsid w:val="2A0E6FE2"/>
    <w:rsid w:val="2A10257F"/>
    <w:rsid w:val="2A152DC9"/>
    <w:rsid w:val="2A1801DD"/>
    <w:rsid w:val="2A253C2E"/>
    <w:rsid w:val="2A266B2C"/>
    <w:rsid w:val="2A3668AA"/>
    <w:rsid w:val="2A3F18EB"/>
    <w:rsid w:val="2A431FE2"/>
    <w:rsid w:val="2A4D375E"/>
    <w:rsid w:val="2A6041CE"/>
    <w:rsid w:val="2A6138D0"/>
    <w:rsid w:val="2A641897"/>
    <w:rsid w:val="2A6422D2"/>
    <w:rsid w:val="2A6546D7"/>
    <w:rsid w:val="2A662639"/>
    <w:rsid w:val="2A6A3C37"/>
    <w:rsid w:val="2A6E5D13"/>
    <w:rsid w:val="2A8F5D94"/>
    <w:rsid w:val="2A907AD8"/>
    <w:rsid w:val="2A992064"/>
    <w:rsid w:val="2A9D331D"/>
    <w:rsid w:val="2A9E22CB"/>
    <w:rsid w:val="2A9E239A"/>
    <w:rsid w:val="2A9F3D68"/>
    <w:rsid w:val="2AA842F4"/>
    <w:rsid w:val="2AAB57DD"/>
    <w:rsid w:val="2AB2420C"/>
    <w:rsid w:val="2AB4708C"/>
    <w:rsid w:val="2ABE0AE2"/>
    <w:rsid w:val="2AC36A30"/>
    <w:rsid w:val="2AD33125"/>
    <w:rsid w:val="2ADD4E58"/>
    <w:rsid w:val="2AF30523"/>
    <w:rsid w:val="2AF364E2"/>
    <w:rsid w:val="2AF53B28"/>
    <w:rsid w:val="2AF64D1D"/>
    <w:rsid w:val="2AF716F4"/>
    <w:rsid w:val="2AFA7B85"/>
    <w:rsid w:val="2B1138D4"/>
    <w:rsid w:val="2B1E549D"/>
    <w:rsid w:val="2B201C1D"/>
    <w:rsid w:val="2B250101"/>
    <w:rsid w:val="2B326E48"/>
    <w:rsid w:val="2B3644D9"/>
    <w:rsid w:val="2B3A6942"/>
    <w:rsid w:val="2B453BEC"/>
    <w:rsid w:val="2B466B14"/>
    <w:rsid w:val="2B51056B"/>
    <w:rsid w:val="2B571F34"/>
    <w:rsid w:val="2B5E7388"/>
    <w:rsid w:val="2B68707F"/>
    <w:rsid w:val="2B6C7699"/>
    <w:rsid w:val="2B723B3D"/>
    <w:rsid w:val="2B7A0728"/>
    <w:rsid w:val="2B7A355C"/>
    <w:rsid w:val="2B7E5F58"/>
    <w:rsid w:val="2B8733E8"/>
    <w:rsid w:val="2B9B6620"/>
    <w:rsid w:val="2BA24592"/>
    <w:rsid w:val="2BA43C4B"/>
    <w:rsid w:val="2BA7503E"/>
    <w:rsid w:val="2BA845A7"/>
    <w:rsid w:val="2BB1047C"/>
    <w:rsid w:val="2BB93B48"/>
    <w:rsid w:val="2BC47440"/>
    <w:rsid w:val="2BC67382"/>
    <w:rsid w:val="2BC81E06"/>
    <w:rsid w:val="2BCD15C4"/>
    <w:rsid w:val="2BD13674"/>
    <w:rsid w:val="2BD37F60"/>
    <w:rsid w:val="2BD9220F"/>
    <w:rsid w:val="2BDD286B"/>
    <w:rsid w:val="2BE049D4"/>
    <w:rsid w:val="2BFF6BC1"/>
    <w:rsid w:val="2C084285"/>
    <w:rsid w:val="2C185D78"/>
    <w:rsid w:val="2C1C4186"/>
    <w:rsid w:val="2C1C46E3"/>
    <w:rsid w:val="2C2F0B49"/>
    <w:rsid w:val="2C391EDA"/>
    <w:rsid w:val="2C451ED9"/>
    <w:rsid w:val="2C4A574C"/>
    <w:rsid w:val="2C526A08"/>
    <w:rsid w:val="2C596E16"/>
    <w:rsid w:val="2C5A43F5"/>
    <w:rsid w:val="2C5B580B"/>
    <w:rsid w:val="2C6114F5"/>
    <w:rsid w:val="2C643ECD"/>
    <w:rsid w:val="2C6859DA"/>
    <w:rsid w:val="2C7132EE"/>
    <w:rsid w:val="2C7150A6"/>
    <w:rsid w:val="2C755D25"/>
    <w:rsid w:val="2C806952"/>
    <w:rsid w:val="2C822254"/>
    <w:rsid w:val="2C8A52D2"/>
    <w:rsid w:val="2C9D4C9B"/>
    <w:rsid w:val="2CAC4A81"/>
    <w:rsid w:val="2CB83106"/>
    <w:rsid w:val="2CC13372"/>
    <w:rsid w:val="2CC46CFF"/>
    <w:rsid w:val="2CC57D04"/>
    <w:rsid w:val="2CC83FD2"/>
    <w:rsid w:val="2CC90123"/>
    <w:rsid w:val="2CCB086A"/>
    <w:rsid w:val="2CD56C44"/>
    <w:rsid w:val="2CDF0146"/>
    <w:rsid w:val="2CEA351B"/>
    <w:rsid w:val="2CEF1989"/>
    <w:rsid w:val="2D0423E0"/>
    <w:rsid w:val="2D0D2343"/>
    <w:rsid w:val="2D103F97"/>
    <w:rsid w:val="2D193A16"/>
    <w:rsid w:val="2D1C2081"/>
    <w:rsid w:val="2D31304A"/>
    <w:rsid w:val="2D4011BD"/>
    <w:rsid w:val="2D405A7F"/>
    <w:rsid w:val="2D416B0D"/>
    <w:rsid w:val="2D51363D"/>
    <w:rsid w:val="2D566B20"/>
    <w:rsid w:val="2D5B5836"/>
    <w:rsid w:val="2D5E1E80"/>
    <w:rsid w:val="2D66224F"/>
    <w:rsid w:val="2D6D7DC0"/>
    <w:rsid w:val="2D701846"/>
    <w:rsid w:val="2D735BD4"/>
    <w:rsid w:val="2D735D85"/>
    <w:rsid w:val="2D7B446C"/>
    <w:rsid w:val="2D88324E"/>
    <w:rsid w:val="2D8F5C14"/>
    <w:rsid w:val="2D914F32"/>
    <w:rsid w:val="2DA14DDD"/>
    <w:rsid w:val="2DA347A3"/>
    <w:rsid w:val="2DA37656"/>
    <w:rsid w:val="2DA41B4C"/>
    <w:rsid w:val="2DB82541"/>
    <w:rsid w:val="2DB841E5"/>
    <w:rsid w:val="2DBD6509"/>
    <w:rsid w:val="2DC8202E"/>
    <w:rsid w:val="2DC95CD1"/>
    <w:rsid w:val="2DC96118"/>
    <w:rsid w:val="2DCA46C1"/>
    <w:rsid w:val="2DCE4D1B"/>
    <w:rsid w:val="2DCF6F7F"/>
    <w:rsid w:val="2DD16BD4"/>
    <w:rsid w:val="2DD63F3A"/>
    <w:rsid w:val="2DDD4500"/>
    <w:rsid w:val="2DDE6D5B"/>
    <w:rsid w:val="2DE4308B"/>
    <w:rsid w:val="2DE85760"/>
    <w:rsid w:val="2DF30293"/>
    <w:rsid w:val="2DFA5DE5"/>
    <w:rsid w:val="2E082F46"/>
    <w:rsid w:val="2E0967D7"/>
    <w:rsid w:val="2E1B3771"/>
    <w:rsid w:val="2E1F6C27"/>
    <w:rsid w:val="2E205558"/>
    <w:rsid w:val="2E290D0B"/>
    <w:rsid w:val="2E2E7787"/>
    <w:rsid w:val="2E2F3699"/>
    <w:rsid w:val="2E3103C0"/>
    <w:rsid w:val="2E347805"/>
    <w:rsid w:val="2E354BB8"/>
    <w:rsid w:val="2E35644F"/>
    <w:rsid w:val="2E357269"/>
    <w:rsid w:val="2E3C2BB7"/>
    <w:rsid w:val="2E3E387B"/>
    <w:rsid w:val="2E4D7951"/>
    <w:rsid w:val="2E4E4DA2"/>
    <w:rsid w:val="2E521B64"/>
    <w:rsid w:val="2E543B81"/>
    <w:rsid w:val="2E693E3B"/>
    <w:rsid w:val="2E6947FB"/>
    <w:rsid w:val="2E71704E"/>
    <w:rsid w:val="2E7305F6"/>
    <w:rsid w:val="2E8106B9"/>
    <w:rsid w:val="2E8269FC"/>
    <w:rsid w:val="2E8C0A87"/>
    <w:rsid w:val="2E8D30DF"/>
    <w:rsid w:val="2E9109F3"/>
    <w:rsid w:val="2E9705F5"/>
    <w:rsid w:val="2EAD351B"/>
    <w:rsid w:val="2EAE3598"/>
    <w:rsid w:val="2EB65226"/>
    <w:rsid w:val="2EB97120"/>
    <w:rsid w:val="2EC168A4"/>
    <w:rsid w:val="2EC76B1F"/>
    <w:rsid w:val="2EC94A4D"/>
    <w:rsid w:val="2ECC0FAC"/>
    <w:rsid w:val="2ECC416C"/>
    <w:rsid w:val="2EE05ED5"/>
    <w:rsid w:val="2EE267C7"/>
    <w:rsid w:val="2EE54C65"/>
    <w:rsid w:val="2EF15FE8"/>
    <w:rsid w:val="2EF55C13"/>
    <w:rsid w:val="2EFB45F7"/>
    <w:rsid w:val="2EFF6FA8"/>
    <w:rsid w:val="2F000220"/>
    <w:rsid w:val="2F025D7C"/>
    <w:rsid w:val="2F0802A0"/>
    <w:rsid w:val="2F0879F5"/>
    <w:rsid w:val="2F16691A"/>
    <w:rsid w:val="2F1868D0"/>
    <w:rsid w:val="2F204D4E"/>
    <w:rsid w:val="2F223D2C"/>
    <w:rsid w:val="2F250DFC"/>
    <w:rsid w:val="2F2965ED"/>
    <w:rsid w:val="2F337398"/>
    <w:rsid w:val="2F413598"/>
    <w:rsid w:val="2F486F33"/>
    <w:rsid w:val="2F4F49BB"/>
    <w:rsid w:val="2F5405F4"/>
    <w:rsid w:val="2F662FB5"/>
    <w:rsid w:val="2F6E6D8C"/>
    <w:rsid w:val="2F6F35F2"/>
    <w:rsid w:val="2F7A255C"/>
    <w:rsid w:val="2F7C30F5"/>
    <w:rsid w:val="2F7D151B"/>
    <w:rsid w:val="2F8200EB"/>
    <w:rsid w:val="2F9135A1"/>
    <w:rsid w:val="2F963350"/>
    <w:rsid w:val="2F9779DA"/>
    <w:rsid w:val="2FB465EB"/>
    <w:rsid w:val="2FB63B58"/>
    <w:rsid w:val="2FB95A33"/>
    <w:rsid w:val="2FC62616"/>
    <w:rsid w:val="2FCB1CA7"/>
    <w:rsid w:val="2FCB5D05"/>
    <w:rsid w:val="2FCC289A"/>
    <w:rsid w:val="2FD63528"/>
    <w:rsid w:val="2FD80397"/>
    <w:rsid w:val="2FDA5B4B"/>
    <w:rsid w:val="2FE02555"/>
    <w:rsid w:val="2FE12B3C"/>
    <w:rsid w:val="2FE4734E"/>
    <w:rsid w:val="2FEC264C"/>
    <w:rsid w:val="2FF77D6E"/>
    <w:rsid w:val="2FFA0754"/>
    <w:rsid w:val="30021B51"/>
    <w:rsid w:val="30084F40"/>
    <w:rsid w:val="300C7DA9"/>
    <w:rsid w:val="300F59E1"/>
    <w:rsid w:val="3011270B"/>
    <w:rsid w:val="3015285E"/>
    <w:rsid w:val="30174ADD"/>
    <w:rsid w:val="301775DB"/>
    <w:rsid w:val="301C23B4"/>
    <w:rsid w:val="301F69C5"/>
    <w:rsid w:val="302069DF"/>
    <w:rsid w:val="302134EF"/>
    <w:rsid w:val="302A7867"/>
    <w:rsid w:val="303F7CA4"/>
    <w:rsid w:val="30414952"/>
    <w:rsid w:val="304372C1"/>
    <w:rsid w:val="30473890"/>
    <w:rsid w:val="30473AEE"/>
    <w:rsid w:val="304F6AA9"/>
    <w:rsid w:val="3050625E"/>
    <w:rsid w:val="306843AC"/>
    <w:rsid w:val="3071153B"/>
    <w:rsid w:val="3084329D"/>
    <w:rsid w:val="30857AFA"/>
    <w:rsid w:val="308603A9"/>
    <w:rsid w:val="30861C79"/>
    <w:rsid w:val="308A653B"/>
    <w:rsid w:val="308D18BE"/>
    <w:rsid w:val="309502D1"/>
    <w:rsid w:val="30960CCC"/>
    <w:rsid w:val="309B6237"/>
    <w:rsid w:val="30A3702C"/>
    <w:rsid w:val="30B34A4D"/>
    <w:rsid w:val="30B6423F"/>
    <w:rsid w:val="30BD0D43"/>
    <w:rsid w:val="30C30C08"/>
    <w:rsid w:val="30C72293"/>
    <w:rsid w:val="30C92769"/>
    <w:rsid w:val="30CB256A"/>
    <w:rsid w:val="30CF1C17"/>
    <w:rsid w:val="30D15BA0"/>
    <w:rsid w:val="30D5596A"/>
    <w:rsid w:val="30D8352D"/>
    <w:rsid w:val="30D85B23"/>
    <w:rsid w:val="30EB1710"/>
    <w:rsid w:val="30EF3700"/>
    <w:rsid w:val="30F665C7"/>
    <w:rsid w:val="30F90C76"/>
    <w:rsid w:val="30FA4397"/>
    <w:rsid w:val="310166E8"/>
    <w:rsid w:val="310350F7"/>
    <w:rsid w:val="31045FC1"/>
    <w:rsid w:val="31136E45"/>
    <w:rsid w:val="311E12E9"/>
    <w:rsid w:val="311E1B50"/>
    <w:rsid w:val="31273B9F"/>
    <w:rsid w:val="312B7C81"/>
    <w:rsid w:val="312E6A1F"/>
    <w:rsid w:val="3135452A"/>
    <w:rsid w:val="3137579D"/>
    <w:rsid w:val="31383CFA"/>
    <w:rsid w:val="31410217"/>
    <w:rsid w:val="31495980"/>
    <w:rsid w:val="314E4C29"/>
    <w:rsid w:val="31550F21"/>
    <w:rsid w:val="3155493A"/>
    <w:rsid w:val="31555219"/>
    <w:rsid w:val="31644746"/>
    <w:rsid w:val="31655553"/>
    <w:rsid w:val="316740A5"/>
    <w:rsid w:val="316B3EF7"/>
    <w:rsid w:val="31700D0B"/>
    <w:rsid w:val="31706A4A"/>
    <w:rsid w:val="317351EC"/>
    <w:rsid w:val="317367E2"/>
    <w:rsid w:val="317A5007"/>
    <w:rsid w:val="31802B91"/>
    <w:rsid w:val="31886216"/>
    <w:rsid w:val="318D6EE4"/>
    <w:rsid w:val="318E31DE"/>
    <w:rsid w:val="31972CF3"/>
    <w:rsid w:val="319A3F19"/>
    <w:rsid w:val="31A107E4"/>
    <w:rsid w:val="31A93277"/>
    <w:rsid w:val="31B4765C"/>
    <w:rsid w:val="31BA13BF"/>
    <w:rsid w:val="31C9253F"/>
    <w:rsid w:val="31CA0EDE"/>
    <w:rsid w:val="31CB2BA5"/>
    <w:rsid w:val="31CF2BBF"/>
    <w:rsid w:val="31D500FC"/>
    <w:rsid w:val="31D763E9"/>
    <w:rsid w:val="31DB7526"/>
    <w:rsid w:val="31E0297E"/>
    <w:rsid w:val="31EA3DD2"/>
    <w:rsid w:val="31EB49CA"/>
    <w:rsid w:val="31EC10D3"/>
    <w:rsid w:val="31FB5EDD"/>
    <w:rsid w:val="31FE5946"/>
    <w:rsid w:val="32117239"/>
    <w:rsid w:val="32156874"/>
    <w:rsid w:val="321A178D"/>
    <w:rsid w:val="323C12D1"/>
    <w:rsid w:val="32403049"/>
    <w:rsid w:val="32466979"/>
    <w:rsid w:val="32475C1E"/>
    <w:rsid w:val="32485C02"/>
    <w:rsid w:val="32561537"/>
    <w:rsid w:val="32580267"/>
    <w:rsid w:val="326F290E"/>
    <w:rsid w:val="326F6F43"/>
    <w:rsid w:val="327308D3"/>
    <w:rsid w:val="327735D4"/>
    <w:rsid w:val="327B73A4"/>
    <w:rsid w:val="328256F2"/>
    <w:rsid w:val="328B5C57"/>
    <w:rsid w:val="329356B1"/>
    <w:rsid w:val="329B3418"/>
    <w:rsid w:val="329E1FB3"/>
    <w:rsid w:val="329F58D0"/>
    <w:rsid w:val="32A77209"/>
    <w:rsid w:val="32AA0990"/>
    <w:rsid w:val="32AB2ACF"/>
    <w:rsid w:val="32B159D9"/>
    <w:rsid w:val="32B270C3"/>
    <w:rsid w:val="32B328F4"/>
    <w:rsid w:val="32B839EA"/>
    <w:rsid w:val="32C01009"/>
    <w:rsid w:val="32D25AC4"/>
    <w:rsid w:val="32D40F9A"/>
    <w:rsid w:val="32D438CE"/>
    <w:rsid w:val="32D8320C"/>
    <w:rsid w:val="32D927F5"/>
    <w:rsid w:val="32DA500F"/>
    <w:rsid w:val="32DD170A"/>
    <w:rsid w:val="32DE3D28"/>
    <w:rsid w:val="32ED6766"/>
    <w:rsid w:val="32F93F45"/>
    <w:rsid w:val="32FB3A83"/>
    <w:rsid w:val="32FE03B5"/>
    <w:rsid w:val="330316D4"/>
    <w:rsid w:val="3304078D"/>
    <w:rsid w:val="331525BD"/>
    <w:rsid w:val="3319567A"/>
    <w:rsid w:val="3327504F"/>
    <w:rsid w:val="332E0A53"/>
    <w:rsid w:val="332F7983"/>
    <w:rsid w:val="333744B0"/>
    <w:rsid w:val="333855F0"/>
    <w:rsid w:val="333D795C"/>
    <w:rsid w:val="333F4D66"/>
    <w:rsid w:val="33442524"/>
    <w:rsid w:val="334A252E"/>
    <w:rsid w:val="334C7F1F"/>
    <w:rsid w:val="334D6566"/>
    <w:rsid w:val="335544F9"/>
    <w:rsid w:val="3357440D"/>
    <w:rsid w:val="33663017"/>
    <w:rsid w:val="33684BAD"/>
    <w:rsid w:val="336A68DB"/>
    <w:rsid w:val="33712D5F"/>
    <w:rsid w:val="337408A2"/>
    <w:rsid w:val="33906E9B"/>
    <w:rsid w:val="33922B7E"/>
    <w:rsid w:val="33925679"/>
    <w:rsid w:val="33926D4F"/>
    <w:rsid w:val="33961108"/>
    <w:rsid w:val="33962075"/>
    <w:rsid w:val="339D1DB6"/>
    <w:rsid w:val="33A515F9"/>
    <w:rsid w:val="33A9746C"/>
    <w:rsid w:val="33B24875"/>
    <w:rsid w:val="33B270E4"/>
    <w:rsid w:val="33B615BC"/>
    <w:rsid w:val="33B9080B"/>
    <w:rsid w:val="33BC4D40"/>
    <w:rsid w:val="33C06EFA"/>
    <w:rsid w:val="33C37EBE"/>
    <w:rsid w:val="33C678AD"/>
    <w:rsid w:val="33D327A5"/>
    <w:rsid w:val="33D37E12"/>
    <w:rsid w:val="33D53B8D"/>
    <w:rsid w:val="33D6583E"/>
    <w:rsid w:val="33DE6522"/>
    <w:rsid w:val="33E64A11"/>
    <w:rsid w:val="33E76D4E"/>
    <w:rsid w:val="33E8506B"/>
    <w:rsid w:val="33F20923"/>
    <w:rsid w:val="33F74AC4"/>
    <w:rsid w:val="33FB51DC"/>
    <w:rsid w:val="33FD4585"/>
    <w:rsid w:val="34005A7A"/>
    <w:rsid w:val="34080051"/>
    <w:rsid w:val="34162D62"/>
    <w:rsid w:val="34171BEA"/>
    <w:rsid w:val="341C4957"/>
    <w:rsid w:val="341F2393"/>
    <w:rsid w:val="3431197D"/>
    <w:rsid w:val="34370B01"/>
    <w:rsid w:val="34462E66"/>
    <w:rsid w:val="3446525E"/>
    <w:rsid w:val="34493C4B"/>
    <w:rsid w:val="344D4D15"/>
    <w:rsid w:val="34507034"/>
    <w:rsid w:val="345632D9"/>
    <w:rsid w:val="34587A69"/>
    <w:rsid w:val="345E11D8"/>
    <w:rsid w:val="34674481"/>
    <w:rsid w:val="34681E8C"/>
    <w:rsid w:val="346F0C7C"/>
    <w:rsid w:val="347F708D"/>
    <w:rsid w:val="348E196F"/>
    <w:rsid w:val="34924709"/>
    <w:rsid w:val="349631EE"/>
    <w:rsid w:val="34977297"/>
    <w:rsid w:val="34A148B4"/>
    <w:rsid w:val="34A27855"/>
    <w:rsid w:val="34AC7BBC"/>
    <w:rsid w:val="34AF34FB"/>
    <w:rsid w:val="34C10072"/>
    <w:rsid w:val="34C77578"/>
    <w:rsid w:val="34C92DDB"/>
    <w:rsid w:val="34D75F95"/>
    <w:rsid w:val="34DB3309"/>
    <w:rsid w:val="34DE432F"/>
    <w:rsid w:val="34EA6F5F"/>
    <w:rsid w:val="34EC60B6"/>
    <w:rsid w:val="34F3038E"/>
    <w:rsid w:val="34F51844"/>
    <w:rsid w:val="34F75F98"/>
    <w:rsid w:val="34FA47CD"/>
    <w:rsid w:val="34FA63E3"/>
    <w:rsid w:val="35041924"/>
    <w:rsid w:val="35112FAA"/>
    <w:rsid w:val="351C7B56"/>
    <w:rsid w:val="35251B72"/>
    <w:rsid w:val="352849C7"/>
    <w:rsid w:val="352C2E2C"/>
    <w:rsid w:val="353376E2"/>
    <w:rsid w:val="35364BAD"/>
    <w:rsid w:val="35372E79"/>
    <w:rsid w:val="354F4C6B"/>
    <w:rsid w:val="35567D0E"/>
    <w:rsid w:val="356144FC"/>
    <w:rsid w:val="35694AC5"/>
    <w:rsid w:val="35697889"/>
    <w:rsid w:val="356D220A"/>
    <w:rsid w:val="357F7236"/>
    <w:rsid w:val="3580176A"/>
    <w:rsid w:val="35881CF3"/>
    <w:rsid w:val="358A37C5"/>
    <w:rsid w:val="3590227A"/>
    <w:rsid w:val="3596013A"/>
    <w:rsid w:val="35966F91"/>
    <w:rsid w:val="359812CC"/>
    <w:rsid w:val="359D7AC2"/>
    <w:rsid w:val="35A10273"/>
    <w:rsid w:val="35AF258E"/>
    <w:rsid w:val="35BA32FA"/>
    <w:rsid w:val="35BC489C"/>
    <w:rsid w:val="35BF31E4"/>
    <w:rsid w:val="35D021DE"/>
    <w:rsid w:val="35DC4F57"/>
    <w:rsid w:val="35EA1D85"/>
    <w:rsid w:val="35ED3013"/>
    <w:rsid w:val="35F34531"/>
    <w:rsid w:val="360520A7"/>
    <w:rsid w:val="361275B1"/>
    <w:rsid w:val="36195817"/>
    <w:rsid w:val="361B3756"/>
    <w:rsid w:val="361C7DE2"/>
    <w:rsid w:val="362075BF"/>
    <w:rsid w:val="362137F2"/>
    <w:rsid w:val="36263550"/>
    <w:rsid w:val="3631371C"/>
    <w:rsid w:val="363E5DF9"/>
    <w:rsid w:val="36434A56"/>
    <w:rsid w:val="36435234"/>
    <w:rsid w:val="3655303C"/>
    <w:rsid w:val="365B1BF1"/>
    <w:rsid w:val="365D2BEF"/>
    <w:rsid w:val="36621DCB"/>
    <w:rsid w:val="3672002C"/>
    <w:rsid w:val="3674061A"/>
    <w:rsid w:val="36785BEA"/>
    <w:rsid w:val="367E325E"/>
    <w:rsid w:val="367F4F3D"/>
    <w:rsid w:val="368A5033"/>
    <w:rsid w:val="368C037B"/>
    <w:rsid w:val="368C28A2"/>
    <w:rsid w:val="36976C4A"/>
    <w:rsid w:val="369A06C1"/>
    <w:rsid w:val="369A2A90"/>
    <w:rsid w:val="36A22266"/>
    <w:rsid w:val="36A44F9A"/>
    <w:rsid w:val="36AE7336"/>
    <w:rsid w:val="36B148ED"/>
    <w:rsid w:val="36B915E5"/>
    <w:rsid w:val="36BE030B"/>
    <w:rsid w:val="36BF7685"/>
    <w:rsid w:val="36CB3292"/>
    <w:rsid w:val="36D73297"/>
    <w:rsid w:val="36DC399F"/>
    <w:rsid w:val="36DE135E"/>
    <w:rsid w:val="36E067C1"/>
    <w:rsid w:val="36E378C2"/>
    <w:rsid w:val="36E9036C"/>
    <w:rsid w:val="36E93A38"/>
    <w:rsid w:val="36F53C32"/>
    <w:rsid w:val="36FF16B0"/>
    <w:rsid w:val="37024674"/>
    <w:rsid w:val="370527ED"/>
    <w:rsid w:val="370608DF"/>
    <w:rsid w:val="3708121A"/>
    <w:rsid w:val="370A185D"/>
    <w:rsid w:val="370C0643"/>
    <w:rsid w:val="3718489E"/>
    <w:rsid w:val="371B230A"/>
    <w:rsid w:val="37210A25"/>
    <w:rsid w:val="3728184E"/>
    <w:rsid w:val="372B48EE"/>
    <w:rsid w:val="372D7B30"/>
    <w:rsid w:val="3736409F"/>
    <w:rsid w:val="3745688E"/>
    <w:rsid w:val="37476DD4"/>
    <w:rsid w:val="37481F83"/>
    <w:rsid w:val="37493AB0"/>
    <w:rsid w:val="37584B8F"/>
    <w:rsid w:val="37604FC9"/>
    <w:rsid w:val="3762243E"/>
    <w:rsid w:val="37680CE9"/>
    <w:rsid w:val="37772FB8"/>
    <w:rsid w:val="3778024A"/>
    <w:rsid w:val="377E38F4"/>
    <w:rsid w:val="37884451"/>
    <w:rsid w:val="37884A02"/>
    <w:rsid w:val="379538C7"/>
    <w:rsid w:val="379624BC"/>
    <w:rsid w:val="37963FD5"/>
    <w:rsid w:val="37992EFA"/>
    <w:rsid w:val="379A40F4"/>
    <w:rsid w:val="379D06B3"/>
    <w:rsid w:val="379E4265"/>
    <w:rsid w:val="37B54580"/>
    <w:rsid w:val="37C9151F"/>
    <w:rsid w:val="37CA57A6"/>
    <w:rsid w:val="37DE1AE5"/>
    <w:rsid w:val="37E20CC9"/>
    <w:rsid w:val="37E86ADA"/>
    <w:rsid w:val="37EA0D1D"/>
    <w:rsid w:val="37F06B38"/>
    <w:rsid w:val="37FA6A5A"/>
    <w:rsid w:val="37FC5B18"/>
    <w:rsid w:val="38060F3A"/>
    <w:rsid w:val="380677DD"/>
    <w:rsid w:val="380B6B34"/>
    <w:rsid w:val="380C690C"/>
    <w:rsid w:val="380D5B9E"/>
    <w:rsid w:val="3814146F"/>
    <w:rsid w:val="3814487E"/>
    <w:rsid w:val="38195BB8"/>
    <w:rsid w:val="381A0DD0"/>
    <w:rsid w:val="381F5760"/>
    <w:rsid w:val="38246CC4"/>
    <w:rsid w:val="383471A3"/>
    <w:rsid w:val="383818D1"/>
    <w:rsid w:val="383F666B"/>
    <w:rsid w:val="383F7A68"/>
    <w:rsid w:val="384020B0"/>
    <w:rsid w:val="384261D2"/>
    <w:rsid w:val="38464834"/>
    <w:rsid w:val="38643F4E"/>
    <w:rsid w:val="38692F5F"/>
    <w:rsid w:val="386C08F6"/>
    <w:rsid w:val="387169BA"/>
    <w:rsid w:val="38732EA4"/>
    <w:rsid w:val="38833259"/>
    <w:rsid w:val="38841AC6"/>
    <w:rsid w:val="388E7067"/>
    <w:rsid w:val="389107BC"/>
    <w:rsid w:val="38947915"/>
    <w:rsid w:val="38A87B48"/>
    <w:rsid w:val="38AB078B"/>
    <w:rsid w:val="38AC27D0"/>
    <w:rsid w:val="38B27A1C"/>
    <w:rsid w:val="38B82434"/>
    <w:rsid w:val="38B839AC"/>
    <w:rsid w:val="38BB5260"/>
    <w:rsid w:val="38C16DAB"/>
    <w:rsid w:val="38C2449A"/>
    <w:rsid w:val="38C576A5"/>
    <w:rsid w:val="38CC3019"/>
    <w:rsid w:val="38D118A2"/>
    <w:rsid w:val="38D97F47"/>
    <w:rsid w:val="38DE6E2F"/>
    <w:rsid w:val="38E63AD6"/>
    <w:rsid w:val="38E95089"/>
    <w:rsid w:val="38FD6035"/>
    <w:rsid w:val="39007C46"/>
    <w:rsid w:val="39053533"/>
    <w:rsid w:val="390B558F"/>
    <w:rsid w:val="390E6423"/>
    <w:rsid w:val="391B3490"/>
    <w:rsid w:val="392355EB"/>
    <w:rsid w:val="39294944"/>
    <w:rsid w:val="392D343F"/>
    <w:rsid w:val="392E71E9"/>
    <w:rsid w:val="393F3416"/>
    <w:rsid w:val="39433E66"/>
    <w:rsid w:val="3945094C"/>
    <w:rsid w:val="394D7496"/>
    <w:rsid w:val="395A6D0E"/>
    <w:rsid w:val="396A6D20"/>
    <w:rsid w:val="396F2D1F"/>
    <w:rsid w:val="39734A4B"/>
    <w:rsid w:val="3974482B"/>
    <w:rsid w:val="39751CE5"/>
    <w:rsid w:val="3976167E"/>
    <w:rsid w:val="39787162"/>
    <w:rsid w:val="39884F32"/>
    <w:rsid w:val="39901338"/>
    <w:rsid w:val="3997374F"/>
    <w:rsid w:val="3999500E"/>
    <w:rsid w:val="39AB2545"/>
    <w:rsid w:val="39AD77BA"/>
    <w:rsid w:val="39B34C3C"/>
    <w:rsid w:val="39C7380C"/>
    <w:rsid w:val="39C97503"/>
    <w:rsid w:val="39CB237B"/>
    <w:rsid w:val="39CD55D3"/>
    <w:rsid w:val="39D31A82"/>
    <w:rsid w:val="39D83581"/>
    <w:rsid w:val="39DD0CB3"/>
    <w:rsid w:val="39DE7FA3"/>
    <w:rsid w:val="39DF6376"/>
    <w:rsid w:val="39E06849"/>
    <w:rsid w:val="39F677F9"/>
    <w:rsid w:val="39F866B0"/>
    <w:rsid w:val="39F91FF9"/>
    <w:rsid w:val="39FA787E"/>
    <w:rsid w:val="39FB4703"/>
    <w:rsid w:val="39FE146F"/>
    <w:rsid w:val="3A041A69"/>
    <w:rsid w:val="3A075882"/>
    <w:rsid w:val="3A08798E"/>
    <w:rsid w:val="3A0A2110"/>
    <w:rsid w:val="3A1413A4"/>
    <w:rsid w:val="3A1628AB"/>
    <w:rsid w:val="3A165714"/>
    <w:rsid w:val="3A1867D5"/>
    <w:rsid w:val="3A1A6D8F"/>
    <w:rsid w:val="3A1E3132"/>
    <w:rsid w:val="3A203889"/>
    <w:rsid w:val="3A2F57E7"/>
    <w:rsid w:val="3A4159C1"/>
    <w:rsid w:val="3A435C28"/>
    <w:rsid w:val="3A437B68"/>
    <w:rsid w:val="3A46233F"/>
    <w:rsid w:val="3A480C70"/>
    <w:rsid w:val="3A482363"/>
    <w:rsid w:val="3A5125EE"/>
    <w:rsid w:val="3A5706BF"/>
    <w:rsid w:val="3A5D2B25"/>
    <w:rsid w:val="3A630217"/>
    <w:rsid w:val="3A662595"/>
    <w:rsid w:val="3A6B2FD2"/>
    <w:rsid w:val="3A6C6E60"/>
    <w:rsid w:val="3A702FAC"/>
    <w:rsid w:val="3A7E4293"/>
    <w:rsid w:val="3A840FD2"/>
    <w:rsid w:val="3A8912B8"/>
    <w:rsid w:val="3A8A457B"/>
    <w:rsid w:val="3A923D0C"/>
    <w:rsid w:val="3A99077C"/>
    <w:rsid w:val="3A9C4AEC"/>
    <w:rsid w:val="3AA406A2"/>
    <w:rsid w:val="3AA86C16"/>
    <w:rsid w:val="3AAD1743"/>
    <w:rsid w:val="3AB80B48"/>
    <w:rsid w:val="3AC44A50"/>
    <w:rsid w:val="3AC75B4C"/>
    <w:rsid w:val="3AD224CA"/>
    <w:rsid w:val="3AD2711A"/>
    <w:rsid w:val="3AD45D41"/>
    <w:rsid w:val="3AE26C66"/>
    <w:rsid w:val="3AE55BD1"/>
    <w:rsid w:val="3AE603CF"/>
    <w:rsid w:val="3AE9341C"/>
    <w:rsid w:val="3AF74A34"/>
    <w:rsid w:val="3AFA69C1"/>
    <w:rsid w:val="3AFB3DC3"/>
    <w:rsid w:val="3AFB63D8"/>
    <w:rsid w:val="3B0747FB"/>
    <w:rsid w:val="3B1137DB"/>
    <w:rsid w:val="3B134D41"/>
    <w:rsid w:val="3B1D21F5"/>
    <w:rsid w:val="3B1F72F1"/>
    <w:rsid w:val="3B2323EC"/>
    <w:rsid w:val="3B267548"/>
    <w:rsid w:val="3B28337E"/>
    <w:rsid w:val="3B2E50FD"/>
    <w:rsid w:val="3B317563"/>
    <w:rsid w:val="3B3851D2"/>
    <w:rsid w:val="3B3C6F94"/>
    <w:rsid w:val="3B3E1818"/>
    <w:rsid w:val="3B412C79"/>
    <w:rsid w:val="3B4233C4"/>
    <w:rsid w:val="3B42637C"/>
    <w:rsid w:val="3B540269"/>
    <w:rsid w:val="3B59537C"/>
    <w:rsid w:val="3B6124B0"/>
    <w:rsid w:val="3B6304C7"/>
    <w:rsid w:val="3B642321"/>
    <w:rsid w:val="3B6D2D6E"/>
    <w:rsid w:val="3B6E489E"/>
    <w:rsid w:val="3B712CBE"/>
    <w:rsid w:val="3B777BB0"/>
    <w:rsid w:val="3B80535C"/>
    <w:rsid w:val="3B816482"/>
    <w:rsid w:val="3B8A3D59"/>
    <w:rsid w:val="3B8D0EA3"/>
    <w:rsid w:val="3B8E52C3"/>
    <w:rsid w:val="3B95784C"/>
    <w:rsid w:val="3B994F9D"/>
    <w:rsid w:val="3BA4298B"/>
    <w:rsid w:val="3BB634EC"/>
    <w:rsid w:val="3BBC58A5"/>
    <w:rsid w:val="3BBE375B"/>
    <w:rsid w:val="3BC41E85"/>
    <w:rsid w:val="3BCC0E22"/>
    <w:rsid w:val="3BCC367E"/>
    <w:rsid w:val="3BD718C9"/>
    <w:rsid w:val="3BE44548"/>
    <w:rsid w:val="3BEE0616"/>
    <w:rsid w:val="3BF9648B"/>
    <w:rsid w:val="3C027A38"/>
    <w:rsid w:val="3C144211"/>
    <w:rsid w:val="3C1A214C"/>
    <w:rsid w:val="3C1B0CFC"/>
    <w:rsid w:val="3C1E5203"/>
    <w:rsid w:val="3C1E73BF"/>
    <w:rsid w:val="3C1F0C1F"/>
    <w:rsid w:val="3C1F16D2"/>
    <w:rsid w:val="3C1F279C"/>
    <w:rsid w:val="3C1F7183"/>
    <w:rsid w:val="3C223978"/>
    <w:rsid w:val="3C2675CD"/>
    <w:rsid w:val="3C275BED"/>
    <w:rsid w:val="3C3052CB"/>
    <w:rsid w:val="3C342F73"/>
    <w:rsid w:val="3C3559AD"/>
    <w:rsid w:val="3C3B1665"/>
    <w:rsid w:val="3C3C08AE"/>
    <w:rsid w:val="3C3D44FE"/>
    <w:rsid w:val="3C406857"/>
    <w:rsid w:val="3C446616"/>
    <w:rsid w:val="3C510B2E"/>
    <w:rsid w:val="3C531FAB"/>
    <w:rsid w:val="3C5369B0"/>
    <w:rsid w:val="3C5B600A"/>
    <w:rsid w:val="3C5B7F88"/>
    <w:rsid w:val="3C601112"/>
    <w:rsid w:val="3C67735C"/>
    <w:rsid w:val="3C6B257A"/>
    <w:rsid w:val="3C6D7EF1"/>
    <w:rsid w:val="3C715D85"/>
    <w:rsid w:val="3C720330"/>
    <w:rsid w:val="3C745F6A"/>
    <w:rsid w:val="3C80422A"/>
    <w:rsid w:val="3C8269F7"/>
    <w:rsid w:val="3C826FA5"/>
    <w:rsid w:val="3C8B5758"/>
    <w:rsid w:val="3C91206B"/>
    <w:rsid w:val="3C941C8B"/>
    <w:rsid w:val="3C956BF8"/>
    <w:rsid w:val="3C9F4ED2"/>
    <w:rsid w:val="3CA655B1"/>
    <w:rsid w:val="3CA75138"/>
    <w:rsid w:val="3CAD018B"/>
    <w:rsid w:val="3CAE30EB"/>
    <w:rsid w:val="3CBC3ECA"/>
    <w:rsid w:val="3CC54291"/>
    <w:rsid w:val="3CC75ED1"/>
    <w:rsid w:val="3CDF7376"/>
    <w:rsid w:val="3CE56D9D"/>
    <w:rsid w:val="3CE765AD"/>
    <w:rsid w:val="3CEE3B3B"/>
    <w:rsid w:val="3CF63F13"/>
    <w:rsid w:val="3CF872D6"/>
    <w:rsid w:val="3CFC03EA"/>
    <w:rsid w:val="3CFF31C6"/>
    <w:rsid w:val="3D04370C"/>
    <w:rsid w:val="3D062FBB"/>
    <w:rsid w:val="3D0A5CBB"/>
    <w:rsid w:val="3D1712D7"/>
    <w:rsid w:val="3D196DA1"/>
    <w:rsid w:val="3D1B7CE2"/>
    <w:rsid w:val="3D1F1D46"/>
    <w:rsid w:val="3D2B44D8"/>
    <w:rsid w:val="3D2C7353"/>
    <w:rsid w:val="3D2D0D7C"/>
    <w:rsid w:val="3D394AAA"/>
    <w:rsid w:val="3D3E0F6E"/>
    <w:rsid w:val="3D414006"/>
    <w:rsid w:val="3D422017"/>
    <w:rsid w:val="3D422603"/>
    <w:rsid w:val="3D45031D"/>
    <w:rsid w:val="3D457EED"/>
    <w:rsid w:val="3D4857DA"/>
    <w:rsid w:val="3D490779"/>
    <w:rsid w:val="3D491A9E"/>
    <w:rsid w:val="3D5252F4"/>
    <w:rsid w:val="3D567A46"/>
    <w:rsid w:val="3D5A3C91"/>
    <w:rsid w:val="3D6E10CE"/>
    <w:rsid w:val="3D7174ED"/>
    <w:rsid w:val="3D7310C6"/>
    <w:rsid w:val="3D8546B0"/>
    <w:rsid w:val="3D8C2045"/>
    <w:rsid w:val="3D8F023E"/>
    <w:rsid w:val="3D920649"/>
    <w:rsid w:val="3D9435FA"/>
    <w:rsid w:val="3D9E07E4"/>
    <w:rsid w:val="3D9E36A0"/>
    <w:rsid w:val="3DA37B38"/>
    <w:rsid w:val="3DA4205D"/>
    <w:rsid w:val="3DB86EDC"/>
    <w:rsid w:val="3DBA02C2"/>
    <w:rsid w:val="3DBA3CD3"/>
    <w:rsid w:val="3DC6669D"/>
    <w:rsid w:val="3DD92957"/>
    <w:rsid w:val="3DE360C7"/>
    <w:rsid w:val="3DF37B9D"/>
    <w:rsid w:val="3DF707AB"/>
    <w:rsid w:val="3E026055"/>
    <w:rsid w:val="3E0F2D59"/>
    <w:rsid w:val="3E0F504E"/>
    <w:rsid w:val="3E114C2D"/>
    <w:rsid w:val="3E1641AB"/>
    <w:rsid w:val="3E197B2A"/>
    <w:rsid w:val="3E1E34AC"/>
    <w:rsid w:val="3E220AFD"/>
    <w:rsid w:val="3E254D6E"/>
    <w:rsid w:val="3E287049"/>
    <w:rsid w:val="3E2B0051"/>
    <w:rsid w:val="3E2B6572"/>
    <w:rsid w:val="3E393955"/>
    <w:rsid w:val="3E3F6B72"/>
    <w:rsid w:val="3E56630A"/>
    <w:rsid w:val="3E5A30F7"/>
    <w:rsid w:val="3E650E62"/>
    <w:rsid w:val="3E690191"/>
    <w:rsid w:val="3E707B0C"/>
    <w:rsid w:val="3E721EEF"/>
    <w:rsid w:val="3E7744E2"/>
    <w:rsid w:val="3E7B328B"/>
    <w:rsid w:val="3E85606E"/>
    <w:rsid w:val="3E891C59"/>
    <w:rsid w:val="3E8A080A"/>
    <w:rsid w:val="3E900FE4"/>
    <w:rsid w:val="3E932FEC"/>
    <w:rsid w:val="3E982A7D"/>
    <w:rsid w:val="3EA80279"/>
    <w:rsid w:val="3EA954B7"/>
    <w:rsid w:val="3EB338DE"/>
    <w:rsid w:val="3EB8419E"/>
    <w:rsid w:val="3EC00BCA"/>
    <w:rsid w:val="3EC42BFB"/>
    <w:rsid w:val="3EC87A9D"/>
    <w:rsid w:val="3ECD14AF"/>
    <w:rsid w:val="3ED74A7A"/>
    <w:rsid w:val="3EE15C53"/>
    <w:rsid w:val="3EE4677D"/>
    <w:rsid w:val="3EEC45AE"/>
    <w:rsid w:val="3EED20BF"/>
    <w:rsid w:val="3EF70005"/>
    <w:rsid w:val="3EFA0E75"/>
    <w:rsid w:val="3F03277C"/>
    <w:rsid w:val="3F0663FE"/>
    <w:rsid w:val="3F080B63"/>
    <w:rsid w:val="3F0A6DD8"/>
    <w:rsid w:val="3F0B6712"/>
    <w:rsid w:val="3F100FF8"/>
    <w:rsid w:val="3F113710"/>
    <w:rsid w:val="3F1A4AAB"/>
    <w:rsid w:val="3F227D1A"/>
    <w:rsid w:val="3F3D6D1C"/>
    <w:rsid w:val="3F3E67FF"/>
    <w:rsid w:val="3F4926BD"/>
    <w:rsid w:val="3F494DA2"/>
    <w:rsid w:val="3F4D65BF"/>
    <w:rsid w:val="3F4E0C41"/>
    <w:rsid w:val="3F55328A"/>
    <w:rsid w:val="3F5C125F"/>
    <w:rsid w:val="3F651FB6"/>
    <w:rsid w:val="3F6800A6"/>
    <w:rsid w:val="3F736D94"/>
    <w:rsid w:val="3F742278"/>
    <w:rsid w:val="3F784721"/>
    <w:rsid w:val="3F784C75"/>
    <w:rsid w:val="3F86264A"/>
    <w:rsid w:val="3F8F4150"/>
    <w:rsid w:val="3F900874"/>
    <w:rsid w:val="3F914527"/>
    <w:rsid w:val="3F9B676F"/>
    <w:rsid w:val="3F9E7AC8"/>
    <w:rsid w:val="3FA56BA1"/>
    <w:rsid w:val="3FB306F9"/>
    <w:rsid w:val="3FC20254"/>
    <w:rsid w:val="3FC571E0"/>
    <w:rsid w:val="3FC85428"/>
    <w:rsid w:val="3FCC4B72"/>
    <w:rsid w:val="3FCE5CBB"/>
    <w:rsid w:val="3FD010A7"/>
    <w:rsid w:val="3FD93A52"/>
    <w:rsid w:val="3FE25BD8"/>
    <w:rsid w:val="3FEA3EB5"/>
    <w:rsid w:val="3FF6582E"/>
    <w:rsid w:val="3FF953AA"/>
    <w:rsid w:val="3FFA2333"/>
    <w:rsid w:val="40007C76"/>
    <w:rsid w:val="40021A37"/>
    <w:rsid w:val="4007705C"/>
    <w:rsid w:val="400927CB"/>
    <w:rsid w:val="40093FC3"/>
    <w:rsid w:val="40123045"/>
    <w:rsid w:val="40207AF9"/>
    <w:rsid w:val="402977FE"/>
    <w:rsid w:val="402C1C63"/>
    <w:rsid w:val="40395953"/>
    <w:rsid w:val="404149D6"/>
    <w:rsid w:val="40447E84"/>
    <w:rsid w:val="404C6691"/>
    <w:rsid w:val="40557218"/>
    <w:rsid w:val="40664F1B"/>
    <w:rsid w:val="407D12B8"/>
    <w:rsid w:val="4082725A"/>
    <w:rsid w:val="40907801"/>
    <w:rsid w:val="4091596F"/>
    <w:rsid w:val="40931078"/>
    <w:rsid w:val="40934815"/>
    <w:rsid w:val="40964283"/>
    <w:rsid w:val="40967658"/>
    <w:rsid w:val="40A43908"/>
    <w:rsid w:val="40A84BA6"/>
    <w:rsid w:val="40AD12EB"/>
    <w:rsid w:val="40B23895"/>
    <w:rsid w:val="40BE1F5F"/>
    <w:rsid w:val="40C43CFD"/>
    <w:rsid w:val="40D21C9F"/>
    <w:rsid w:val="40D44817"/>
    <w:rsid w:val="40D86720"/>
    <w:rsid w:val="40DD067A"/>
    <w:rsid w:val="40E3581B"/>
    <w:rsid w:val="40F34FD1"/>
    <w:rsid w:val="40FD6D1C"/>
    <w:rsid w:val="410026EA"/>
    <w:rsid w:val="4105229D"/>
    <w:rsid w:val="411546AE"/>
    <w:rsid w:val="411D53AC"/>
    <w:rsid w:val="41207EF7"/>
    <w:rsid w:val="41221366"/>
    <w:rsid w:val="412E217F"/>
    <w:rsid w:val="41302C5D"/>
    <w:rsid w:val="413B302C"/>
    <w:rsid w:val="413C09BF"/>
    <w:rsid w:val="414232DD"/>
    <w:rsid w:val="414D67EA"/>
    <w:rsid w:val="41517B2D"/>
    <w:rsid w:val="416F19E1"/>
    <w:rsid w:val="4170004F"/>
    <w:rsid w:val="417E0D19"/>
    <w:rsid w:val="418C6838"/>
    <w:rsid w:val="418D69D2"/>
    <w:rsid w:val="4193170E"/>
    <w:rsid w:val="419C28B5"/>
    <w:rsid w:val="419E1C0E"/>
    <w:rsid w:val="41A044B9"/>
    <w:rsid w:val="41A173FA"/>
    <w:rsid w:val="41A42A44"/>
    <w:rsid w:val="41A674BE"/>
    <w:rsid w:val="41B73C3D"/>
    <w:rsid w:val="41C13425"/>
    <w:rsid w:val="41C56C3B"/>
    <w:rsid w:val="41C8544B"/>
    <w:rsid w:val="41D53F2C"/>
    <w:rsid w:val="41E15AD9"/>
    <w:rsid w:val="41E218E8"/>
    <w:rsid w:val="41E62D71"/>
    <w:rsid w:val="41F35EFC"/>
    <w:rsid w:val="41F40B23"/>
    <w:rsid w:val="41F53DBC"/>
    <w:rsid w:val="41F83549"/>
    <w:rsid w:val="42014F7D"/>
    <w:rsid w:val="42037FCE"/>
    <w:rsid w:val="42061478"/>
    <w:rsid w:val="420805AA"/>
    <w:rsid w:val="420E5AEE"/>
    <w:rsid w:val="4213363D"/>
    <w:rsid w:val="42140857"/>
    <w:rsid w:val="42145A64"/>
    <w:rsid w:val="42157CEF"/>
    <w:rsid w:val="421D615A"/>
    <w:rsid w:val="42241810"/>
    <w:rsid w:val="422A0490"/>
    <w:rsid w:val="42341EA0"/>
    <w:rsid w:val="423602CC"/>
    <w:rsid w:val="42370173"/>
    <w:rsid w:val="423F1891"/>
    <w:rsid w:val="423F62F9"/>
    <w:rsid w:val="4241592D"/>
    <w:rsid w:val="42421BC4"/>
    <w:rsid w:val="42522642"/>
    <w:rsid w:val="425B2438"/>
    <w:rsid w:val="42605B43"/>
    <w:rsid w:val="4263603D"/>
    <w:rsid w:val="42646C12"/>
    <w:rsid w:val="426E1959"/>
    <w:rsid w:val="42757342"/>
    <w:rsid w:val="42760AB4"/>
    <w:rsid w:val="427942DA"/>
    <w:rsid w:val="428020E7"/>
    <w:rsid w:val="428A5952"/>
    <w:rsid w:val="428D01AD"/>
    <w:rsid w:val="428E4C2C"/>
    <w:rsid w:val="42925C52"/>
    <w:rsid w:val="42957829"/>
    <w:rsid w:val="429D4C3F"/>
    <w:rsid w:val="42A075D5"/>
    <w:rsid w:val="42A135DA"/>
    <w:rsid w:val="42A239AC"/>
    <w:rsid w:val="42A34975"/>
    <w:rsid w:val="42A9148F"/>
    <w:rsid w:val="42AC2DE4"/>
    <w:rsid w:val="42B82EAC"/>
    <w:rsid w:val="42BC1327"/>
    <w:rsid w:val="42C85EA4"/>
    <w:rsid w:val="42D75AE1"/>
    <w:rsid w:val="42DA06DB"/>
    <w:rsid w:val="42DA48D4"/>
    <w:rsid w:val="42E13027"/>
    <w:rsid w:val="430279F1"/>
    <w:rsid w:val="430C2652"/>
    <w:rsid w:val="43115EDD"/>
    <w:rsid w:val="431237D3"/>
    <w:rsid w:val="43156DD5"/>
    <w:rsid w:val="43180E8C"/>
    <w:rsid w:val="4325445D"/>
    <w:rsid w:val="433057C9"/>
    <w:rsid w:val="433841D3"/>
    <w:rsid w:val="433D5051"/>
    <w:rsid w:val="43430AE7"/>
    <w:rsid w:val="43494137"/>
    <w:rsid w:val="434E76D1"/>
    <w:rsid w:val="434F071C"/>
    <w:rsid w:val="435F1CFC"/>
    <w:rsid w:val="43600C10"/>
    <w:rsid w:val="4362383B"/>
    <w:rsid w:val="43631B06"/>
    <w:rsid w:val="436508C8"/>
    <w:rsid w:val="43653E54"/>
    <w:rsid w:val="43673359"/>
    <w:rsid w:val="43686476"/>
    <w:rsid w:val="436B565E"/>
    <w:rsid w:val="437634D4"/>
    <w:rsid w:val="43776DA9"/>
    <w:rsid w:val="437930E7"/>
    <w:rsid w:val="437E1B6E"/>
    <w:rsid w:val="43806AEF"/>
    <w:rsid w:val="438615F1"/>
    <w:rsid w:val="43936956"/>
    <w:rsid w:val="439A7746"/>
    <w:rsid w:val="439F0C72"/>
    <w:rsid w:val="43A16934"/>
    <w:rsid w:val="43AA6240"/>
    <w:rsid w:val="43B508CF"/>
    <w:rsid w:val="43BB526F"/>
    <w:rsid w:val="43BC166D"/>
    <w:rsid w:val="43C305DA"/>
    <w:rsid w:val="43C45599"/>
    <w:rsid w:val="43C904A7"/>
    <w:rsid w:val="43D02E89"/>
    <w:rsid w:val="43D3107C"/>
    <w:rsid w:val="43DF105A"/>
    <w:rsid w:val="43E87144"/>
    <w:rsid w:val="43EA4921"/>
    <w:rsid w:val="43EB1484"/>
    <w:rsid w:val="43EE159D"/>
    <w:rsid w:val="43EF0BA9"/>
    <w:rsid w:val="43F15BA5"/>
    <w:rsid w:val="43F55295"/>
    <w:rsid w:val="43F85817"/>
    <w:rsid w:val="43F85AE1"/>
    <w:rsid w:val="43F908D5"/>
    <w:rsid w:val="43FB584D"/>
    <w:rsid w:val="441B0CB6"/>
    <w:rsid w:val="441C7484"/>
    <w:rsid w:val="442C2706"/>
    <w:rsid w:val="443005C2"/>
    <w:rsid w:val="443062F0"/>
    <w:rsid w:val="44336C48"/>
    <w:rsid w:val="44381304"/>
    <w:rsid w:val="4438491B"/>
    <w:rsid w:val="444556F5"/>
    <w:rsid w:val="44463AAF"/>
    <w:rsid w:val="445C3E40"/>
    <w:rsid w:val="445F61A3"/>
    <w:rsid w:val="446508F0"/>
    <w:rsid w:val="44692133"/>
    <w:rsid w:val="446A161F"/>
    <w:rsid w:val="447841A9"/>
    <w:rsid w:val="447E53C9"/>
    <w:rsid w:val="4488359C"/>
    <w:rsid w:val="448A525A"/>
    <w:rsid w:val="44933E37"/>
    <w:rsid w:val="449406DA"/>
    <w:rsid w:val="4497472B"/>
    <w:rsid w:val="449817BC"/>
    <w:rsid w:val="44995690"/>
    <w:rsid w:val="44997599"/>
    <w:rsid w:val="449B6F1E"/>
    <w:rsid w:val="44A6544B"/>
    <w:rsid w:val="44A65752"/>
    <w:rsid w:val="44AA6749"/>
    <w:rsid w:val="44B47C66"/>
    <w:rsid w:val="44C030EB"/>
    <w:rsid w:val="44C94256"/>
    <w:rsid w:val="44CA0602"/>
    <w:rsid w:val="44CA5C9C"/>
    <w:rsid w:val="44CB4974"/>
    <w:rsid w:val="44D00144"/>
    <w:rsid w:val="44D128B5"/>
    <w:rsid w:val="44D43158"/>
    <w:rsid w:val="44E842F1"/>
    <w:rsid w:val="44EA62FB"/>
    <w:rsid w:val="44ED7533"/>
    <w:rsid w:val="44FB1376"/>
    <w:rsid w:val="45040D8A"/>
    <w:rsid w:val="45135F85"/>
    <w:rsid w:val="45212F53"/>
    <w:rsid w:val="452622B7"/>
    <w:rsid w:val="452A2B39"/>
    <w:rsid w:val="4541691B"/>
    <w:rsid w:val="454E30FD"/>
    <w:rsid w:val="454F4A2D"/>
    <w:rsid w:val="455153C4"/>
    <w:rsid w:val="45544E1C"/>
    <w:rsid w:val="4563419A"/>
    <w:rsid w:val="45670630"/>
    <w:rsid w:val="45682C8D"/>
    <w:rsid w:val="456A5ADF"/>
    <w:rsid w:val="45716F09"/>
    <w:rsid w:val="4578513F"/>
    <w:rsid w:val="45820082"/>
    <w:rsid w:val="458E0429"/>
    <w:rsid w:val="458F7414"/>
    <w:rsid w:val="45984F89"/>
    <w:rsid w:val="459D345F"/>
    <w:rsid w:val="45B876DB"/>
    <w:rsid w:val="45BC0F48"/>
    <w:rsid w:val="45C5458A"/>
    <w:rsid w:val="45C61997"/>
    <w:rsid w:val="45C927B5"/>
    <w:rsid w:val="45CC09E8"/>
    <w:rsid w:val="45D033C8"/>
    <w:rsid w:val="45DE30BD"/>
    <w:rsid w:val="45DE468E"/>
    <w:rsid w:val="45DF1556"/>
    <w:rsid w:val="45E70D6B"/>
    <w:rsid w:val="45E83DF4"/>
    <w:rsid w:val="45EB3CDC"/>
    <w:rsid w:val="45EB532A"/>
    <w:rsid w:val="45ED0C18"/>
    <w:rsid w:val="45ED687B"/>
    <w:rsid w:val="45FE6E7A"/>
    <w:rsid w:val="46076CCC"/>
    <w:rsid w:val="460B3E25"/>
    <w:rsid w:val="460D0843"/>
    <w:rsid w:val="46415118"/>
    <w:rsid w:val="4643132F"/>
    <w:rsid w:val="4650678A"/>
    <w:rsid w:val="46537F87"/>
    <w:rsid w:val="465E65B9"/>
    <w:rsid w:val="466310CD"/>
    <w:rsid w:val="46633CD2"/>
    <w:rsid w:val="46656A89"/>
    <w:rsid w:val="466859FD"/>
    <w:rsid w:val="46720D37"/>
    <w:rsid w:val="4674012C"/>
    <w:rsid w:val="467C1A90"/>
    <w:rsid w:val="467C5FEC"/>
    <w:rsid w:val="46804844"/>
    <w:rsid w:val="46814483"/>
    <w:rsid w:val="468330DA"/>
    <w:rsid w:val="46906D3E"/>
    <w:rsid w:val="46AE48BF"/>
    <w:rsid w:val="46BD267A"/>
    <w:rsid w:val="46C4392D"/>
    <w:rsid w:val="46D90425"/>
    <w:rsid w:val="46DB51C6"/>
    <w:rsid w:val="46DE2C8C"/>
    <w:rsid w:val="46E62E8A"/>
    <w:rsid w:val="46F37328"/>
    <w:rsid w:val="46F52FC5"/>
    <w:rsid w:val="46F569AA"/>
    <w:rsid w:val="470E3F6D"/>
    <w:rsid w:val="471243AD"/>
    <w:rsid w:val="471425AF"/>
    <w:rsid w:val="471D733A"/>
    <w:rsid w:val="47202FF3"/>
    <w:rsid w:val="47221547"/>
    <w:rsid w:val="47240A17"/>
    <w:rsid w:val="472A3580"/>
    <w:rsid w:val="472C42D4"/>
    <w:rsid w:val="473651D4"/>
    <w:rsid w:val="474970E0"/>
    <w:rsid w:val="475D186F"/>
    <w:rsid w:val="476349C1"/>
    <w:rsid w:val="47635246"/>
    <w:rsid w:val="47680629"/>
    <w:rsid w:val="476C47F6"/>
    <w:rsid w:val="477C7DBB"/>
    <w:rsid w:val="4787318A"/>
    <w:rsid w:val="478B40F0"/>
    <w:rsid w:val="478C0E47"/>
    <w:rsid w:val="478E2712"/>
    <w:rsid w:val="478F3F60"/>
    <w:rsid w:val="479565B1"/>
    <w:rsid w:val="479E2231"/>
    <w:rsid w:val="479E5C24"/>
    <w:rsid w:val="479F2099"/>
    <w:rsid w:val="47AD2E24"/>
    <w:rsid w:val="47C61872"/>
    <w:rsid w:val="47CE6F5F"/>
    <w:rsid w:val="47D13B1E"/>
    <w:rsid w:val="47D22495"/>
    <w:rsid w:val="47D34424"/>
    <w:rsid w:val="47D5591D"/>
    <w:rsid w:val="47D86081"/>
    <w:rsid w:val="47E003D9"/>
    <w:rsid w:val="480F0AF5"/>
    <w:rsid w:val="4814570B"/>
    <w:rsid w:val="48180615"/>
    <w:rsid w:val="48182427"/>
    <w:rsid w:val="481D4371"/>
    <w:rsid w:val="48212ECE"/>
    <w:rsid w:val="482354BE"/>
    <w:rsid w:val="482617A3"/>
    <w:rsid w:val="482E6712"/>
    <w:rsid w:val="48315F2D"/>
    <w:rsid w:val="4835102E"/>
    <w:rsid w:val="483729CF"/>
    <w:rsid w:val="48392C05"/>
    <w:rsid w:val="483F6230"/>
    <w:rsid w:val="484222C8"/>
    <w:rsid w:val="48447206"/>
    <w:rsid w:val="484476C0"/>
    <w:rsid w:val="4846785F"/>
    <w:rsid w:val="48494A77"/>
    <w:rsid w:val="484A3AA3"/>
    <w:rsid w:val="484C7711"/>
    <w:rsid w:val="484F317D"/>
    <w:rsid w:val="485069C7"/>
    <w:rsid w:val="48507221"/>
    <w:rsid w:val="485540DC"/>
    <w:rsid w:val="485D4618"/>
    <w:rsid w:val="486231D8"/>
    <w:rsid w:val="4877379D"/>
    <w:rsid w:val="48847298"/>
    <w:rsid w:val="4889697B"/>
    <w:rsid w:val="488B4C70"/>
    <w:rsid w:val="488D0F8A"/>
    <w:rsid w:val="488E192C"/>
    <w:rsid w:val="488E2250"/>
    <w:rsid w:val="48924773"/>
    <w:rsid w:val="48986715"/>
    <w:rsid w:val="489D543C"/>
    <w:rsid w:val="48B15377"/>
    <w:rsid w:val="48CD7211"/>
    <w:rsid w:val="48D067FE"/>
    <w:rsid w:val="48D74E1F"/>
    <w:rsid w:val="48DA40AD"/>
    <w:rsid w:val="48DB719A"/>
    <w:rsid w:val="48DD0505"/>
    <w:rsid w:val="48DD29E6"/>
    <w:rsid w:val="48E61DC7"/>
    <w:rsid w:val="48F552BD"/>
    <w:rsid w:val="490952F1"/>
    <w:rsid w:val="490A45DE"/>
    <w:rsid w:val="490B6BBE"/>
    <w:rsid w:val="490D2D2F"/>
    <w:rsid w:val="4913539F"/>
    <w:rsid w:val="491A223A"/>
    <w:rsid w:val="491B3430"/>
    <w:rsid w:val="492611D8"/>
    <w:rsid w:val="49286AA2"/>
    <w:rsid w:val="4928761D"/>
    <w:rsid w:val="492A125D"/>
    <w:rsid w:val="492A7450"/>
    <w:rsid w:val="492B7517"/>
    <w:rsid w:val="493712CC"/>
    <w:rsid w:val="493B1858"/>
    <w:rsid w:val="49423339"/>
    <w:rsid w:val="494424C8"/>
    <w:rsid w:val="49460C9A"/>
    <w:rsid w:val="494638FF"/>
    <w:rsid w:val="494672C5"/>
    <w:rsid w:val="4948475D"/>
    <w:rsid w:val="494E2073"/>
    <w:rsid w:val="495A61B3"/>
    <w:rsid w:val="495F2DE4"/>
    <w:rsid w:val="49680683"/>
    <w:rsid w:val="496A5DC1"/>
    <w:rsid w:val="49711E0A"/>
    <w:rsid w:val="49775E2C"/>
    <w:rsid w:val="497832A2"/>
    <w:rsid w:val="4979164A"/>
    <w:rsid w:val="497B47FB"/>
    <w:rsid w:val="49820691"/>
    <w:rsid w:val="49851E7C"/>
    <w:rsid w:val="498A20FD"/>
    <w:rsid w:val="498C6390"/>
    <w:rsid w:val="499404A7"/>
    <w:rsid w:val="499E54EB"/>
    <w:rsid w:val="499E7AF7"/>
    <w:rsid w:val="49A4782B"/>
    <w:rsid w:val="49A702A1"/>
    <w:rsid w:val="49A96F62"/>
    <w:rsid w:val="49B1360B"/>
    <w:rsid w:val="49B55336"/>
    <w:rsid w:val="49BB740C"/>
    <w:rsid w:val="49BE0572"/>
    <w:rsid w:val="49BF3B35"/>
    <w:rsid w:val="49CB5318"/>
    <w:rsid w:val="49CE292F"/>
    <w:rsid w:val="49D639AA"/>
    <w:rsid w:val="49D9225D"/>
    <w:rsid w:val="49DE01EF"/>
    <w:rsid w:val="49E86C92"/>
    <w:rsid w:val="49F94858"/>
    <w:rsid w:val="49FA1718"/>
    <w:rsid w:val="4A0763E4"/>
    <w:rsid w:val="4A131D6E"/>
    <w:rsid w:val="4A132EB0"/>
    <w:rsid w:val="4A165F2A"/>
    <w:rsid w:val="4A177E29"/>
    <w:rsid w:val="4A1B020F"/>
    <w:rsid w:val="4A280AB4"/>
    <w:rsid w:val="4A2854F7"/>
    <w:rsid w:val="4A2F31BA"/>
    <w:rsid w:val="4A43642E"/>
    <w:rsid w:val="4A4C6550"/>
    <w:rsid w:val="4A4C75B0"/>
    <w:rsid w:val="4A4D016A"/>
    <w:rsid w:val="4A4E5FEB"/>
    <w:rsid w:val="4A554601"/>
    <w:rsid w:val="4A561CBA"/>
    <w:rsid w:val="4A5A671F"/>
    <w:rsid w:val="4A5C0FF0"/>
    <w:rsid w:val="4A5D145D"/>
    <w:rsid w:val="4A620A54"/>
    <w:rsid w:val="4A702F2B"/>
    <w:rsid w:val="4A840DC6"/>
    <w:rsid w:val="4A902749"/>
    <w:rsid w:val="4A926276"/>
    <w:rsid w:val="4AA00FD2"/>
    <w:rsid w:val="4AAA7D7C"/>
    <w:rsid w:val="4AC20F7D"/>
    <w:rsid w:val="4ACC2A8B"/>
    <w:rsid w:val="4ACD2B90"/>
    <w:rsid w:val="4AD44255"/>
    <w:rsid w:val="4AD82F13"/>
    <w:rsid w:val="4AD96422"/>
    <w:rsid w:val="4ADB30A1"/>
    <w:rsid w:val="4ADC18A7"/>
    <w:rsid w:val="4AE6006F"/>
    <w:rsid w:val="4AE6230E"/>
    <w:rsid w:val="4AEC3AB3"/>
    <w:rsid w:val="4AEF685E"/>
    <w:rsid w:val="4AF154EB"/>
    <w:rsid w:val="4AF3018B"/>
    <w:rsid w:val="4AF52377"/>
    <w:rsid w:val="4B0E2569"/>
    <w:rsid w:val="4B0F2F76"/>
    <w:rsid w:val="4B257283"/>
    <w:rsid w:val="4B29237B"/>
    <w:rsid w:val="4B2B16A0"/>
    <w:rsid w:val="4B2C1031"/>
    <w:rsid w:val="4B35718B"/>
    <w:rsid w:val="4B3856F5"/>
    <w:rsid w:val="4B3D046D"/>
    <w:rsid w:val="4B3F3070"/>
    <w:rsid w:val="4B40760C"/>
    <w:rsid w:val="4B491417"/>
    <w:rsid w:val="4B524375"/>
    <w:rsid w:val="4B6458AB"/>
    <w:rsid w:val="4B6C754A"/>
    <w:rsid w:val="4B700EFE"/>
    <w:rsid w:val="4B792774"/>
    <w:rsid w:val="4B88550B"/>
    <w:rsid w:val="4B8A186D"/>
    <w:rsid w:val="4B8B4FBB"/>
    <w:rsid w:val="4B8D17EF"/>
    <w:rsid w:val="4B90006B"/>
    <w:rsid w:val="4B922864"/>
    <w:rsid w:val="4B9A7EBC"/>
    <w:rsid w:val="4BA51614"/>
    <w:rsid w:val="4BA7741B"/>
    <w:rsid w:val="4BAC07F0"/>
    <w:rsid w:val="4BB223ED"/>
    <w:rsid w:val="4BB555FA"/>
    <w:rsid w:val="4BB84306"/>
    <w:rsid w:val="4BB9783D"/>
    <w:rsid w:val="4BC30330"/>
    <w:rsid w:val="4BC504B6"/>
    <w:rsid w:val="4BCC4E5B"/>
    <w:rsid w:val="4BE22B6F"/>
    <w:rsid w:val="4BEE4A49"/>
    <w:rsid w:val="4BF9737C"/>
    <w:rsid w:val="4C090F58"/>
    <w:rsid w:val="4C145D65"/>
    <w:rsid w:val="4C14685F"/>
    <w:rsid w:val="4C195AB0"/>
    <w:rsid w:val="4C1F45CF"/>
    <w:rsid w:val="4C1F7AAA"/>
    <w:rsid w:val="4C2841CA"/>
    <w:rsid w:val="4C2D3605"/>
    <w:rsid w:val="4C2E5DF4"/>
    <w:rsid w:val="4C302713"/>
    <w:rsid w:val="4C3136B5"/>
    <w:rsid w:val="4C361BEE"/>
    <w:rsid w:val="4C370B02"/>
    <w:rsid w:val="4C391C1B"/>
    <w:rsid w:val="4C3A5314"/>
    <w:rsid w:val="4C3B1FC1"/>
    <w:rsid w:val="4C3F1CEB"/>
    <w:rsid w:val="4C402615"/>
    <w:rsid w:val="4C414909"/>
    <w:rsid w:val="4C424438"/>
    <w:rsid w:val="4C45125E"/>
    <w:rsid w:val="4C4B0019"/>
    <w:rsid w:val="4C522A79"/>
    <w:rsid w:val="4C525B40"/>
    <w:rsid w:val="4C535783"/>
    <w:rsid w:val="4C535FFF"/>
    <w:rsid w:val="4C574705"/>
    <w:rsid w:val="4C5D6554"/>
    <w:rsid w:val="4C5D67F9"/>
    <w:rsid w:val="4C6763F0"/>
    <w:rsid w:val="4C681F60"/>
    <w:rsid w:val="4C774AF0"/>
    <w:rsid w:val="4C8C2990"/>
    <w:rsid w:val="4C906CEC"/>
    <w:rsid w:val="4C9304B5"/>
    <w:rsid w:val="4C9C4035"/>
    <w:rsid w:val="4CA55EFB"/>
    <w:rsid w:val="4CA5686D"/>
    <w:rsid w:val="4CA61A6C"/>
    <w:rsid w:val="4CAA7F22"/>
    <w:rsid w:val="4CAB0678"/>
    <w:rsid w:val="4CBA54E2"/>
    <w:rsid w:val="4CC06044"/>
    <w:rsid w:val="4CC518B5"/>
    <w:rsid w:val="4CCA223F"/>
    <w:rsid w:val="4CCB43DD"/>
    <w:rsid w:val="4CCD51D5"/>
    <w:rsid w:val="4CCE4955"/>
    <w:rsid w:val="4CD26D01"/>
    <w:rsid w:val="4CD860C5"/>
    <w:rsid w:val="4CF169AF"/>
    <w:rsid w:val="4CF35810"/>
    <w:rsid w:val="4CF862A1"/>
    <w:rsid w:val="4D0955E0"/>
    <w:rsid w:val="4D0E7C59"/>
    <w:rsid w:val="4D13176E"/>
    <w:rsid w:val="4D1516D4"/>
    <w:rsid w:val="4D155109"/>
    <w:rsid w:val="4D160772"/>
    <w:rsid w:val="4D161C86"/>
    <w:rsid w:val="4D294D3E"/>
    <w:rsid w:val="4D2E4911"/>
    <w:rsid w:val="4D36583D"/>
    <w:rsid w:val="4D377FC9"/>
    <w:rsid w:val="4D3F3490"/>
    <w:rsid w:val="4D4205F9"/>
    <w:rsid w:val="4D4763C9"/>
    <w:rsid w:val="4D4B0F75"/>
    <w:rsid w:val="4D4B25D3"/>
    <w:rsid w:val="4D571A7B"/>
    <w:rsid w:val="4D5B1632"/>
    <w:rsid w:val="4D6C5AB4"/>
    <w:rsid w:val="4D744588"/>
    <w:rsid w:val="4D746687"/>
    <w:rsid w:val="4D843B0A"/>
    <w:rsid w:val="4D8A0553"/>
    <w:rsid w:val="4D981AE4"/>
    <w:rsid w:val="4D987F90"/>
    <w:rsid w:val="4D9A2E23"/>
    <w:rsid w:val="4DA0212D"/>
    <w:rsid w:val="4DA35103"/>
    <w:rsid w:val="4DA428DE"/>
    <w:rsid w:val="4DAD5DD7"/>
    <w:rsid w:val="4DB32910"/>
    <w:rsid w:val="4DB511D9"/>
    <w:rsid w:val="4DBF014D"/>
    <w:rsid w:val="4DC17153"/>
    <w:rsid w:val="4DC63CE9"/>
    <w:rsid w:val="4DC749EC"/>
    <w:rsid w:val="4DCF2221"/>
    <w:rsid w:val="4DCF5D33"/>
    <w:rsid w:val="4DD51F8E"/>
    <w:rsid w:val="4DE4148A"/>
    <w:rsid w:val="4DE72944"/>
    <w:rsid w:val="4DEC5CC4"/>
    <w:rsid w:val="4DF70A71"/>
    <w:rsid w:val="4DFF0035"/>
    <w:rsid w:val="4E1A1D04"/>
    <w:rsid w:val="4E1B4982"/>
    <w:rsid w:val="4E1F3BD6"/>
    <w:rsid w:val="4E25467E"/>
    <w:rsid w:val="4E2B524A"/>
    <w:rsid w:val="4E2F43B6"/>
    <w:rsid w:val="4E2F4535"/>
    <w:rsid w:val="4E31543F"/>
    <w:rsid w:val="4E3265CC"/>
    <w:rsid w:val="4E337043"/>
    <w:rsid w:val="4E35074B"/>
    <w:rsid w:val="4E3C7656"/>
    <w:rsid w:val="4E412777"/>
    <w:rsid w:val="4E41707E"/>
    <w:rsid w:val="4E463559"/>
    <w:rsid w:val="4E5E365F"/>
    <w:rsid w:val="4E704B83"/>
    <w:rsid w:val="4E750B97"/>
    <w:rsid w:val="4E7C27BA"/>
    <w:rsid w:val="4E7E2192"/>
    <w:rsid w:val="4E7F4F7B"/>
    <w:rsid w:val="4E8350BC"/>
    <w:rsid w:val="4E8532FC"/>
    <w:rsid w:val="4E8F7ECC"/>
    <w:rsid w:val="4E9F25EB"/>
    <w:rsid w:val="4EA3570B"/>
    <w:rsid w:val="4EB34EAA"/>
    <w:rsid w:val="4EBA3C30"/>
    <w:rsid w:val="4EC448B7"/>
    <w:rsid w:val="4EC507D8"/>
    <w:rsid w:val="4EC73EFA"/>
    <w:rsid w:val="4EC74A79"/>
    <w:rsid w:val="4EC9721D"/>
    <w:rsid w:val="4ECD60AD"/>
    <w:rsid w:val="4ED54F23"/>
    <w:rsid w:val="4EDB0E4C"/>
    <w:rsid w:val="4EE01FDE"/>
    <w:rsid w:val="4EE33552"/>
    <w:rsid w:val="4F047B4F"/>
    <w:rsid w:val="4F0A170B"/>
    <w:rsid w:val="4F1E7A0E"/>
    <w:rsid w:val="4F2531CF"/>
    <w:rsid w:val="4F362B9E"/>
    <w:rsid w:val="4F3F7463"/>
    <w:rsid w:val="4F403BE0"/>
    <w:rsid w:val="4F495F22"/>
    <w:rsid w:val="4F563999"/>
    <w:rsid w:val="4F5A7F0A"/>
    <w:rsid w:val="4F6A55C1"/>
    <w:rsid w:val="4F701FC0"/>
    <w:rsid w:val="4F705BF7"/>
    <w:rsid w:val="4F71167C"/>
    <w:rsid w:val="4F761B22"/>
    <w:rsid w:val="4F763905"/>
    <w:rsid w:val="4F7F4A65"/>
    <w:rsid w:val="4F813AAC"/>
    <w:rsid w:val="4F8B0221"/>
    <w:rsid w:val="4F902EF7"/>
    <w:rsid w:val="4F904D9A"/>
    <w:rsid w:val="4F940894"/>
    <w:rsid w:val="4F9862AC"/>
    <w:rsid w:val="4FA040DD"/>
    <w:rsid w:val="4FA33D51"/>
    <w:rsid w:val="4FA93E74"/>
    <w:rsid w:val="4FB12CD8"/>
    <w:rsid w:val="4FBA31CA"/>
    <w:rsid w:val="4FBC0DBA"/>
    <w:rsid w:val="4FBE3648"/>
    <w:rsid w:val="4FC0665C"/>
    <w:rsid w:val="4FC53A5B"/>
    <w:rsid w:val="4FC60C36"/>
    <w:rsid w:val="4FD96FB7"/>
    <w:rsid w:val="4FDC159C"/>
    <w:rsid w:val="4FFF62C6"/>
    <w:rsid w:val="50030B40"/>
    <w:rsid w:val="500636FB"/>
    <w:rsid w:val="50092FAB"/>
    <w:rsid w:val="500F4483"/>
    <w:rsid w:val="50242190"/>
    <w:rsid w:val="502E42C7"/>
    <w:rsid w:val="50395FA0"/>
    <w:rsid w:val="505A6BC2"/>
    <w:rsid w:val="50673B6A"/>
    <w:rsid w:val="506A3754"/>
    <w:rsid w:val="50780635"/>
    <w:rsid w:val="507E0CD2"/>
    <w:rsid w:val="5089249C"/>
    <w:rsid w:val="50902B77"/>
    <w:rsid w:val="50913525"/>
    <w:rsid w:val="50963D8A"/>
    <w:rsid w:val="50963FBA"/>
    <w:rsid w:val="509934B9"/>
    <w:rsid w:val="509E5C06"/>
    <w:rsid w:val="50A47812"/>
    <w:rsid w:val="50AB7ED3"/>
    <w:rsid w:val="50B3110D"/>
    <w:rsid w:val="50B72ACE"/>
    <w:rsid w:val="50BB383C"/>
    <w:rsid w:val="50C61C73"/>
    <w:rsid w:val="50D17A9A"/>
    <w:rsid w:val="50DA2A30"/>
    <w:rsid w:val="50E24197"/>
    <w:rsid w:val="50E667A8"/>
    <w:rsid w:val="50F25714"/>
    <w:rsid w:val="50F309D5"/>
    <w:rsid w:val="50F40D1C"/>
    <w:rsid w:val="50FA1A5E"/>
    <w:rsid w:val="50FD1D6A"/>
    <w:rsid w:val="50FE57A9"/>
    <w:rsid w:val="50FE5ABA"/>
    <w:rsid w:val="510B4104"/>
    <w:rsid w:val="5117522E"/>
    <w:rsid w:val="513F0351"/>
    <w:rsid w:val="51411303"/>
    <w:rsid w:val="514337DF"/>
    <w:rsid w:val="51435C59"/>
    <w:rsid w:val="515878DC"/>
    <w:rsid w:val="5161133E"/>
    <w:rsid w:val="51646B4B"/>
    <w:rsid w:val="51723CF3"/>
    <w:rsid w:val="517308D4"/>
    <w:rsid w:val="517443E8"/>
    <w:rsid w:val="51846035"/>
    <w:rsid w:val="518971D0"/>
    <w:rsid w:val="519D51A6"/>
    <w:rsid w:val="519E09A2"/>
    <w:rsid w:val="519F5663"/>
    <w:rsid w:val="51A030B9"/>
    <w:rsid w:val="51B366B5"/>
    <w:rsid w:val="51B85AB4"/>
    <w:rsid w:val="51C03237"/>
    <w:rsid w:val="51C1710B"/>
    <w:rsid w:val="51C509B0"/>
    <w:rsid w:val="51C57D18"/>
    <w:rsid w:val="51D07EA4"/>
    <w:rsid w:val="51DB18C2"/>
    <w:rsid w:val="51E62755"/>
    <w:rsid w:val="51EA437C"/>
    <w:rsid w:val="51EE3AFD"/>
    <w:rsid w:val="51EE7C4A"/>
    <w:rsid w:val="51F14AA4"/>
    <w:rsid w:val="51F17BE9"/>
    <w:rsid w:val="51F81E2B"/>
    <w:rsid w:val="520806BD"/>
    <w:rsid w:val="5209146F"/>
    <w:rsid w:val="522E24E8"/>
    <w:rsid w:val="522F5BA0"/>
    <w:rsid w:val="523B24E9"/>
    <w:rsid w:val="523C59A2"/>
    <w:rsid w:val="523E0049"/>
    <w:rsid w:val="523F0C59"/>
    <w:rsid w:val="5242166E"/>
    <w:rsid w:val="5247687B"/>
    <w:rsid w:val="524E350F"/>
    <w:rsid w:val="52557351"/>
    <w:rsid w:val="525C1EE8"/>
    <w:rsid w:val="525D1948"/>
    <w:rsid w:val="52605431"/>
    <w:rsid w:val="52800DF4"/>
    <w:rsid w:val="52802215"/>
    <w:rsid w:val="52816A27"/>
    <w:rsid w:val="52875D10"/>
    <w:rsid w:val="52A50B3C"/>
    <w:rsid w:val="52A82D0E"/>
    <w:rsid w:val="52AC1D41"/>
    <w:rsid w:val="52B17716"/>
    <w:rsid w:val="52BC03D5"/>
    <w:rsid w:val="52C45D80"/>
    <w:rsid w:val="52CB153A"/>
    <w:rsid w:val="52CC1D57"/>
    <w:rsid w:val="52D26885"/>
    <w:rsid w:val="52D8505C"/>
    <w:rsid w:val="52E65386"/>
    <w:rsid w:val="52F04CC5"/>
    <w:rsid w:val="52F67C18"/>
    <w:rsid w:val="52FA6D2A"/>
    <w:rsid w:val="530C64FF"/>
    <w:rsid w:val="53187567"/>
    <w:rsid w:val="53190FC1"/>
    <w:rsid w:val="53287738"/>
    <w:rsid w:val="532E5092"/>
    <w:rsid w:val="53346659"/>
    <w:rsid w:val="5336131E"/>
    <w:rsid w:val="533F0464"/>
    <w:rsid w:val="53406D4D"/>
    <w:rsid w:val="53486639"/>
    <w:rsid w:val="534913C3"/>
    <w:rsid w:val="534A6E64"/>
    <w:rsid w:val="53506F92"/>
    <w:rsid w:val="53520818"/>
    <w:rsid w:val="53564ABA"/>
    <w:rsid w:val="53727993"/>
    <w:rsid w:val="53756402"/>
    <w:rsid w:val="53914D45"/>
    <w:rsid w:val="539F1C44"/>
    <w:rsid w:val="53A2196B"/>
    <w:rsid w:val="53A53B51"/>
    <w:rsid w:val="53AB3A32"/>
    <w:rsid w:val="53AB5887"/>
    <w:rsid w:val="53B03474"/>
    <w:rsid w:val="53BA7E0C"/>
    <w:rsid w:val="53D15786"/>
    <w:rsid w:val="53D75988"/>
    <w:rsid w:val="53D9323A"/>
    <w:rsid w:val="53E257CD"/>
    <w:rsid w:val="53E35927"/>
    <w:rsid w:val="53E85A9F"/>
    <w:rsid w:val="54004971"/>
    <w:rsid w:val="54034791"/>
    <w:rsid w:val="54085300"/>
    <w:rsid w:val="540A2E61"/>
    <w:rsid w:val="541907CF"/>
    <w:rsid w:val="541D52D2"/>
    <w:rsid w:val="541E297A"/>
    <w:rsid w:val="54231FA3"/>
    <w:rsid w:val="54260EC2"/>
    <w:rsid w:val="542F6CAB"/>
    <w:rsid w:val="54303DB7"/>
    <w:rsid w:val="5434044C"/>
    <w:rsid w:val="54347B4D"/>
    <w:rsid w:val="543A6673"/>
    <w:rsid w:val="54405ACF"/>
    <w:rsid w:val="54431858"/>
    <w:rsid w:val="54433B8D"/>
    <w:rsid w:val="544554F6"/>
    <w:rsid w:val="54493918"/>
    <w:rsid w:val="544A330D"/>
    <w:rsid w:val="54522C0A"/>
    <w:rsid w:val="545C02F9"/>
    <w:rsid w:val="546576D7"/>
    <w:rsid w:val="54660239"/>
    <w:rsid w:val="546B1302"/>
    <w:rsid w:val="546C78D6"/>
    <w:rsid w:val="54721819"/>
    <w:rsid w:val="547A7ACB"/>
    <w:rsid w:val="547F2541"/>
    <w:rsid w:val="5485766F"/>
    <w:rsid w:val="548D710D"/>
    <w:rsid w:val="548E4660"/>
    <w:rsid w:val="54925ECB"/>
    <w:rsid w:val="54A0258D"/>
    <w:rsid w:val="54A31BC6"/>
    <w:rsid w:val="54A3774A"/>
    <w:rsid w:val="54AB0647"/>
    <w:rsid w:val="54AE390E"/>
    <w:rsid w:val="54B22C54"/>
    <w:rsid w:val="54B7600C"/>
    <w:rsid w:val="54B94751"/>
    <w:rsid w:val="54D20DDE"/>
    <w:rsid w:val="54E06F6F"/>
    <w:rsid w:val="54E37F89"/>
    <w:rsid w:val="54F3795C"/>
    <w:rsid w:val="54F52ADA"/>
    <w:rsid w:val="54F57EA7"/>
    <w:rsid w:val="54FD25E1"/>
    <w:rsid w:val="5502011D"/>
    <w:rsid w:val="55063441"/>
    <w:rsid w:val="550A2161"/>
    <w:rsid w:val="551243DE"/>
    <w:rsid w:val="552A1D56"/>
    <w:rsid w:val="553815A7"/>
    <w:rsid w:val="55407FB0"/>
    <w:rsid w:val="554713A5"/>
    <w:rsid w:val="554902AD"/>
    <w:rsid w:val="554961DB"/>
    <w:rsid w:val="554F4858"/>
    <w:rsid w:val="554F5EAA"/>
    <w:rsid w:val="555267FD"/>
    <w:rsid w:val="555767E6"/>
    <w:rsid w:val="555C7DD9"/>
    <w:rsid w:val="55610A21"/>
    <w:rsid w:val="55612DB0"/>
    <w:rsid w:val="55633103"/>
    <w:rsid w:val="55670D59"/>
    <w:rsid w:val="55674D6B"/>
    <w:rsid w:val="55802B99"/>
    <w:rsid w:val="55845DB9"/>
    <w:rsid w:val="5586557F"/>
    <w:rsid w:val="55916139"/>
    <w:rsid w:val="55973236"/>
    <w:rsid w:val="559B0DFC"/>
    <w:rsid w:val="559D472B"/>
    <w:rsid w:val="55AB6BF9"/>
    <w:rsid w:val="55AE7244"/>
    <w:rsid w:val="55CA05CD"/>
    <w:rsid w:val="55CD750A"/>
    <w:rsid w:val="55D3106B"/>
    <w:rsid w:val="55D60121"/>
    <w:rsid w:val="55D862C8"/>
    <w:rsid w:val="55DC4C65"/>
    <w:rsid w:val="55DE3EE8"/>
    <w:rsid w:val="55DE4B29"/>
    <w:rsid w:val="55E036F8"/>
    <w:rsid w:val="55E8293D"/>
    <w:rsid w:val="55E925F2"/>
    <w:rsid w:val="55ED44C1"/>
    <w:rsid w:val="55F20FE5"/>
    <w:rsid w:val="55F55B38"/>
    <w:rsid w:val="55FA6E3E"/>
    <w:rsid w:val="55FC46AE"/>
    <w:rsid w:val="56033689"/>
    <w:rsid w:val="5605666A"/>
    <w:rsid w:val="56125C2D"/>
    <w:rsid w:val="5613654B"/>
    <w:rsid w:val="56173FCD"/>
    <w:rsid w:val="56191810"/>
    <w:rsid w:val="5619342A"/>
    <w:rsid w:val="562B4256"/>
    <w:rsid w:val="563208A7"/>
    <w:rsid w:val="5636716D"/>
    <w:rsid w:val="563A014C"/>
    <w:rsid w:val="56404489"/>
    <w:rsid w:val="564C6CC7"/>
    <w:rsid w:val="564D57E5"/>
    <w:rsid w:val="565028E8"/>
    <w:rsid w:val="565520B1"/>
    <w:rsid w:val="565E70F3"/>
    <w:rsid w:val="566C4DCE"/>
    <w:rsid w:val="56780CBC"/>
    <w:rsid w:val="567C018B"/>
    <w:rsid w:val="56833A16"/>
    <w:rsid w:val="569424DF"/>
    <w:rsid w:val="56967967"/>
    <w:rsid w:val="569A3F3F"/>
    <w:rsid w:val="569B558F"/>
    <w:rsid w:val="56AB61AF"/>
    <w:rsid w:val="56B25003"/>
    <w:rsid w:val="56BD6F7A"/>
    <w:rsid w:val="56BF381B"/>
    <w:rsid w:val="56C01608"/>
    <w:rsid w:val="56C45ABF"/>
    <w:rsid w:val="56C635B0"/>
    <w:rsid w:val="56C716AB"/>
    <w:rsid w:val="56D156F2"/>
    <w:rsid w:val="56DE09A7"/>
    <w:rsid w:val="56DF5074"/>
    <w:rsid w:val="56ED27ED"/>
    <w:rsid w:val="56F0460C"/>
    <w:rsid w:val="56F52961"/>
    <w:rsid w:val="56F73876"/>
    <w:rsid w:val="56FE25F0"/>
    <w:rsid w:val="57042834"/>
    <w:rsid w:val="57052A37"/>
    <w:rsid w:val="570D2FAF"/>
    <w:rsid w:val="570E0991"/>
    <w:rsid w:val="570F0AD4"/>
    <w:rsid w:val="5716477B"/>
    <w:rsid w:val="57174912"/>
    <w:rsid w:val="572600DC"/>
    <w:rsid w:val="57262539"/>
    <w:rsid w:val="57272B72"/>
    <w:rsid w:val="572747C8"/>
    <w:rsid w:val="572E33A8"/>
    <w:rsid w:val="572E5501"/>
    <w:rsid w:val="57311F53"/>
    <w:rsid w:val="57362D20"/>
    <w:rsid w:val="57363BE5"/>
    <w:rsid w:val="57374423"/>
    <w:rsid w:val="57381968"/>
    <w:rsid w:val="573A1129"/>
    <w:rsid w:val="573B080F"/>
    <w:rsid w:val="573B6F60"/>
    <w:rsid w:val="57513842"/>
    <w:rsid w:val="57591215"/>
    <w:rsid w:val="57671583"/>
    <w:rsid w:val="57694B21"/>
    <w:rsid w:val="577A0EBE"/>
    <w:rsid w:val="577A55CD"/>
    <w:rsid w:val="57803FED"/>
    <w:rsid w:val="5781472A"/>
    <w:rsid w:val="57854F06"/>
    <w:rsid w:val="57882950"/>
    <w:rsid w:val="578A003C"/>
    <w:rsid w:val="57A16352"/>
    <w:rsid w:val="57AD164B"/>
    <w:rsid w:val="57AD3A54"/>
    <w:rsid w:val="57B56EB9"/>
    <w:rsid w:val="57B92A66"/>
    <w:rsid w:val="57BC1404"/>
    <w:rsid w:val="57C27083"/>
    <w:rsid w:val="57D230E2"/>
    <w:rsid w:val="57DF2F76"/>
    <w:rsid w:val="57E40BCB"/>
    <w:rsid w:val="57E61B43"/>
    <w:rsid w:val="57EC2B5F"/>
    <w:rsid w:val="57F146E7"/>
    <w:rsid w:val="57F209C6"/>
    <w:rsid w:val="57F662F9"/>
    <w:rsid w:val="58012E33"/>
    <w:rsid w:val="580F269B"/>
    <w:rsid w:val="581D7025"/>
    <w:rsid w:val="58265C3D"/>
    <w:rsid w:val="582F172F"/>
    <w:rsid w:val="583049DD"/>
    <w:rsid w:val="583E2142"/>
    <w:rsid w:val="5840588A"/>
    <w:rsid w:val="58462A3C"/>
    <w:rsid w:val="5856656E"/>
    <w:rsid w:val="58586B5D"/>
    <w:rsid w:val="586A5A6E"/>
    <w:rsid w:val="587E1725"/>
    <w:rsid w:val="58841AF6"/>
    <w:rsid w:val="588D720B"/>
    <w:rsid w:val="58A03607"/>
    <w:rsid w:val="58AE1A08"/>
    <w:rsid w:val="58B3266F"/>
    <w:rsid w:val="58C06EB6"/>
    <w:rsid w:val="58C73D2B"/>
    <w:rsid w:val="58C82205"/>
    <w:rsid w:val="58D776CB"/>
    <w:rsid w:val="58DD06FB"/>
    <w:rsid w:val="58DE3FB3"/>
    <w:rsid w:val="58DF12AD"/>
    <w:rsid w:val="58DF297B"/>
    <w:rsid w:val="58E142A2"/>
    <w:rsid w:val="58E14F84"/>
    <w:rsid w:val="58E25458"/>
    <w:rsid w:val="58EB1DD3"/>
    <w:rsid w:val="58EB4E0A"/>
    <w:rsid w:val="58F25754"/>
    <w:rsid w:val="58F25EB2"/>
    <w:rsid w:val="58F41BC7"/>
    <w:rsid w:val="58F729F0"/>
    <w:rsid w:val="58F73BA2"/>
    <w:rsid w:val="58F91827"/>
    <w:rsid w:val="5909588E"/>
    <w:rsid w:val="5917024A"/>
    <w:rsid w:val="59176FA8"/>
    <w:rsid w:val="591912F5"/>
    <w:rsid w:val="592371EC"/>
    <w:rsid w:val="59263577"/>
    <w:rsid w:val="59311929"/>
    <w:rsid w:val="59325938"/>
    <w:rsid w:val="5933381E"/>
    <w:rsid w:val="593858AE"/>
    <w:rsid w:val="593C2CB6"/>
    <w:rsid w:val="593C7DD5"/>
    <w:rsid w:val="593F4915"/>
    <w:rsid w:val="594713E2"/>
    <w:rsid w:val="594B128F"/>
    <w:rsid w:val="5958499C"/>
    <w:rsid w:val="59641C93"/>
    <w:rsid w:val="596A2F2D"/>
    <w:rsid w:val="59732BF2"/>
    <w:rsid w:val="59790CAD"/>
    <w:rsid w:val="597A18D8"/>
    <w:rsid w:val="59816957"/>
    <w:rsid w:val="5995631A"/>
    <w:rsid w:val="599F6673"/>
    <w:rsid w:val="59A92790"/>
    <w:rsid w:val="59A95CB0"/>
    <w:rsid w:val="59BB56BE"/>
    <w:rsid w:val="59CA0298"/>
    <w:rsid w:val="59CE1795"/>
    <w:rsid w:val="59DB6E0B"/>
    <w:rsid w:val="59ED6FDB"/>
    <w:rsid w:val="59F315E2"/>
    <w:rsid w:val="59F70AB4"/>
    <w:rsid w:val="59FA2BD7"/>
    <w:rsid w:val="59FB3E84"/>
    <w:rsid w:val="59FE6E8A"/>
    <w:rsid w:val="5A024C6A"/>
    <w:rsid w:val="5A102A90"/>
    <w:rsid w:val="5A24295A"/>
    <w:rsid w:val="5A267BEA"/>
    <w:rsid w:val="5A2D1CE5"/>
    <w:rsid w:val="5A2D24DC"/>
    <w:rsid w:val="5A2E3C40"/>
    <w:rsid w:val="5A4171AD"/>
    <w:rsid w:val="5A516035"/>
    <w:rsid w:val="5A565B83"/>
    <w:rsid w:val="5A571F20"/>
    <w:rsid w:val="5A594852"/>
    <w:rsid w:val="5A5E5663"/>
    <w:rsid w:val="5A614394"/>
    <w:rsid w:val="5A6817E3"/>
    <w:rsid w:val="5A6A29C0"/>
    <w:rsid w:val="5A6E10D0"/>
    <w:rsid w:val="5A7B040C"/>
    <w:rsid w:val="5A802998"/>
    <w:rsid w:val="5A990100"/>
    <w:rsid w:val="5A9B019A"/>
    <w:rsid w:val="5AA35606"/>
    <w:rsid w:val="5AA709E6"/>
    <w:rsid w:val="5AAA69D0"/>
    <w:rsid w:val="5AB34EDF"/>
    <w:rsid w:val="5AB37ACF"/>
    <w:rsid w:val="5AB63055"/>
    <w:rsid w:val="5AB83F23"/>
    <w:rsid w:val="5AB94538"/>
    <w:rsid w:val="5ACE2362"/>
    <w:rsid w:val="5AD01F77"/>
    <w:rsid w:val="5AD32BA5"/>
    <w:rsid w:val="5AE17BDC"/>
    <w:rsid w:val="5AE7419B"/>
    <w:rsid w:val="5B0559DC"/>
    <w:rsid w:val="5B0B74F9"/>
    <w:rsid w:val="5B1B4356"/>
    <w:rsid w:val="5B1C10F6"/>
    <w:rsid w:val="5B1E0CE9"/>
    <w:rsid w:val="5B1F2396"/>
    <w:rsid w:val="5B282AE1"/>
    <w:rsid w:val="5B2F074D"/>
    <w:rsid w:val="5B365C93"/>
    <w:rsid w:val="5B3F3F8B"/>
    <w:rsid w:val="5B433170"/>
    <w:rsid w:val="5B454E59"/>
    <w:rsid w:val="5B564CB8"/>
    <w:rsid w:val="5B565C6A"/>
    <w:rsid w:val="5B581D86"/>
    <w:rsid w:val="5B5A46F0"/>
    <w:rsid w:val="5B61635C"/>
    <w:rsid w:val="5B6345C4"/>
    <w:rsid w:val="5B694969"/>
    <w:rsid w:val="5B726A32"/>
    <w:rsid w:val="5B760B02"/>
    <w:rsid w:val="5B773BBC"/>
    <w:rsid w:val="5B7808F6"/>
    <w:rsid w:val="5B852AF2"/>
    <w:rsid w:val="5B8A3523"/>
    <w:rsid w:val="5B8B34B8"/>
    <w:rsid w:val="5B962799"/>
    <w:rsid w:val="5B9D46AE"/>
    <w:rsid w:val="5B9F289F"/>
    <w:rsid w:val="5BA135F4"/>
    <w:rsid w:val="5BA20012"/>
    <w:rsid w:val="5BA650E9"/>
    <w:rsid w:val="5BAA1F6A"/>
    <w:rsid w:val="5BAA5AC3"/>
    <w:rsid w:val="5BAD01EC"/>
    <w:rsid w:val="5BAF4D36"/>
    <w:rsid w:val="5BB24252"/>
    <w:rsid w:val="5BB43D1D"/>
    <w:rsid w:val="5BB97460"/>
    <w:rsid w:val="5BB977D1"/>
    <w:rsid w:val="5BC17FFF"/>
    <w:rsid w:val="5BD867C7"/>
    <w:rsid w:val="5BD9294F"/>
    <w:rsid w:val="5BDD7C46"/>
    <w:rsid w:val="5BEC1ACF"/>
    <w:rsid w:val="5C023827"/>
    <w:rsid w:val="5C052A04"/>
    <w:rsid w:val="5C096858"/>
    <w:rsid w:val="5C0A4328"/>
    <w:rsid w:val="5C0A7448"/>
    <w:rsid w:val="5C0C53B4"/>
    <w:rsid w:val="5C13781A"/>
    <w:rsid w:val="5C191FC5"/>
    <w:rsid w:val="5C280690"/>
    <w:rsid w:val="5C3C208E"/>
    <w:rsid w:val="5C3C57E9"/>
    <w:rsid w:val="5C400642"/>
    <w:rsid w:val="5C4006F6"/>
    <w:rsid w:val="5C417C90"/>
    <w:rsid w:val="5C436C0C"/>
    <w:rsid w:val="5C4E4BE2"/>
    <w:rsid w:val="5C525E67"/>
    <w:rsid w:val="5C5D4170"/>
    <w:rsid w:val="5C6122EA"/>
    <w:rsid w:val="5C62151D"/>
    <w:rsid w:val="5C690F7A"/>
    <w:rsid w:val="5C700BF3"/>
    <w:rsid w:val="5C74712D"/>
    <w:rsid w:val="5C774085"/>
    <w:rsid w:val="5C81790A"/>
    <w:rsid w:val="5C8452C1"/>
    <w:rsid w:val="5C8978EB"/>
    <w:rsid w:val="5C8B3E05"/>
    <w:rsid w:val="5C912A62"/>
    <w:rsid w:val="5C94342A"/>
    <w:rsid w:val="5C9A78C6"/>
    <w:rsid w:val="5CA80DD7"/>
    <w:rsid w:val="5CB6325A"/>
    <w:rsid w:val="5CB63678"/>
    <w:rsid w:val="5CC03B13"/>
    <w:rsid w:val="5CD14F44"/>
    <w:rsid w:val="5CD95364"/>
    <w:rsid w:val="5CE15B5F"/>
    <w:rsid w:val="5CE26051"/>
    <w:rsid w:val="5CF55F73"/>
    <w:rsid w:val="5D003B9E"/>
    <w:rsid w:val="5D0433A7"/>
    <w:rsid w:val="5D053AA5"/>
    <w:rsid w:val="5D0568C6"/>
    <w:rsid w:val="5D097FDA"/>
    <w:rsid w:val="5D0B129F"/>
    <w:rsid w:val="5D0F3700"/>
    <w:rsid w:val="5D177E53"/>
    <w:rsid w:val="5D1D20C1"/>
    <w:rsid w:val="5D24022A"/>
    <w:rsid w:val="5D272EA3"/>
    <w:rsid w:val="5D2D78D4"/>
    <w:rsid w:val="5D341CC2"/>
    <w:rsid w:val="5D3C610A"/>
    <w:rsid w:val="5D5078D2"/>
    <w:rsid w:val="5D6243CB"/>
    <w:rsid w:val="5D625DA6"/>
    <w:rsid w:val="5D645AE4"/>
    <w:rsid w:val="5D69465F"/>
    <w:rsid w:val="5D6A32A6"/>
    <w:rsid w:val="5D786DAE"/>
    <w:rsid w:val="5D787612"/>
    <w:rsid w:val="5D7B4941"/>
    <w:rsid w:val="5D844E75"/>
    <w:rsid w:val="5D846AB7"/>
    <w:rsid w:val="5D880EDF"/>
    <w:rsid w:val="5D8C4380"/>
    <w:rsid w:val="5D987769"/>
    <w:rsid w:val="5D99074E"/>
    <w:rsid w:val="5D990BA1"/>
    <w:rsid w:val="5D9C50E2"/>
    <w:rsid w:val="5D9C7F22"/>
    <w:rsid w:val="5DB67292"/>
    <w:rsid w:val="5DC24512"/>
    <w:rsid w:val="5DC86E2A"/>
    <w:rsid w:val="5DCB1B79"/>
    <w:rsid w:val="5DCE4A0E"/>
    <w:rsid w:val="5DD8243E"/>
    <w:rsid w:val="5DD9159E"/>
    <w:rsid w:val="5DDA4464"/>
    <w:rsid w:val="5DDC256A"/>
    <w:rsid w:val="5DDF631F"/>
    <w:rsid w:val="5DE141DD"/>
    <w:rsid w:val="5DE971C5"/>
    <w:rsid w:val="5DED34F2"/>
    <w:rsid w:val="5DF11774"/>
    <w:rsid w:val="5E087C08"/>
    <w:rsid w:val="5E0C6097"/>
    <w:rsid w:val="5E165596"/>
    <w:rsid w:val="5E177386"/>
    <w:rsid w:val="5E215240"/>
    <w:rsid w:val="5E275A40"/>
    <w:rsid w:val="5E3512D6"/>
    <w:rsid w:val="5E380327"/>
    <w:rsid w:val="5E38283E"/>
    <w:rsid w:val="5E396476"/>
    <w:rsid w:val="5E3F1023"/>
    <w:rsid w:val="5E453A24"/>
    <w:rsid w:val="5E484FCA"/>
    <w:rsid w:val="5E5028CE"/>
    <w:rsid w:val="5E532DB9"/>
    <w:rsid w:val="5E575414"/>
    <w:rsid w:val="5E5F128B"/>
    <w:rsid w:val="5E5F1A91"/>
    <w:rsid w:val="5E603E2D"/>
    <w:rsid w:val="5E610551"/>
    <w:rsid w:val="5E625BE7"/>
    <w:rsid w:val="5E6E0C0A"/>
    <w:rsid w:val="5E6F4495"/>
    <w:rsid w:val="5E7941AF"/>
    <w:rsid w:val="5E865ED7"/>
    <w:rsid w:val="5E8B3797"/>
    <w:rsid w:val="5E8C5504"/>
    <w:rsid w:val="5E94045D"/>
    <w:rsid w:val="5E954808"/>
    <w:rsid w:val="5E957156"/>
    <w:rsid w:val="5E9B3F2C"/>
    <w:rsid w:val="5E9E1513"/>
    <w:rsid w:val="5EA3053D"/>
    <w:rsid w:val="5EA52A3E"/>
    <w:rsid w:val="5EA71748"/>
    <w:rsid w:val="5EA94306"/>
    <w:rsid w:val="5EA97FF0"/>
    <w:rsid w:val="5EAD2E70"/>
    <w:rsid w:val="5EB240C6"/>
    <w:rsid w:val="5EB24A8D"/>
    <w:rsid w:val="5EBB253D"/>
    <w:rsid w:val="5EBB30E1"/>
    <w:rsid w:val="5EBB6B59"/>
    <w:rsid w:val="5EBD61FE"/>
    <w:rsid w:val="5EC23D29"/>
    <w:rsid w:val="5ECA6085"/>
    <w:rsid w:val="5ECB286C"/>
    <w:rsid w:val="5ED73F99"/>
    <w:rsid w:val="5EE132DF"/>
    <w:rsid w:val="5EE31C71"/>
    <w:rsid w:val="5EEB540B"/>
    <w:rsid w:val="5EEC6D03"/>
    <w:rsid w:val="5EEF3DD7"/>
    <w:rsid w:val="5EF3776B"/>
    <w:rsid w:val="5EF47884"/>
    <w:rsid w:val="5F021163"/>
    <w:rsid w:val="5F06045A"/>
    <w:rsid w:val="5F0957EA"/>
    <w:rsid w:val="5F0A1374"/>
    <w:rsid w:val="5F13532E"/>
    <w:rsid w:val="5F1B16B2"/>
    <w:rsid w:val="5F20227F"/>
    <w:rsid w:val="5F206759"/>
    <w:rsid w:val="5F251A63"/>
    <w:rsid w:val="5F282E0A"/>
    <w:rsid w:val="5F2B5B2C"/>
    <w:rsid w:val="5F2F23F6"/>
    <w:rsid w:val="5F3B4F99"/>
    <w:rsid w:val="5F450064"/>
    <w:rsid w:val="5F580F23"/>
    <w:rsid w:val="5F5A5079"/>
    <w:rsid w:val="5F5F25E2"/>
    <w:rsid w:val="5F5F4531"/>
    <w:rsid w:val="5F621CAD"/>
    <w:rsid w:val="5F675784"/>
    <w:rsid w:val="5F6A5203"/>
    <w:rsid w:val="5F6A7AE4"/>
    <w:rsid w:val="5F6C193A"/>
    <w:rsid w:val="5F700DD2"/>
    <w:rsid w:val="5F7C28A3"/>
    <w:rsid w:val="5F7D6EFC"/>
    <w:rsid w:val="5F9153D7"/>
    <w:rsid w:val="5F9779BF"/>
    <w:rsid w:val="5FA05683"/>
    <w:rsid w:val="5FA51ADF"/>
    <w:rsid w:val="5FA53DFB"/>
    <w:rsid w:val="5FA858AE"/>
    <w:rsid w:val="5FAC77F1"/>
    <w:rsid w:val="5FAF154F"/>
    <w:rsid w:val="5FB72A38"/>
    <w:rsid w:val="5FBA722C"/>
    <w:rsid w:val="5FC0149F"/>
    <w:rsid w:val="5FC3621F"/>
    <w:rsid w:val="5FCB72C4"/>
    <w:rsid w:val="5FDB50CC"/>
    <w:rsid w:val="5FE76AC9"/>
    <w:rsid w:val="5FEB7354"/>
    <w:rsid w:val="5FEC6653"/>
    <w:rsid w:val="5FF51AF7"/>
    <w:rsid w:val="5FFA000C"/>
    <w:rsid w:val="5FFC64AB"/>
    <w:rsid w:val="600C46C2"/>
    <w:rsid w:val="600F3527"/>
    <w:rsid w:val="600F7B09"/>
    <w:rsid w:val="601530CD"/>
    <w:rsid w:val="601F4BC4"/>
    <w:rsid w:val="6020568B"/>
    <w:rsid w:val="602616BC"/>
    <w:rsid w:val="602B73A6"/>
    <w:rsid w:val="60353358"/>
    <w:rsid w:val="603762EA"/>
    <w:rsid w:val="60401190"/>
    <w:rsid w:val="60410F2C"/>
    <w:rsid w:val="6043279C"/>
    <w:rsid w:val="604C0C1D"/>
    <w:rsid w:val="60624B92"/>
    <w:rsid w:val="606759A5"/>
    <w:rsid w:val="606C7176"/>
    <w:rsid w:val="60704B6C"/>
    <w:rsid w:val="60735710"/>
    <w:rsid w:val="60760557"/>
    <w:rsid w:val="60850D72"/>
    <w:rsid w:val="608762D7"/>
    <w:rsid w:val="608A35BD"/>
    <w:rsid w:val="608B2E33"/>
    <w:rsid w:val="608E5194"/>
    <w:rsid w:val="608F3BE5"/>
    <w:rsid w:val="60925707"/>
    <w:rsid w:val="609529A9"/>
    <w:rsid w:val="609D0946"/>
    <w:rsid w:val="60AF28D2"/>
    <w:rsid w:val="60BC3E20"/>
    <w:rsid w:val="60CC429D"/>
    <w:rsid w:val="60D23868"/>
    <w:rsid w:val="60D77A66"/>
    <w:rsid w:val="60D801CA"/>
    <w:rsid w:val="60DB3A8C"/>
    <w:rsid w:val="60E37CB4"/>
    <w:rsid w:val="60E82759"/>
    <w:rsid w:val="60F32C80"/>
    <w:rsid w:val="60F74C00"/>
    <w:rsid w:val="61036B12"/>
    <w:rsid w:val="610F5FB1"/>
    <w:rsid w:val="61136A61"/>
    <w:rsid w:val="611E49D5"/>
    <w:rsid w:val="61205CC1"/>
    <w:rsid w:val="6128702F"/>
    <w:rsid w:val="612C63A0"/>
    <w:rsid w:val="613260BA"/>
    <w:rsid w:val="613B70C0"/>
    <w:rsid w:val="6143028B"/>
    <w:rsid w:val="614C5C14"/>
    <w:rsid w:val="61692875"/>
    <w:rsid w:val="616D1214"/>
    <w:rsid w:val="61722E2C"/>
    <w:rsid w:val="61771D19"/>
    <w:rsid w:val="617B5D1B"/>
    <w:rsid w:val="61840F78"/>
    <w:rsid w:val="6187733B"/>
    <w:rsid w:val="618B0B87"/>
    <w:rsid w:val="618B7596"/>
    <w:rsid w:val="61943858"/>
    <w:rsid w:val="61990B98"/>
    <w:rsid w:val="619A2588"/>
    <w:rsid w:val="619B058F"/>
    <w:rsid w:val="619D35CF"/>
    <w:rsid w:val="619F31FE"/>
    <w:rsid w:val="61A05C0F"/>
    <w:rsid w:val="61A22766"/>
    <w:rsid w:val="61A407C5"/>
    <w:rsid w:val="61B6042F"/>
    <w:rsid w:val="61B720F4"/>
    <w:rsid w:val="61BD3D2F"/>
    <w:rsid w:val="61BF046F"/>
    <w:rsid w:val="61BF1FFF"/>
    <w:rsid w:val="61C36638"/>
    <w:rsid w:val="61D7653F"/>
    <w:rsid w:val="61DB3A19"/>
    <w:rsid w:val="61DE1191"/>
    <w:rsid w:val="61ED23D5"/>
    <w:rsid w:val="61EF0ECD"/>
    <w:rsid w:val="61F26F42"/>
    <w:rsid w:val="61F91C17"/>
    <w:rsid w:val="620643AB"/>
    <w:rsid w:val="62082A2F"/>
    <w:rsid w:val="62097515"/>
    <w:rsid w:val="6210729B"/>
    <w:rsid w:val="62116F98"/>
    <w:rsid w:val="621E6AE3"/>
    <w:rsid w:val="62200932"/>
    <w:rsid w:val="6224450C"/>
    <w:rsid w:val="623F0996"/>
    <w:rsid w:val="62434EDC"/>
    <w:rsid w:val="62446DF1"/>
    <w:rsid w:val="62584404"/>
    <w:rsid w:val="625C328D"/>
    <w:rsid w:val="626D60B9"/>
    <w:rsid w:val="62775293"/>
    <w:rsid w:val="627938DC"/>
    <w:rsid w:val="628665D7"/>
    <w:rsid w:val="62904E26"/>
    <w:rsid w:val="62975023"/>
    <w:rsid w:val="629939E2"/>
    <w:rsid w:val="629E4022"/>
    <w:rsid w:val="62A8028B"/>
    <w:rsid w:val="62A904BF"/>
    <w:rsid w:val="62AA315B"/>
    <w:rsid w:val="62B54F29"/>
    <w:rsid w:val="62B641CE"/>
    <w:rsid w:val="62BE6A24"/>
    <w:rsid w:val="62CE631C"/>
    <w:rsid w:val="62D13935"/>
    <w:rsid w:val="62D71FAE"/>
    <w:rsid w:val="62E30C1B"/>
    <w:rsid w:val="62E65394"/>
    <w:rsid w:val="62F15FE8"/>
    <w:rsid w:val="62F31E13"/>
    <w:rsid w:val="62F75922"/>
    <w:rsid w:val="62F82FE1"/>
    <w:rsid w:val="62FB1B74"/>
    <w:rsid w:val="63010748"/>
    <w:rsid w:val="630F0E2E"/>
    <w:rsid w:val="63102DA9"/>
    <w:rsid w:val="63121DE5"/>
    <w:rsid w:val="63185F69"/>
    <w:rsid w:val="632705B4"/>
    <w:rsid w:val="6335712F"/>
    <w:rsid w:val="6338336D"/>
    <w:rsid w:val="633A6FD2"/>
    <w:rsid w:val="634516D6"/>
    <w:rsid w:val="63460FA4"/>
    <w:rsid w:val="63494A2A"/>
    <w:rsid w:val="634B4E44"/>
    <w:rsid w:val="634B7199"/>
    <w:rsid w:val="634D1F57"/>
    <w:rsid w:val="634D30BF"/>
    <w:rsid w:val="635007C6"/>
    <w:rsid w:val="6364191F"/>
    <w:rsid w:val="63641F83"/>
    <w:rsid w:val="6365229E"/>
    <w:rsid w:val="63717600"/>
    <w:rsid w:val="637B6F38"/>
    <w:rsid w:val="637D6348"/>
    <w:rsid w:val="637E7914"/>
    <w:rsid w:val="638849A2"/>
    <w:rsid w:val="63885157"/>
    <w:rsid w:val="638B597B"/>
    <w:rsid w:val="639707E6"/>
    <w:rsid w:val="639D1949"/>
    <w:rsid w:val="63A23F48"/>
    <w:rsid w:val="63A31EB4"/>
    <w:rsid w:val="63B16ED0"/>
    <w:rsid w:val="63B20D9B"/>
    <w:rsid w:val="63B94F18"/>
    <w:rsid w:val="63BA484F"/>
    <w:rsid w:val="63BB3118"/>
    <w:rsid w:val="63C47114"/>
    <w:rsid w:val="63CD7484"/>
    <w:rsid w:val="63CE7C55"/>
    <w:rsid w:val="63D06BB7"/>
    <w:rsid w:val="63D53221"/>
    <w:rsid w:val="63E36FF2"/>
    <w:rsid w:val="63EC2BA8"/>
    <w:rsid w:val="63F53709"/>
    <w:rsid w:val="63F702DC"/>
    <w:rsid w:val="63FB2D01"/>
    <w:rsid w:val="63FF5098"/>
    <w:rsid w:val="64066B40"/>
    <w:rsid w:val="640A7CFF"/>
    <w:rsid w:val="64100980"/>
    <w:rsid w:val="641A11E0"/>
    <w:rsid w:val="641E6B1E"/>
    <w:rsid w:val="641F316D"/>
    <w:rsid w:val="64202477"/>
    <w:rsid w:val="642E1225"/>
    <w:rsid w:val="642E7E6B"/>
    <w:rsid w:val="644B5969"/>
    <w:rsid w:val="644E03D7"/>
    <w:rsid w:val="644F29EE"/>
    <w:rsid w:val="64581B32"/>
    <w:rsid w:val="64584691"/>
    <w:rsid w:val="64683238"/>
    <w:rsid w:val="646D5415"/>
    <w:rsid w:val="646F7AB3"/>
    <w:rsid w:val="647669FF"/>
    <w:rsid w:val="648026AB"/>
    <w:rsid w:val="6487233A"/>
    <w:rsid w:val="648A147F"/>
    <w:rsid w:val="648D48BF"/>
    <w:rsid w:val="648F3856"/>
    <w:rsid w:val="6495552F"/>
    <w:rsid w:val="649F3E0A"/>
    <w:rsid w:val="64A22404"/>
    <w:rsid w:val="64A506EC"/>
    <w:rsid w:val="64AD12CC"/>
    <w:rsid w:val="64AD7A97"/>
    <w:rsid w:val="64AF0990"/>
    <w:rsid w:val="64AF4120"/>
    <w:rsid w:val="64B058E0"/>
    <w:rsid w:val="64B4348D"/>
    <w:rsid w:val="64B9580D"/>
    <w:rsid w:val="64C23E9B"/>
    <w:rsid w:val="64C81840"/>
    <w:rsid w:val="64CA2B88"/>
    <w:rsid w:val="64CC0A0E"/>
    <w:rsid w:val="64D27B8D"/>
    <w:rsid w:val="64D370D6"/>
    <w:rsid w:val="64D527E8"/>
    <w:rsid w:val="64D92DBE"/>
    <w:rsid w:val="64E32F3F"/>
    <w:rsid w:val="64E6172F"/>
    <w:rsid w:val="64E86FA9"/>
    <w:rsid w:val="64EF5299"/>
    <w:rsid w:val="64EF580D"/>
    <w:rsid w:val="64F0143E"/>
    <w:rsid w:val="64FF7EE0"/>
    <w:rsid w:val="6507187C"/>
    <w:rsid w:val="650E2FA8"/>
    <w:rsid w:val="653F5E6C"/>
    <w:rsid w:val="65423201"/>
    <w:rsid w:val="655B2B87"/>
    <w:rsid w:val="656731AB"/>
    <w:rsid w:val="65674F7C"/>
    <w:rsid w:val="65676008"/>
    <w:rsid w:val="65773727"/>
    <w:rsid w:val="65790FD3"/>
    <w:rsid w:val="657A0356"/>
    <w:rsid w:val="657B43D4"/>
    <w:rsid w:val="658D1C66"/>
    <w:rsid w:val="659257DC"/>
    <w:rsid w:val="659363F6"/>
    <w:rsid w:val="659821EE"/>
    <w:rsid w:val="65997273"/>
    <w:rsid w:val="65A2414A"/>
    <w:rsid w:val="65B250A0"/>
    <w:rsid w:val="65B85461"/>
    <w:rsid w:val="65BA6CAF"/>
    <w:rsid w:val="65C532ED"/>
    <w:rsid w:val="65C63AE3"/>
    <w:rsid w:val="65C97926"/>
    <w:rsid w:val="65CC1055"/>
    <w:rsid w:val="65CC3D8A"/>
    <w:rsid w:val="65CC77A6"/>
    <w:rsid w:val="65CF78B0"/>
    <w:rsid w:val="65D86766"/>
    <w:rsid w:val="65E114B3"/>
    <w:rsid w:val="65E5731B"/>
    <w:rsid w:val="65E73D67"/>
    <w:rsid w:val="65E94D0A"/>
    <w:rsid w:val="65F052E3"/>
    <w:rsid w:val="65F633BF"/>
    <w:rsid w:val="65F83B3B"/>
    <w:rsid w:val="66047635"/>
    <w:rsid w:val="660D0DEA"/>
    <w:rsid w:val="660F1EA8"/>
    <w:rsid w:val="660F2EC6"/>
    <w:rsid w:val="661243F2"/>
    <w:rsid w:val="66150ED4"/>
    <w:rsid w:val="66253465"/>
    <w:rsid w:val="662A2399"/>
    <w:rsid w:val="663536E9"/>
    <w:rsid w:val="66376D83"/>
    <w:rsid w:val="663B18D7"/>
    <w:rsid w:val="66403FF3"/>
    <w:rsid w:val="664917BD"/>
    <w:rsid w:val="664A0F9D"/>
    <w:rsid w:val="664D5C7F"/>
    <w:rsid w:val="664D76C0"/>
    <w:rsid w:val="665B77F3"/>
    <w:rsid w:val="666971C5"/>
    <w:rsid w:val="666E6F40"/>
    <w:rsid w:val="66737359"/>
    <w:rsid w:val="66814ECE"/>
    <w:rsid w:val="66884EA2"/>
    <w:rsid w:val="668E790E"/>
    <w:rsid w:val="66936AF1"/>
    <w:rsid w:val="66946997"/>
    <w:rsid w:val="66947844"/>
    <w:rsid w:val="669716F7"/>
    <w:rsid w:val="669D3CB1"/>
    <w:rsid w:val="669E0760"/>
    <w:rsid w:val="66A57339"/>
    <w:rsid w:val="66A64819"/>
    <w:rsid w:val="66AB4946"/>
    <w:rsid w:val="66AF2330"/>
    <w:rsid w:val="66C27D00"/>
    <w:rsid w:val="66C41AA4"/>
    <w:rsid w:val="66D20119"/>
    <w:rsid w:val="66D26855"/>
    <w:rsid w:val="66E4326F"/>
    <w:rsid w:val="66EC7D68"/>
    <w:rsid w:val="66F40766"/>
    <w:rsid w:val="66FC1377"/>
    <w:rsid w:val="66FE38F4"/>
    <w:rsid w:val="670B4A16"/>
    <w:rsid w:val="670F0CF4"/>
    <w:rsid w:val="67183051"/>
    <w:rsid w:val="672020E6"/>
    <w:rsid w:val="672459EB"/>
    <w:rsid w:val="672742A4"/>
    <w:rsid w:val="672D6F5B"/>
    <w:rsid w:val="673531EA"/>
    <w:rsid w:val="67357AB0"/>
    <w:rsid w:val="673A0D3B"/>
    <w:rsid w:val="673A7C6C"/>
    <w:rsid w:val="673B5233"/>
    <w:rsid w:val="673D23B0"/>
    <w:rsid w:val="6747733F"/>
    <w:rsid w:val="674A67F5"/>
    <w:rsid w:val="674C4184"/>
    <w:rsid w:val="675562D1"/>
    <w:rsid w:val="67566502"/>
    <w:rsid w:val="675A1EA3"/>
    <w:rsid w:val="6769166A"/>
    <w:rsid w:val="6773312C"/>
    <w:rsid w:val="67750237"/>
    <w:rsid w:val="677A4F6B"/>
    <w:rsid w:val="677D7738"/>
    <w:rsid w:val="67805F58"/>
    <w:rsid w:val="67856B9E"/>
    <w:rsid w:val="678B0CE6"/>
    <w:rsid w:val="678B2084"/>
    <w:rsid w:val="678B75EF"/>
    <w:rsid w:val="679A715C"/>
    <w:rsid w:val="67A7705F"/>
    <w:rsid w:val="67A9736D"/>
    <w:rsid w:val="67AA6681"/>
    <w:rsid w:val="67AE1208"/>
    <w:rsid w:val="67AF6B0F"/>
    <w:rsid w:val="67B3757C"/>
    <w:rsid w:val="67C029FF"/>
    <w:rsid w:val="67C1097F"/>
    <w:rsid w:val="67C22F25"/>
    <w:rsid w:val="67C93395"/>
    <w:rsid w:val="67CD3BBF"/>
    <w:rsid w:val="67D145C3"/>
    <w:rsid w:val="67E175A1"/>
    <w:rsid w:val="67E65243"/>
    <w:rsid w:val="67ED6EEB"/>
    <w:rsid w:val="67F15E56"/>
    <w:rsid w:val="67F22154"/>
    <w:rsid w:val="67F34CFC"/>
    <w:rsid w:val="67F96914"/>
    <w:rsid w:val="67FE4B5E"/>
    <w:rsid w:val="68062501"/>
    <w:rsid w:val="68070204"/>
    <w:rsid w:val="68073DD9"/>
    <w:rsid w:val="680D06FD"/>
    <w:rsid w:val="68107848"/>
    <w:rsid w:val="68121662"/>
    <w:rsid w:val="68155B5B"/>
    <w:rsid w:val="681910C6"/>
    <w:rsid w:val="681938D2"/>
    <w:rsid w:val="681E3BC7"/>
    <w:rsid w:val="681F7AC7"/>
    <w:rsid w:val="68207F5F"/>
    <w:rsid w:val="68244969"/>
    <w:rsid w:val="682E0A98"/>
    <w:rsid w:val="682E6253"/>
    <w:rsid w:val="68385B60"/>
    <w:rsid w:val="68400450"/>
    <w:rsid w:val="68414C08"/>
    <w:rsid w:val="684418D5"/>
    <w:rsid w:val="684D30E6"/>
    <w:rsid w:val="685C5285"/>
    <w:rsid w:val="68617557"/>
    <w:rsid w:val="68646F22"/>
    <w:rsid w:val="686A786C"/>
    <w:rsid w:val="686C56A1"/>
    <w:rsid w:val="686E05AE"/>
    <w:rsid w:val="687F2164"/>
    <w:rsid w:val="68822C0A"/>
    <w:rsid w:val="688344C7"/>
    <w:rsid w:val="6886329D"/>
    <w:rsid w:val="688E2CA7"/>
    <w:rsid w:val="6893341A"/>
    <w:rsid w:val="68940D9C"/>
    <w:rsid w:val="689705A5"/>
    <w:rsid w:val="689F6D79"/>
    <w:rsid w:val="68A4766D"/>
    <w:rsid w:val="68A711FD"/>
    <w:rsid w:val="68A7223F"/>
    <w:rsid w:val="68AB348C"/>
    <w:rsid w:val="68AD08CA"/>
    <w:rsid w:val="68AD54CE"/>
    <w:rsid w:val="68B73068"/>
    <w:rsid w:val="68CA2DFA"/>
    <w:rsid w:val="68CC1584"/>
    <w:rsid w:val="68CE5B6F"/>
    <w:rsid w:val="68CF1A3B"/>
    <w:rsid w:val="68D1428C"/>
    <w:rsid w:val="68D51F5F"/>
    <w:rsid w:val="68E56CF3"/>
    <w:rsid w:val="68EA7973"/>
    <w:rsid w:val="68ED5E3F"/>
    <w:rsid w:val="68F0351C"/>
    <w:rsid w:val="68F71EA4"/>
    <w:rsid w:val="68FD3D2D"/>
    <w:rsid w:val="6900126F"/>
    <w:rsid w:val="69044874"/>
    <w:rsid w:val="690D7BC6"/>
    <w:rsid w:val="690F6293"/>
    <w:rsid w:val="691909FD"/>
    <w:rsid w:val="691B4EB4"/>
    <w:rsid w:val="691E52F0"/>
    <w:rsid w:val="691E788E"/>
    <w:rsid w:val="692D5F2E"/>
    <w:rsid w:val="692E2FE5"/>
    <w:rsid w:val="692F568E"/>
    <w:rsid w:val="69317FF0"/>
    <w:rsid w:val="69321FFD"/>
    <w:rsid w:val="69344A4E"/>
    <w:rsid w:val="693E6BC7"/>
    <w:rsid w:val="69451E5A"/>
    <w:rsid w:val="69466635"/>
    <w:rsid w:val="694E5B3B"/>
    <w:rsid w:val="69527D16"/>
    <w:rsid w:val="695D1F03"/>
    <w:rsid w:val="696504D2"/>
    <w:rsid w:val="697A53F8"/>
    <w:rsid w:val="697E27FC"/>
    <w:rsid w:val="697E7E86"/>
    <w:rsid w:val="698108AE"/>
    <w:rsid w:val="698C09C5"/>
    <w:rsid w:val="699329F6"/>
    <w:rsid w:val="69943848"/>
    <w:rsid w:val="699A713E"/>
    <w:rsid w:val="699B4CA3"/>
    <w:rsid w:val="69A10931"/>
    <w:rsid w:val="69AE5124"/>
    <w:rsid w:val="69B73E0C"/>
    <w:rsid w:val="69B93736"/>
    <w:rsid w:val="69C92D08"/>
    <w:rsid w:val="69E533E8"/>
    <w:rsid w:val="69F803FB"/>
    <w:rsid w:val="69F97171"/>
    <w:rsid w:val="69FC3345"/>
    <w:rsid w:val="6A03080C"/>
    <w:rsid w:val="6A0451E7"/>
    <w:rsid w:val="6A0A01F1"/>
    <w:rsid w:val="6A0A685B"/>
    <w:rsid w:val="6A0F1075"/>
    <w:rsid w:val="6A1840F6"/>
    <w:rsid w:val="6A1D6552"/>
    <w:rsid w:val="6A1E690D"/>
    <w:rsid w:val="6A217FBD"/>
    <w:rsid w:val="6A35656D"/>
    <w:rsid w:val="6A3B5ECC"/>
    <w:rsid w:val="6A3D79AE"/>
    <w:rsid w:val="6A4236C9"/>
    <w:rsid w:val="6A5D26C8"/>
    <w:rsid w:val="6A5D2CE4"/>
    <w:rsid w:val="6A6560C6"/>
    <w:rsid w:val="6A695165"/>
    <w:rsid w:val="6A782301"/>
    <w:rsid w:val="6A793123"/>
    <w:rsid w:val="6A7A6831"/>
    <w:rsid w:val="6A7A7AEF"/>
    <w:rsid w:val="6A846FA2"/>
    <w:rsid w:val="6A862D26"/>
    <w:rsid w:val="6A8B32BC"/>
    <w:rsid w:val="6A8E044C"/>
    <w:rsid w:val="6A9002A2"/>
    <w:rsid w:val="6A927616"/>
    <w:rsid w:val="6A941DBA"/>
    <w:rsid w:val="6A991473"/>
    <w:rsid w:val="6AA0031C"/>
    <w:rsid w:val="6AA560D1"/>
    <w:rsid w:val="6AAD512E"/>
    <w:rsid w:val="6AAF2BA9"/>
    <w:rsid w:val="6AB00E44"/>
    <w:rsid w:val="6AB50BA6"/>
    <w:rsid w:val="6AB87CA2"/>
    <w:rsid w:val="6ABF0F28"/>
    <w:rsid w:val="6AC303A6"/>
    <w:rsid w:val="6ACD4F82"/>
    <w:rsid w:val="6AD11CDB"/>
    <w:rsid w:val="6AD85B0C"/>
    <w:rsid w:val="6AE40625"/>
    <w:rsid w:val="6AE77883"/>
    <w:rsid w:val="6AEB6A8C"/>
    <w:rsid w:val="6AF175F5"/>
    <w:rsid w:val="6AF3169B"/>
    <w:rsid w:val="6B060C97"/>
    <w:rsid w:val="6B1160EA"/>
    <w:rsid w:val="6B121C58"/>
    <w:rsid w:val="6B1C67CF"/>
    <w:rsid w:val="6B2267B2"/>
    <w:rsid w:val="6B244B72"/>
    <w:rsid w:val="6B2B264C"/>
    <w:rsid w:val="6B2D4BAA"/>
    <w:rsid w:val="6B3B1038"/>
    <w:rsid w:val="6B4A3DE5"/>
    <w:rsid w:val="6B4B351E"/>
    <w:rsid w:val="6B4C7A28"/>
    <w:rsid w:val="6B502C52"/>
    <w:rsid w:val="6B526A2B"/>
    <w:rsid w:val="6B551D09"/>
    <w:rsid w:val="6B585D87"/>
    <w:rsid w:val="6B5C49C2"/>
    <w:rsid w:val="6B660D2B"/>
    <w:rsid w:val="6B68777D"/>
    <w:rsid w:val="6B6A4531"/>
    <w:rsid w:val="6B6B58FF"/>
    <w:rsid w:val="6B700255"/>
    <w:rsid w:val="6B722668"/>
    <w:rsid w:val="6B731AA8"/>
    <w:rsid w:val="6B7542BE"/>
    <w:rsid w:val="6B757AB9"/>
    <w:rsid w:val="6B7C0C6F"/>
    <w:rsid w:val="6B7D2AE4"/>
    <w:rsid w:val="6B8E66E4"/>
    <w:rsid w:val="6B9259C6"/>
    <w:rsid w:val="6B954C4D"/>
    <w:rsid w:val="6B984171"/>
    <w:rsid w:val="6B994D3E"/>
    <w:rsid w:val="6B9F797D"/>
    <w:rsid w:val="6BA260BD"/>
    <w:rsid w:val="6BAA5CA7"/>
    <w:rsid w:val="6BAB7270"/>
    <w:rsid w:val="6BAD7854"/>
    <w:rsid w:val="6BAE24E5"/>
    <w:rsid w:val="6BB10498"/>
    <w:rsid w:val="6BC05C14"/>
    <w:rsid w:val="6BC34A2C"/>
    <w:rsid w:val="6BCE46E7"/>
    <w:rsid w:val="6BD46073"/>
    <w:rsid w:val="6BDA540B"/>
    <w:rsid w:val="6BDB169E"/>
    <w:rsid w:val="6BDD64E7"/>
    <w:rsid w:val="6BE35AAA"/>
    <w:rsid w:val="6BE50141"/>
    <w:rsid w:val="6BE56022"/>
    <w:rsid w:val="6BE60141"/>
    <w:rsid w:val="6BE91303"/>
    <w:rsid w:val="6BF35000"/>
    <w:rsid w:val="6BFD7CC2"/>
    <w:rsid w:val="6BFF2A20"/>
    <w:rsid w:val="6C0E5AF8"/>
    <w:rsid w:val="6C0E780C"/>
    <w:rsid w:val="6C1121BE"/>
    <w:rsid w:val="6C1455AD"/>
    <w:rsid w:val="6C202FFF"/>
    <w:rsid w:val="6C2131DC"/>
    <w:rsid w:val="6C2A678A"/>
    <w:rsid w:val="6C382A9F"/>
    <w:rsid w:val="6C404AD6"/>
    <w:rsid w:val="6C41211F"/>
    <w:rsid w:val="6C52345D"/>
    <w:rsid w:val="6C5839F1"/>
    <w:rsid w:val="6C587807"/>
    <w:rsid w:val="6C6319AA"/>
    <w:rsid w:val="6C69724B"/>
    <w:rsid w:val="6C6A7A21"/>
    <w:rsid w:val="6C6D159A"/>
    <w:rsid w:val="6C742BBE"/>
    <w:rsid w:val="6C79732B"/>
    <w:rsid w:val="6C864BA0"/>
    <w:rsid w:val="6C8A39AF"/>
    <w:rsid w:val="6C9309D2"/>
    <w:rsid w:val="6CA128B4"/>
    <w:rsid w:val="6CA173AD"/>
    <w:rsid w:val="6CA3574A"/>
    <w:rsid w:val="6CA6550A"/>
    <w:rsid w:val="6CA82595"/>
    <w:rsid w:val="6CA90AF6"/>
    <w:rsid w:val="6CAF54B1"/>
    <w:rsid w:val="6CB1291D"/>
    <w:rsid w:val="6CB41A04"/>
    <w:rsid w:val="6CC531B9"/>
    <w:rsid w:val="6CC854E3"/>
    <w:rsid w:val="6CD153D3"/>
    <w:rsid w:val="6CD20C40"/>
    <w:rsid w:val="6CD87BED"/>
    <w:rsid w:val="6CDF3C53"/>
    <w:rsid w:val="6CED4A0E"/>
    <w:rsid w:val="6D011B72"/>
    <w:rsid w:val="6D020F07"/>
    <w:rsid w:val="6D0E3B4D"/>
    <w:rsid w:val="6D150E64"/>
    <w:rsid w:val="6D164616"/>
    <w:rsid w:val="6D182158"/>
    <w:rsid w:val="6D215676"/>
    <w:rsid w:val="6D242707"/>
    <w:rsid w:val="6D263DF1"/>
    <w:rsid w:val="6D271560"/>
    <w:rsid w:val="6D310140"/>
    <w:rsid w:val="6D312E2B"/>
    <w:rsid w:val="6D3512C5"/>
    <w:rsid w:val="6D3531D1"/>
    <w:rsid w:val="6D3935F1"/>
    <w:rsid w:val="6D487742"/>
    <w:rsid w:val="6D5150A2"/>
    <w:rsid w:val="6D5249F0"/>
    <w:rsid w:val="6D5B6273"/>
    <w:rsid w:val="6D65744F"/>
    <w:rsid w:val="6D6F29A6"/>
    <w:rsid w:val="6D8B6B20"/>
    <w:rsid w:val="6D925C42"/>
    <w:rsid w:val="6D9452B8"/>
    <w:rsid w:val="6D9D42FC"/>
    <w:rsid w:val="6DA01B83"/>
    <w:rsid w:val="6DAA00C2"/>
    <w:rsid w:val="6DAD6CA6"/>
    <w:rsid w:val="6DB17873"/>
    <w:rsid w:val="6DBE53FE"/>
    <w:rsid w:val="6DBF717D"/>
    <w:rsid w:val="6DC027F8"/>
    <w:rsid w:val="6DC30AF7"/>
    <w:rsid w:val="6DC422E0"/>
    <w:rsid w:val="6DD005A8"/>
    <w:rsid w:val="6DD65337"/>
    <w:rsid w:val="6DDA3872"/>
    <w:rsid w:val="6DDD7E1A"/>
    <w:rsid w:val="6DE05AAF"/>
    <w:rsid w:val="6DE340CC"/>
    <w:rsid w:val="6DE80E46"/>
    <w:rsid w:val="6DFC47E1"/>
    <w:rsid w:val="6E0A1F1F"/>
    <w:rsid w:val="6E0D06C6"/>
    <w:rsid w:val="6E0E1448"/>
    <w:rsid w:val="6E1063C0"/>
    <w:rsid w:val="6E153ED3"/>
    <w:rsid w:val="6E2A6565"/>
    <w:rsid w:val="6E2B45C3"/>
    <w:rsid w:val="6E3747DE"/>
    <w:rsid w:val="6E3E315A"/>
    <w:rsid w:val="6E3E38C7"/>
    <w:rsid w:val="6E4D1BB3"/>
    <w:rsid w:val="6E6475E7"/>
    <w:rsid w:val="6E690C14"/>
    <w:rsid w:val="6E6F67CF"/>
    <w:rsid w:val="6E717867"/>
    <w:rsid w:val="6E7B01A5"/>
    <w:rsid w:val="6E801957"/>
    <w:rsid w:val="6E915149"/>
    <w:rsid w:val="6E9746C1"/>
    <w:rsid w:val="6E9D5A4D"/>
    <w:rsid w:val="6EAA2C05"/>
    <w:rsid w:val="6EC172FF"/>
    <w:rsid w:val="6EC42575"/>
    <w:rsid w:val="6EC61E3C"/>
    <w:rsid w:val="6EC826AA"/>
    <w:rsid w:val="6EDC05BD"/>
    <w:rsid w:val="6EDD6D02"/>
    <w:rsid w:val="6EFC0B8B"/>
    <w:rsid w:val="6EFE7E21"/>
    <w:rsid w:val="6F0A0530"/>
    <w:rsid w:val="6F0C7D4A"/>
    <w:rsid w:val="6F223007"/>
    <w:rsid w:val="6F3E7621"/>
    <w:rsid w:val="6F4D6644"/>
    <w:rsid w:val="6F5131B5"/>
    <w:rsid w:val="6F51451F"/>
    <w:rsid w:val="6F551510"/>
    <w:rsid w:val="6F5F7808"/>
    <w:rsid w:val="6F6513D7"/>
    <w:rsid w:val="6F6C7EFA"/>
    <w:rsid w:val="6F757BE0"/>
    <w:rsid w:val="6F7B3B29"/>
    <w:rsid w:val="6F7D002F"/>
    <w:rsid w:val="6F7F4ED7"/>
    <w:rsid w:val="6F82615C"/>
    <w:rsid w:val="6F846693"/>
    <w:rsid w:val="6F883BBD"/>
    <w:rsid w:val="6F901BA7"/>
    <w:rsid w:val="6F9857AB"/>
    <w:rsid w:val="6F9C054E"/>
    <w:rsid w:val="6F9C366C"/>
    <w:rsid w:val="6F9F08F6"/>
    <w:rsid w:val="6FA30573"/>
    <w:rsid w:val="6FAD0D41"/>
    <w:rsid w:val="6FB065F5"/>
    <w:rsid w:val="6FB378CC"/>
    <w:rsid w:val="6FB441B0"/>
    <w:rsid w:val="6FB522D9"/>
    <w:rsid w:val="6FBF560E"/>
    <w:rsid w:val="6FC136B5"/>
    <w:rsid w:val="6FC70267"/>
    <w:rsid w:val="6FD33CDB"/>
    <w:rsid w:val="6FD547F0"/>
    <w:rsid w:val="6FD76722"/>
    <w:rsid w:val="6FDD3136"/>
    <w:rsid w:val="6FE645E6"/>
    <w:rsid w:val="6FFA27AE"/>
    <w:rsid w:val="70003D2A"/>
    <w:rsid w:val="70044E4C"/>
    <w:rsid w:val="7007414B"/>
    <w:rsid w:val="7008395F"/>
    <w:rsid w:val="700C360A"/>
    <w:rsid w:val="702036F6"/>
    <w:rsid w:val="702166AA"/>
    <w:rsid w:val="702275F4"/>
    <w:rsid w:val="702A1868"/>
    <w:rsid w:val="702F159B"/>
    <w:rsid w:val="70340CD0"/>
    <w:rsid w:val="70392228"/>
    <w:rsid w:val="703A7A36"/>
    <w:rsid w:val="70470A5A"/>
    <w:rsid w:val="704735CB"/>
    <w:rsid w:val="70481F9F"/>
    <w:rsid w:val="70483BD1"/>
    <w:rsid w:val="704B59CB"/>
    <w:rsid w:val="704F6F86"/>
    <w:rsid w:val="70593932"/>
    <w:rsid w:val="705B05DF"/>
    <w:rsid w:val="705B4C8F"/>
    <w:rsid w:val="70657D19"/>
    <w:rsid w:val="706E0460"/>
    <w:rsid w:val="70745923"/>
    <w:rsid w:val="707D6997"/>
    <w:rsid w:val="707E058E"/>
    <w:rsid w:val="707F5E9F"/>
    <w:rsid w:val="70825596"/>
    <w:rsid w:val="70846AA1"/>
    <w:rsid w:val="7089164F"/>
    <w:rsid w:val="708C2B1F"/>
    <w:rsid w:val="708D1DCC"/>
    <w:rsid w:val="70906793"/>
    <w:rsid w:val="70913862"/>
    <w:rsid w:val="709272E8"/>
    <w:rsid w:val="7094303A"/>
    <w:rsid w:val="7094685C"/>
    <w:rsid w:val="709746CE"/>
    <w:rsid w:val="70980A7C"/>
    <w:rsid w:val="709D41FC"/>
    <w:rsid w:val="709E42BF"/>
    <w:rsid w:val="709F3AC0"/>
    <w:rsid w:val="70B46E8E"/>
    <w:rsid w:val="70B83BBD"/>
    <w:rsid w:val="70B9672D"/>
    <w:rsid w:val="70C87938"/>
    <w:rsid w:val="70D93730"/>
    <w:rsid w:val="70D96D56"/>
    <w:rsid w:val="70E12DF2"/>
    <w:rsid w:val="70EB4404"/>
    <w:rsid w:val="70EC11CE"/>
    <w:rsid w:val="70ED67FE"/>
    <w:rsid w:val="70F8730C"/>
    <w:rsid w:val="70FF58BE"/>
    <w:rsid w:val="70FF72AC"/>
    <w:rsid w:val="712E135F"/>
    <w:rsid w:val="71326597"/>
    <w:rsid w:val="713B0921"/>
    <w:rsid w:val="714A2B0E"/>
    <w:rsid w:val="71575147"/>
    <w:rsid w:val="71620540"/>
    <w:rsid w:val="7163552A"/>
    <w:rsid w:val="716943BF"/>
    <w:rsid w:val="716D4AB8"/>
    <w:rsid w:val="71713F64"/>
    <w:rsid w:val="71721FB0"/>
    <w:rsid w:val="717A0D38"/>
    <w:rsid w:val="717B21EA"/>
    <w:rsid w:val="717E15D6"/>
    <w:rsid w:val="71844169"/>
    <w:rsid w:val="71846CD6"/>
    <w:rsid w:val="718575B0"/>
    <w:rsid w:val="71895FE3"/>
    <w:rsid w:val="71897B0C"/>
    <w:rsid w:val="718A1DFB"/>
    <w:rsid w:val="71B41020"/>
    <w:rsid w:val="71B908F5"/>
    <w:rsid w:val="71BA56D5"/>
    <w:rsid w:val="71BA6C85"/>
    <w:rsid w:val="71BD5F7F"/>
    <w:rsid w:val="71CD1778"/>
    <w:rsid w:val="71D26A5A"/>
    <w:rsid w:val="71D30BE6"/>
    <w:rsid w:val="71D73A97"/>
    <w:rsid w:val="71DD446B"/>
    <w:rsid w:val="71E509E7"/>
    <w:rsid w:val="71E61F91"/>
    <w:rsid w:val="71E945D8"/>
    <w:rsid w:val="71EB59B9"/>
    <w:rsid w:val="71F521CB"/>
    <w:rsid w:val="71FA6C60"/>
    <w:rsid w:val="71FC10BB"/>
    <w:rsid w:val="71FE2889"/>
    <w:rsid w:val="7204013C"/>
    <w:rsid w:val="7205669E"/>
    <w:rsid w:val="72093D99"/>
    <w:rsid w:val="720E04DE"/>
    <w:rsid w:val="720F7339"/>
    <w:rsid w:val="72114FE7"/>
    <w:rsid w:val="7212600E"/>
    <w:rsid w:val="72134ED5"/>
    <w:rsid w:val="722713CF"/>
    <w:rsid w:val="722E72DC"/>
    <w:rsid w:val="72317640"/>
    <w:rsid w:val="72391C4C"/>
    <w:rsid w:val="724D0AE8"/>
    <w:rsid w:val="72500B1E"/>
    <w:rsid w:val="72532F96"/>
    <w:rsid w:val="7257161F"/>
    <w:rsid w:val="725873ED"/>
    <w:rsid w:val="725C0EDC"/>
    <w:rsid w:val="725E11F3"/>
    <w:rsid w:val="72691556"/>
    <w:rsid w:val="72710DC5"/>
    <w:rsid w:val="72736DF1"/>
    <w:rsid w:val="72867856"/>
    <w:rsid w:val="72896BD6"/>
    <w:rsid w:val="728B729F"/>
    <w:rsid w:val="729D7FA3"/>
    <w:rsid w:val="72AE55C4"/>
    <w:rsid w:val="72B00F61"/>
    <w:rsid w:val="72B800A3"/>
    <w:rsid w:val="72C47E3F"/>
    <w:rsid w:val="72C652FB"/>
    <w:rsid w:val="72D5137C"/>
    <w:rsid w:val="72D65611"/>
    <w:rsid w:val="72DA2113"/>
    <w:rsid w:val="72DF1F4A"/>
    <w:rsid w:val="72E15A3F"/>
    <w:rsid w:val="72E57C2C"/>
    <w:rsid w:val="72E94C99"/>
    <w:rsid w:val="73077FD0"/>
    <w:rsid w:val="730906B9"/>
    <w:rsid w:val="73117380"/>
    <w:rsid w:val="731E4AA1"/>
    <w:rsid w:val="73283D62"/>
    <w:rsid w:val="73365DF0"/>
    <w:rsid w:val="733C293E"/>
    <w:rsid w:val="733F075F"/>
    <w:rsid w:val="73436DCC"/>
    <w:rsid w:val="73440D38"/>
    <w:rsid w:val="73442B35"/>
    <w:rsid w:val="734637C0"/>
    <w:rsid w:val="73472666"/>
    <w:rsid w:val="73574A09"/>
    <w:rsid w:val="735B753A"/>
    <w:rsid w:val="735B7CEA"/>
    <w:rsid w:val="735C6E7C"/>
    <w:rsid w:val="735D682A"/>
    <w:rsid w:val="736B5758"/>
    <w:rsid w:val="736D415E"/>
    <w:rsid w:val="736F06DA"/>
    <w:rsid w:val="73724734"/>
    <w:rsid w:val="7373670C"/>
    <w:rsid w:val="737459E1"/>
    <w:rsid w:val="73762E31"/>
    <w:rsid w:val="73765D04"/>
    <w:rsid w:val="737C44A3"/>
    <w:rsid w:val="738E6040"/>
    <w:rsid w:val="73922911"/>
    <w:rsid w:val="73947F78"/>
    <w:rsid w:val="73955D18"/>
    <w:rsid w:val="73965DC9"/>
    <w:rsid w:val="73AC72C8"/>
    <w:rsid w:val="73AD36EC"/>
    <w:rsid w:val="73B35F1B"/>
    <w:rsid w:val="73B60B89"/>
    <w:rsid w:val="73B93A09"/>
    <w:rsid w:val="73BA3AB5"/>
    <w:rsid w:val="73C36B87"/>
    <w:rsid w:val="73C628F7"/>
    <w:rsid w:val="73D12FBE"/>
    <w:rsid w:val="73D472AE"/>
    <w:rsid w:val="73D7017A"/>
    <w:rsid w:val="73DA1ACD"/>
    <w:rsid w:val="73DB3EFC"/>
    <w:rsid w:val="73DB7DB7"/>
    <w:rsid w:val="73F47856"/>
    <w:rsid w:val="73F478A3"/>
    <w:rsid w:val="73F66304"/>
    <w:rsid w:val="73FF6571"/>
    <w:rsid w:val="74003083"/>
    <w:rsid w:val="74054C42"/>
    <w:rsid w:val="740D55BE"/>
    <w:rsid w:val="74125C44"/>
    <w:rsid w:val="741645F3"/>
    <w:rsid w:val="741905BA"/>
    <w:rsid w:val="74193740"/>
    <w:rsid w:val="741E11DB"/>
    <w:rsid w:val="741E6F8A"/>
    <w:rsid w:val="742059A1"/>
    <w:rsid w:val="74233C69"/>
    <w:rsid w:val="742E161B"/>
    <w:rsid w:val="74352946"/>
    <w:rsid w:val="743556C3"/>
    <w:rsid w:val="7437114C"/>
    <w:rsid w:val="743C303D"/>
    <w:rsid w:val="744243A4"/>
    <w:rsid w:val="74466B10"/>
    <w:rsid w:val="744864A5"/>
    <w:rsid w:val="745777ED"/>
    <w:rsid w:val="74604830"/>
    <w:rsid w:val="74671263"/>
    <w:rsid w:val="74697AF9"/>
    <w:rsid w:val="746F6EA7"/>
    <w:rsid w:val="74772F2B"/>
    <w:rsid w:val="747C72A9"/>
    <w:rsid w:val="748518A1"/>
    <w:rsid w:val="748676C5"/>
    <w:rsid w:val="74874717"/>
    <w:rsid w:val="748D5E7E"/>
    <w:rsid w:val="748E00AD"/>
    <w:rsid w:val="74B1481B"/>
    <w:rsid w:val="74B16D79"/>
    <w:rsid w:val="74B279AD"/>
    <w:rsid w:val="74B357F8"/>
    <w:rsid w:val="74B46A13"/>
    <w:rsid w:val="74B95BD4"/>
    <w:rsid w:val="74BB65AB"/>
    <w:rsid w:val="74CB0A1C"/>
    <w:rsid w:val="74CB50E2"/>
    <w:rsid w:val="74DA6BCA"/>
    <w:rsid w:val="74EE5612"/>
    <w:rsid w:val="74F31AC8"/>
    <w:rsid w:val="74FA0F92"/>
    <w:rsid w:val="74FA312C"/>
    <w:rsid w:val="74FA74EB"/>
    <w:rsid w:val="750174AD"/>
    <w:rsid w:val="750560A9"/>
    <w:rsid w:val="750F4869"/>
    <w:rsid w:val="75104E11"/>
    <w:rsid w:val="75312523"/>
    <w:rsid w:val="75362DC9"/>
    <w:rsid w:val="75374B5D"/>
    <w:rsid w:val="753F3635"/>
    <w:rsid w:val="75403DD6"/>
    <w:rsid w:val="754123CA"/>
    <w:rsid w:val="75462D3E"/>
    <w:rsid w:val="754F4411"/>
    <w:rsid w:val="7561057F"/>
    <w:rsid w:val="756D5B81"/>
    <w:rsid w:val="757337FB"/>
    <w:rsid w:val="758013F6"/>
    <w:rsid w:val="758105DF"/>
    <w:rsid w:val="75830A4B"/>
    <w:rsid w:val="759164C6"/>
    <w:rsid w:val="759B4B71"/>
    <w:rsid w:val="75A04280"/>
    <w:rsid w:val="75A6101B"/>
    <w:rsid w:val="75A84444"/>
    <w:rsid w:val="75AA2392"/>
    <w:rsid w:val="75AC2D74"/>
    <w:rsid w:val="75AD2C91"/>
    <w:rsid w:val="75B00EF5"/>
    <w:rsid w:val="75B374B6"/>
    <w:rsid w:val="75B464FF"/>
    <w:rsid w:val="75B909B6"/>
    <w:rsid w:val="75C90FC2"/>
    <w:rsid w:val="75D32612"/>
    <w:rsid w:val="75DE7884"/>
    <w:rsid w:val="75F90966"/>
    <w:rsid w:val="75FB430F"/>
    <w:rsid w:val="7617028A"/>
    <w:rsid w:val="76286C12"/>
    <w:rsid w:val="76433D89"/>
    <w:rsid w:val="764428BF"/>
    <w:rsid w:val="764A0304"/>
    <w:rsid w:val="76570F28"/>
    <w:rsid w:val="765931BF"/>
    <w:rsid w:val="76671E92"/>
    <w:rsid w:val="766E25FA"/>
    <w:rsid w:val="7679523A"/>
    <w:rsid w:val="768600F9"/>
    <w:rsid w:val="768604AE"/>
    <w:rsid w:val="76881499"/>
    <w:rsid w:val="769E27B1"/>
    <w:rsid w:val="769F1EA8"/>
    <w:rsid w:val="76A403AB"/>
    <w:rsid w:val="76A45896"/>
    <w:rsid w:val="76A62B60"/>
    <w:rsid w:val="76B21BE0"/>
    <w:rsid w:val="76B37FBB"/>
    <w:rsid w:val="76B7222A"/>
    <w:rsid w:val="76BA575E"/>
    <w:rsid w:val="76BB66C2"/>
    <w:rsid w:val="76C24A13"/>
    <w:rsid w:val="76DF7D94"/>
    <w:rsid w:val="76E123C5"/>
    <w:rsid w:val="76EB546E"/>
    <w:rsid w:val="76F0501E"/>
    <w:rsid w:val="76F371C9"/>
    <w:rsid w:val="770352E1"/>
    <w:rsid w:val="770A01CA"/>
    <w:rsid w:val="770F0CAD"/>
    <w:rsid w:val="77106C57"/>
    <w:rsid w:val="77173070"/>
    <w:rsid w:val="77181A85"/>
    <w:rsid w:val="771B7F88"/>
    <w:rsid w:val="771E3648"/>
    <w:rsid w:val="772143C2"/>
    <w:rsid w:val="773347AA"/>
    <w:rsid w:val="7734341B"/>
    <w:rsid w:val="773916B7"/>
    <w:rsid w:val="77403A15"/>
    <w:rsid w:val="77421578"/>
    <w:rsid w:val="77444826"/>
    <w:rsid w:val="774623E9"/>
    <w:rsid w:val="774B69D0"/>
    <w:rsid w:val="774C2830"/>
    <w:rsid w:val="77526F8F"/>
    <w:rsid w:val="775320A9"/>
    <w:rsid w:val="775D56D6"/>
    <w:rsid w:val="775F1442"/>
    <w:rsid w:val="77643816"/>
    <w:rsid w:val="77666B29"/>
    <w:rsid w:val="7767374D"/>
    <w:rsid w:val="777042CC"/>
    <w:rsid w:val="777B6468"/>
    <w:rsid w:val="778014DF"/>
    <w:rsid w:val="778F5AD6"/>
    <w:rsid w:val="77904FC9"/>
    <w:rsid w:val="7791437F"/>
    <w:rsid w:val="7799094A"/>
    <w:rsid w:val="779937D1"/>
    <w:rsid w:val="77A03EAD"/>
    <w:rsid w:val="77A622BD"/>
    <w:rsid w:val="77A95CBE"/>
    <w:rsid w:val="77AB7E89"/>
    <w:rsid w:val="77B32AAB"/>
    <w:rsid w:val="77B86FEA"/>
    <w:rsid w:val="77BA37C3"/>
    <w:rsid w:val="77BE7767"/>
    <w:rsid w:val="77C357AB"/>
    <w:rsid w:val="77C73C29"/>
    <w:rsid w:val="77CA6D8B"/>
    <w:rsid w:val="77D960E5"/>
    <w:rsid w:val="77DA0062"/>
    <w:rsid w:val="77DA184E"/>
    <w:rsid w:val="77DB409E"/>
    <w:rsid w:val="77E03771"/>
    <w:rsid w:val="77E70CB3"/>
    <w:rsid w:val="77F7571F"/>
    <w:rsid w:val="77F85BBE"/>
    <w:rsid w:val="77FD0F31"/>
    <w:rsid w:val="77FD2FA6"/>
    <w:rsid w:val="78054BBA"/>
    <w:rsid w:val="78062CFD"/>
    <w:rsid w:val="78092727"/>
    <w:rsid w:val="780D7482"/>
    <w:rsid w:val="781A4188"/>
    <w:rsid w:val="781E375E"/>
    <w:rsid w:val="78207506"/>
    <w:rsid w:val="782D6375"/>
    <w:rsid w:val="782F4B28"/>
    <w:rsid w:val="783412D4"/>
    <w:rsid w:val="7836766C"/>
    <w:rsid w:val="78440392"/>
    <w:rsid w:val="784629E5"/>
    <w:rsid w:val="784C3F61"/>
    <w:rsid w:val="784F5FBB"/>
    <w:rsid w:val="785054BD"/>
    <w:rsid w:val="78597E08"/>
    <w:rsid w:val="7864685B"/>
    <w:rsid w:val="786D7880"/>
    <w:rsid w:val="787020E7"/>
    <w:rsid w:val="78863804"/>
    <w:rsid w:val="78864A05"/>
    <w:rsid w:val="788B58B9"/>
    <w:rsid w:val="78932690"/>
    <w:rsid w:val="7899330E"/>
    <w:rsid w:val="78A066F8"/>
    <w:rsid w:val="78A233CB"/>
    <w:rsid w:val="78AB1BCD"/>
    <w:rsid w:val="78BF3A6A"/>
    <w:rsid w:val="78C64BB0"/>
    <w:rsid w:val="78CE72C4"/>
    <w:rsid w:val="78D478FB"/>
    <w:rsid w:val="78D83A0E"/>
    <w:rsid w:val="78DD4E9B"/>
    <w:rsid w:val="78E45C13"/>
    <w:rsid w:val="78E5688F"/>
    <w:rsid w:val="78E6418C"/>
    <w:rsid w:val="78E95AD1"/>
    <w:rsid w:val="78F1702B"/>
    <w:rsid w:val="78F56FFE"/>
    <w:rsid w:val="78FC452F"/>
    <w:rsid w:val="79034CEA"/>
    <w:rsid w:val="790A439B"/>
    <w:rsid w:val="790C0BDA"/>
    <w:rsid w:val="7920629F"/>
    <w:rsid w:val="792B56AF"/>
    <w:rsid w:val="792D66E0"/>
    <w:rsid w:val="79334536"/>
    <w:rsid w:val="795F545A"/>
    <w:rsid w:val="7962607D"/>
    <w:rsid w:val="79636DEC"/>
    <w:rsid w:val="797701F7"/>
    <w:rsid w:val="797A69DD"/>
    <w:rsid w:val="79824B61"/>
    <w:rsid w:val="7984176E"/>
    <w:rsid w:val="798425F7"/>
    <w:rsid w:val="79886DF4"/>
    <w:rsid w:val="798A64B0"/>
    <w:rsid w:val="799D694E"/>
    <w:rsid w:val="79A4029F"/>
    <w:rsid w:val="79AA13CA"/>
    <w:rsid w:val="79AD230A"/>
    <w:rsid w:val="79AD7CED"/>
    <w:rsid w:val="79AE3344"/>
    <w:rsid w:val="79AF35BA"/>
    <w:rsid w:val="79C26BF9"/>
    <w:rsid w:val="79C404E5"/>
    <w:rsid w:val="79D31296"/>
    <w:rsid w:val="79D413E8"/>
    <w:rsid w:val="79D70977"/>
    <w:rsid w:val="79D91DA6"/>
    <w:rsid w:val="79DA4B64"/>
    <w:rsid w:val="79DA6EE8"/>
    <w:rsid w:val="79DF37C2"/>
    <w:rsid w:val="79E007AE"/>
    <w:rsid w:val="79EE1516"/>
    <w:rsid w:val="79F04F41"/>
    <w:rsid w:val="79FD7B49"/>
    <w:rsid w:val="7A023D5D"/>
    <w:rsid w:val="7A056E5B"/>
    <w:rsid w:val="7A0A3862"/>
    <w:rsid w:val="7A176B47"/>
    <w:rsid w:val="7A195490"/>
    <w:rsid w:val="7A1E4836"/>
    <w:rsid w:val="7A204072"/>
    <w:rsid w:val="7A282272"/>
    <w:rsid w:val="7A357667"/>
    <w:rsid w:val="7A403AF7"/>
    <w:rsid w:val="7A452E92"/>
    <w:rsid w:val="7A49060E"/>
    <w:rsid w:val="7A49493E"/>
    <w:rsid w:val="7A4D1F16"/>
    <w:rsid w:val="7A52077A"/>
    <w:rsid w:val="7A5A424D"/>
    <w:rsid w:val="7A661E96"/>
    <w:rsid w:val="7A7352A1"/>
    <w:rsid w:val="7A7915C4"/>
    <w:rsid w:val="7A7E4590"/>
    <w:rsid w:val="7A864661"/>
    <w:rsid w:val="7A892987"/>
    <w:rsid w:val="7A894653"/>
    <w:rsid w:val="7A8B2687"/>
    <w:rsid w:val="7A8F5498"/>
    <w:rsid w:val="7A9C1475"/>
    <w:rsid w:val="7A9F4ADB"/>
    <w:rsid w:val="7AA32FE3"/>
    <w:rsid w:val="7AAA26A5"/>
    <w:rsid w:val="7ABE5562"/>
    <w:rsid w:val="7AC31970"/>
    <w:rsid w:val="7AC50B37"/>
    <w:rsid w:val="7AC553E7"/>
    <w:rsid w:val="7ACE2273"/>
    <w:rsid w:val="7ACF4119"/>
    <w:rsid w:val="7AD943C1"/>
    <w:rsid w:val="7AE55C4D"/>
    <w:rsid w:val="7AE61C3A"/>
    <w:rsid w:val="7AF05102"/>
    <w:rsid w:val="7AF2550C"/>
    <w:rsid w:val="7AFF3DA9"/>
    <w:rsid w:val="7B0302E3"/>
    <w:rsid w:val="7B0E5BD1"/>
    <w:rsid w:val="7B1055EB"/>
    <w:rsid w:val="7B1777D7"/>
    <w:rsid w:val="7B1931CE"/>
    <w:rsid w:val="7B1B412B"/>
    <w:rsid w:val="7B1E10F3"/>
    <w:rsid w:val="7B211732"/>
    <w:rsid w:val="7B2C77BB"/>
    <w:rsid w:val="7B327DED"/>
    <w:rsid w:val="7B335600"/>
    <w:rsid w:val="7B35389F"/>
    <w:rsid w:val="7B4221F9"/>
    <w:rsid w:val="7B500227"/>
    <w:rsid w:val="7B516004"/>
    <w:rsid w:val="7B5E63EC"/>
    <w:rsid w:val="7B600532"/>
    <w:rsid w:val="7B654028"/>
    <w:rsid w:val="7B66773B"/>
    <w:rsid w:val="7B683245"/>
    <w:rsid w:val="7B7E30C3"/>
    <w:rsid w:val="7B810054"/>
    <w:rsid w:val="7B8304B6"/>
    <w:rsid w:val="7B860404"/>
    <w:rsid w:val="7B890FB2"/>
    <w:rsid w:val="7B8A3D1E"/>
    <w:rsid w:val="7B9B05DC"/>
    <w:rsid w:val="7B9D0521"/>
    <w:rsid w:val="7B9F70DA"/>
    <w:rsid w:val="7BA2591F"/>
    <w:rsid w:val="7BA54219"/>
    <w:rsid w:val="7BAD5E3F"/>
    <w:rsid w:val="7BB04478"/>
    <w:rsid w:val="7BB072BA"/>
    <w:rsid w:val="7BB958F8"/>
    <w:rsid w:val="7BB95978"/>
    <w:rsid w:val="7BBF6155"/>
    <w:rsid w:val="7BC30313"/>
    <w:rsid w:val="7BD43EC8"/>
    <w:rsid w:val="7BD45A0E"/>
    <w:rsid w:val="7BDB7086"/>
    <w:rsid w:val="7BDD5587"/>
    <w:rsid w:val="7BDE7A9F"/>
    <w:rsid w:val="7BDF28F7"/>
    <w:rsid w:val="7BED3793"/>
    <w:rsid w:val="7BED5ABD"/>
    <w:rsid w:val="7BEE1753"/>
    <w:rsid w:val="7BFB405E"/>
    <w:rsid w:val="7BFE5FE1"/>
    <w:rsid w:val="7C0038FA"/>
    <w:rsid w:val="7C0067CB"/>
    <w:rsid w:val="7C030FA4"/>
    <w:rsid w:val="7C0D1A2A"/>
    <w:rsid w:val="7C0F2E62"/>
    <w:rsid w:val="7C124C63"/>
    <w:rsid w:val="7C147A44"/>
    <w:rsid w:val="7C163016"/>
    <w:rsid w:val="7C1716A9"/>
    <w:rsid w:val="7C1C65FF"/>
    <w:rsid w:val="7C2433FB"/>
    <w:rsid w:val="7C262AEC"/>
    <w:rsid w:val="7C2B3E20"/>
    <w:rsid w:val="7C2D44BB"/>
    <w:rsid w:val="7C2D4E87"/>
    <w:rsid w:val="7C30686A"/>
    <w:rsid w:val="7C3936C3"/>
    <w:rsid w:val="7C3D486A"/>
    <w:rsid w:val="7C61158D"/>
    <w:rsid w:val="7C6800E7"/>
    <w:rsid w:val="7C6D4642"/>
    <w:rsid w:val="7C755D05"/>
    <w:rsid w:val="7C77228A"/>
    <w:rsid w:val="7C86125B"/>
    <w:rsid w:val="7C870210"/>
    <w:rsid w:val="7C87237D"/>
    <w:rsid w:val="7C875B36"/>
    <w:rsid w:val="7C8C379B"/>
    <w:rsid w:val="7C923789"/>
    <w:rsid w:val="7C965B05"/>
    <w:rsid w:val="7C9B2AC4"/>
    <w:rsid w:val="7C9E5377"/>
    <w:rsid w:val="7C9F7F06"/>
    <w:rsid w:val="7CA104BD"/>
    <w:rsid w:val="7CA92545"/>
    <w:rsid w:val="7CB0643F"/>
    <w:rsid w:val="7CB272DE"/>
    <w:rsid w:val="7CC317BC"/>
    <w:rsid w:val="7CC43C6E"/>
    <w:rsid w:val="7CCA154B"/>
    <w:rsid w:val="7CD3320B"/>
    <w:rsid w:val="7CD76883"/>
    <w:rsid w:val="7CDF0C1D"/>
    <w:rsid w:val="7CE0455E"/>
    <w:rsid w:val="7CE42818"/>
    <w:rsid w:val="7CE949BB"/>
    <w:rsid w:val="7CED0DB6"/>
    <w:rsid w:val="7CEF38D8"/>
    <w:rsid w:val="7CF740E8"/>
    <w:rsid w:val="7CFF61DC"/>
    <w:rsid w:val="7D0470EC"/>
    <w:rsid w:val="7D18748C"/>
    <w:rsid w:val="7D2160EB"/>
    <w:rsid w:val="7D2D742B"/>
    <w:rsid w:val="7D2E0111"/>
    <w:rsid w:val="7D4707FC"/>
    <w:rsid w:val="7D4D78F8"/>
    <w:rsid w:val="7D554357"/>
    <w:rsid w:val="7D5A5C00"/>
    <w:rsid w:val="7D6560E6"/>
    <w:rsid w:val="7D6C7CF4"/>
    <w:rsid w:val="7D736652"/>
    <w:rsid w:val="7D7B3A24"/>
    <w:rsid w:val="7D826E76"/>
    <w:rsid w:val="7D844FEB"/>
    <w:rsid w:val="7D845E4E"/>
    <w:rsid w:val="7D850086"/>
    <w:rsid w:val="7D850D0E"/>
    <w:rsid w:val="7D9277F7"/>
    <w:rsid w:val="7DA00666"/>
    <w:rsid w:val="7DA357C3"/>
    <w:rsid w:val="7DA56A3E"/>
    <w:rsid w:val="7DB34064"/>
    <w:rsid w:val="7DB6681A"/>
    <w:rsid w:val="7DBD0C0C"/>
    <w:rsid w:val="7DBE023E"/>
    <w:rsid w:val="7DC02D00"/>
    <w:rsid w:val="7DCF1844"/>
    <w:rsid w:val="7DD21A77"/>
    <w:rsid w:val="7DD41408"/>
    <w:rsid w:val="7DD91074"/>
    <w:rsid w:val="7DDE30FB"/>
    <w:rsid w:val="7DE02DAE"/>
    <w:rsid w:val="7DE16037"/>
    <w:rsid w:val="7DEB0215"/>
    <w:rsid w:val="7DEE6F9D"/>
    <w:rsid w:val="7DF3F317"/>
    <w:rsid w:val="7DF53971"/>
    <w:rsid w:val="7DFF4A4C"/>
    <w:rsid w:val="7E026B8A"/>
    <w:rsid w:val="7E0C0F0B"/>
    <w:rsid w:val="7E0F69AB"/>
    <w:rsid w:val="7E130ED1"/>
    <w:rsid w:val="7E1B482C"/>
    <w:rsid w:val="7E1D4F1F"/>
    <w:rsid w:val="7E206F7E"/>
    <w:rsid w:val="7E2770A8"/>
    <w:rsid w:val="7E294CF4"/>
    <w:rsid w:val="7E3514D0"/>
    <w:rsid w:val="7E356BEA"/>
    <w:rsid w:val="7E49529F"/>
    <w:rsid w:val="7E4B4A8C"/>
    <w:rsid w:val="7E56378B"/>
    <w:rsid w:val="7E687B07"/>
    <w:rsid w:val="7E7B5A55"/>
    <w:rsid w:val="7E8E046B"/>
    <w:rsid w:val="7E8F39E1"/>
    <w:rsid w:val="7E913CCC"/>
    <w:rsid w:val="7E9F74E0"/>
    <w:rsid w:val="7EA128FE"/>
    <w:rsid w:val="7EAA3C11"/>
    <w:rsid w:val="7EB515D0"/>
    <w:rsid w:val="7EB622E4"/>
    <w:rsid w:val="7EB93122"/>
    <w:rsid w:val="7EBA6623"/>
    <w:rsid w:val="7EBD5CCD"/>
    <w:rsid w:val="7EBE6A65"/>
    <w:rsid w:val="7EBF4DD7"/>
    <w:rsid w:val="7EC31A7E"/>
    <w:rsid w:val="7EC75497"/>
    <w:rsid w:val="7ED3678D"/>
    <w:rsid w:val="7EDA5112"/>
    <w:rsid w:val="7EDA5286"/>
    <w:rsid w:val="7EE5790A"/>
    <w:rsid w:val="7EEA1B49"/>
    <w:rsid w:val="7EED0B2F"/>
    <w:rsid w:val="7F01433E"/>
    <w:rsid w:val="7F015692"/>
    <w:rsid w:val="7F08561A"/>
    <w:rsid w:val="7F0B2F20"/>
    <w:rsid w:val="7F0D0622"/>
    <w:rsid w:val="7F0D3F24"/>
    <w:rsid w:val="7F130F27"/>
    <w:rsid w:val="7F286013"/>
    <w:rsid w:val="7F2D27E9"/>
    <w:rsid w:val="7F3200CE"/>
    <w:rsid w:val="7F352CE1"/>
    <w:rsid w:val="7F390999"/>
    <w:rsid w:val="7F4E6622"/>
    <w:rsid w:val="7F527B4B"/>
    <w:rsid w:val="7F6463DC"/>
    <w:rsid w:val="7F6D4EAF"/>
    <w:rsid w:val="7F70432F"/>
    <w:rsid w:val="7F742DA0"/>
    <w:rsid w:val="7F771787"/>
    <w:rsid w:val="7F881F61"/>
    <w:rsid w:val="7F940B50"/>
    <w:rsid w:val="7FA51EE9"/>
    <w:rsid w:val="7FA721A0"/>
    <w:rsid w:val="7FA75005"/>
    <w:rsid w:val="7FA80C8F"/>
    <w:rsid w:val="7FAD43F0"/>
    <w:rsid w:val="7FB144C9"/>
    <w:rsid w:val="7FB163B0"/>
    <w:rsid w:val="7FB7126B"/>
    <w:rsid w:val="7FC1796A"/>
    <w:rsid w:val="7FCD4530"/>
    <w:rsid w:val="7FCD65E6"/>
    <w:rsid w:val="7FD67D4B"/>
    <w:rsid w:val="7FDF71A6"/>
    <w:rsid w:val="7FF00272"/>
    <w:rsid w:val="7FF31C8D"/>
    <w:rsid w:val="7FFE5FB7"/>
    <w:rsid w:val="FF7A3004"/>
    <w:rsid w:val="FFFD935F"/>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qFormat="1" w:unhideWhenUsed="0" w:uiPriority="39" w:semiHidden="0" w:name="toc 2"/>
    <w:lsdException w:qFormat="1" w:unhideWhenUsed="0"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4">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paragraph" w:styleId="5">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16">
    <w:name w:val="Default Paragraph Font"/>
    <w:semiHidden/>
    <w:qFormat/>
    <w:uiPriority w:val="0"/>
  </w:style>
  <w:style w:type="table" w:default="1" w:styleId="15">
    <w:name w:val="Normal Table"/>
    <w:semiHidden/>
    <w:qFormat/>
    <w:uiPriority w:val="0"/>
    <w:tblPr>
      <w:tblCellMar>
        <w:top w:w="0" w:type="dxa"/>
        <w:left w:w="108" w:type="dxa"/>
        <w:bottom w:w="0" w:type="dxa"/>
        <w:right w:w="108" w:type="dxa"/>
      </w:tblCellMar>
    </w:tblPr>
  </w:style>
  <w:style w:type="paragraph" w:styleId="2">
    <w:name w:val="Body Text"/>
    <w:basedOn w:val="1"/>
    <w:next w:val="1"/>
    <w:uiPriority w:val="0"/>
    <w:rPr>
      <w:rFonts w:ascii="仿宋_GB2312" w:eastAsia="仿宋_GB2312"/>
      <w:sz w:val="32"/>
    </w:rPr>
  </w:style>
  <w:style w:type="paragraph" w:styleId="6">
    <w:name w:val="toc 3"/>
    <w:basedOn w:val="1"/>
    <w:next w:val="1"/>
    <w:qFormat/>
    <w:uiPriority w:val="39"/>
    <w:pPr>
      <w:ind w:left="840" w:leftChars="400"/>
    </w:pPr>
  </w:style>
  <w:style w:type="paragraph" w:styleId="7">
    <w:name w:val="Plain Text"/>
    <w:basedOn w:val="1"/>
    <w:qFormat/>
    <w:uiPriority w:val="0"/>
    <w:rPr>
      <w:rFonts w:ascii="宋体" w:hAnsi="Courier New"/>
      <w:sz w:val="21"/>
    </w:rPr>
  </w:style>
  <w:style w:type="paragraph" w:styleId="8">
    <w:name w:val="Date"/>
    <w:basedOn w:val="1"/>
    <w:next w:val="1"/>
    <w:uiPriority w:val="0"/>
  </w:style>
  <w:style w:type="paragraph" w:styleId="9">
    <w:name w:val="Body Text Indent 2"/>
    <w:basedOn w:val="1"/>
    <w:qFormat/>
    <w:uiPriority w:val="0"/>
    <w:pPr>
      <w:snapToGrid w:val="0"/>
      <w:spacing w:line="560" w:lineRule="atLeast"/>
      <w:ind w:firstLine="540"/>
    </w:pPr>
  </w:style>
  <w:style w:type="paragraph" w:styleId="10">
    <w:name w:val="footer"/>
    <w:basedOn w:val="1"/>
    <w:next w:val="11"/>
    <w:qFormat/>
    <w:uiPriority w:val="0"/>
    <w:pPr>
      <w:tabs>
        <w:tab w:val="center" w:pos="4153"/>
        <w:tab w:val="right" w:pos="8306"/>
      </w:tabs>
      <w:snapToGrid w:val="0"/>
      <w:jc w:val="left"/>
    </w:pPr>
    <w:rPr>
      <w:sz w:val="18"/>
    </w:rPr>
  </w:style>
  <w:style w:type="paragraph" w:customStyle="1" w:styleId="11">
    <w:name w:val="索引 51"/>
    <w:basedOn w:val="1"/>
    <w:next w:val="1"/>
    <w:qFormat/>
    <w:uiPriority w:val="0"/>
    <w:pPr>
      <w:ind w:left="1680"/>
    </w:pPr>
  </w:style>
  <w:style w:type="paragraph" w:styleId="12">
    <w:name w:val="header"/>
    <w:basedOn w:val="1"/>
    <w:qFormat/>
    <w:uiPriority w:val="0"/>
    <w:pPr>
      <w:pBdr>
        <w:bottom w:val="single" w:color="auto" w:sz="6" w:space="1"/>
      </w:pBdr>
      <w:tabs>
        <w:tab w:val="center" w:pos="4153"/>
        <w:tab w:val="right" w:pos="8306"/>
      </w:tabs>
      <w:snapToGrid w:val="0"/>
      <w:jc w:val="center"/>
    </w:pPr>
    <w:rPr>
      <w:sz w:val="18"/>
    </w:rPr>
  </w:style>
  <w:style w:type="paragraph" w:styleId="13">
    <w:name w:val="toc 2"/>
    <w:basedOn w:val="1"/>
    <w:next w:val="1"/>
    <w:qFormat/>
    <w:uiPriority w:val="39"/>
    <w:pPr>
      <w:ind w:left="420" w:leftChars="200"/>
    </w:pPr>
  </w:style>
  <w:style w:type="paragraph" w:styleId="14">
    <w:name w:val="Normal (Web)"/>
    <w:basedOn w:val="1"/>
    <w:qFormat/>
    <w:uiPriority w:val="0"/>
    <w:pPr>
      <w:widowControl/>
      <w:spacing w:before="100" w:beforeLines="0" w:beforeAutospacing="1" w:after="100" w:afterLines="0" w:afterAutospacing="1"/>
      <w:jc w:val="left"/>
    </w:pPr>
    <w:rPr>
      <w:rFonts w:ascii="宋体" w:hAnsi="宋体"/>
      <w:kern w:val="0"/>
      <w:sz w:val="24"/>
    </w:rPr>
  </w:style>
  <w:style w:type="character" w:styleId="17">
    <w:name w:val="Strong"/>
    <w:basedOn w:val="16"/>
    <w:qFormat/>
    <w:uiPriority w:val="0"/>
    <w:rPr>
      <w:b/>
    </w:rPr>
  </w:style>
  <w:style w:type="character" w:styleId="18">
    <w:name w:val="page number"/>
    <w:basedOn w:val="16"/>
    <w:uiPriority w:val="0"/>
  </w:style>
  <w:style w:type="paragraph" w:customStyle="1" w:styleId="19">
    <w:name w:val="1"/>
    <w:basedOn w:val="1"/>
    <w:next w:val="7"/>
    <w:qFormat/>
    <w:uiPriority w:val="0"/>
    <w:rPr>
      <w:rFonts w:ascii="宋体" w:hAnsi="Courier New"/>
      <w:sz w:val="21"/>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2.png"/><Relationship Id="rId14" Type="http://schemas.openxmlformats.org/officeDocument/2006/relationships/image" Target="media/image1.png"/><Relationship Id="rId13" Type="http://schemas.openxmlformats.org/officeDocument/2006/relationships/theme" Target="theme/theme1.xml"/><Relationship Id="rId12" Type="http://schemas.openxmlformats.org/officeDocument/2006/relationships/header" Target="header3.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39</Pages>
  <Words>6619</Words>
  <Characters>7077</Characters>
  <Lines>0</Lines>
  <Paragraphs>0</Paragraphs>
  <TotalTime>21</TotalTime>
  <ScaleCrop>false</ScaleCrop>
  <LinksUpToDate>false</LinksUpToDate>
  <CharactersWithSpaces>7373</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2025-10-14T00:15:00Z</dcterms:created>
  <dc:creator>WPS_1478610647</dc:creator>
  <cp:lastModifiedBy>杜幽桥</cp:lastModifiedBy>
  <cp:lastPrinted>2026-05-08T01:01:00Z</cp:lastPrinted>
  <dcterms:modified xsi:type="dcterms:W3CDTF">2026-05-08T02:31:15Z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B7D607C585EA4A8AB2FF28A1908747BD_11</vt:lpwstr>
  </property>
  <property fmtid="{D5CDD505-2E9C-101B-9397-08002B2CF9AE}" pid="4" name="KSOTemplateDocerSaveRecord">
    <vt:lpwstr>eyJoZGlkIjoiMTE3YmZmMjM5NmI0ZGZkNDU1Mzk4NzUzYzMxNTBhZGIiLCJ1c2VySWQiOiIxNjU0MDI5MjYzIn0=</vt:lpwstr>
  </property>
</Properties>
</file>