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7F66A8E">
      <w:pPr>
        <w:pStyle w:val="3"/>
        <w:pageBreakBefore/>
        <w:spacing w:line="360" w:lineRule="auto"/>
        <w:jc w:val="center"/>
        <w:rPr>
          <w:rFonts w:hint="eastAsia" w:ascii="宋体" w:hAnsi="宋体" w:eastAsia="宋体" w:cs="宋体"/>
          <w:color w:val="auto"/>
          <w:sz w:val="36"/>
          <w:szCs w:val="30"/>
          <w:lang w:val="en-US" w:eastAsia="zh-CN"/>
        </w:rPr>
      </w:pPr>
      <w:r>
        <w:rPr>
          <w:rFonts w:hint="eastAsia" w:ascii="宋体" w:hAnsi="宋体" w:eastAsia="宋体" w:cs="宋体"/>
          <w:color w:val="auto"/>
          <w:sz w:val="36"/>
          <w:szCs w:val="30"/>
          <w:lang w:val="en-US" w:eastAsia="zh-CN"/>
        </w:rPr>
        <w:t>泽足公司制水药品采购公告</w:t>
      </w:r>
    </w:p>
    <w:p w14:paraId="49B4793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eastAsia="zh-CN"/>
        </w:rPr>
        <w:t>明科建设咨询有限公司</w:t>
      </w:r>
      <w:r>
        <w:rPr>
          <w:rFonts w:hint="eastAsia" w:ascii="宋体" w:hAnsi="宋体" w:cs="宋体"/>
          <w:color w:val="auto"/>
          <w:sz w:val="24"/>
          <w:szCs w:val="24"/>
        </w:rPr>
        <w:t>（以下简称：采购代理机构）接受</w:t>
      </w:r>
      <w:r>
        <w:rPr>
          <w:rFonts w:hint="eastAsia" w:ascii="宋体" w:hAnsi="宋体" w:cs="宋体"/>
          <w:color w:val="auto"/>
          <w:sz w:val="24"/>
          <w:szCs w:val="24"/>
          <w:lang w:eastAsia="zh-CN"/>
        </w:rPr>
        <w:t>重庆泽足水务投资建设有限公司</w:t>
      </w:r>
      <w:r>
        <w:rPr>
          <w:rFonts w:hint="eastAsia" w:ascii="宋体" w:hAnsi="宋体" w:cs="宋体"/>
          <w:color w:val="auto"/>
          <w:sz w:val="24"/>
          <w:szCs w:val="24"/>
        </w:rPr>
        <w:t>的委托，对</w:t>
      </w:r>
      <w:r>
        <w:rPr>
          <w:rFonts w:hint="eastAsia" w:ascii="宋体" w:hAnsi="宋体" w:cs="宋体"/>
          <w:color w:val="auto"/>
          <w:sz w:val="24"/>
          <w:szCs w:val="24"/>
          <w:lang w:eastAsia="zh-CN"/>
        </w:rPr>
        <w:t>泽足公司制水药品采购</w:t>
      </w:r>
      <w:r>
        <w:rPr>
          <w:rFonts w:hint="eastAsia" w:ascii="宋体" w:hAnsi="宋体" w:cs="宋体"/>
          <w:color w:val="auto"/>
          <w:sz w:val="24"/>
          <w:szCs w:val="24"/>
        </w:rPr>
        <w:t>进行竞争性比选采购。欢迎有资格的供应商前来参与比选。</w:t>
      </w:r>
      <w:bookmarkStart w:id="22" w:name="_GoBack"/>
      <w:bookmarkEnd w:id="22"/>
    </w:p>
    <w:p w14:paraId="45F21FEC">
      <w:pPr>
        <w:pStyle w:val="4"/>
        <w:spacing w:before="0" w:after="0" w:line="360" w:lineRule="auto"/>
        <w:ind w:firstLine="482" w:firstLineChars="200"/>
        <w:rPr>
          <w:rFonts w:ascii="宋体" w:hAnsi="宋体" w:cs="宋体"/>
          <w:color w:val="auto"/>
          <w:sz w:val="24"/>
          <w:szCs w:val="24"/>
        </w:rPr>
      </w:pPr>
      <w:bookmarkStart w:id="0" w:name="_Toc317775175"/>
      <w:bookmarkStart w:id="1" w:name="_Toc313893526"/>
      <w:bookmarkStart w:id="2" w:name="_Toc27505"/>
      <w:r>
        <w:rPr>
          <w:rFonts w:hint="eastAsia" w:ascii="宋体" w:hAnsi="宋体" w:cs="宋体"/>
          <w:color w:val="auto"/>
          <w:sz w:val="24"/>
          <w:szCs w:val="24"/>
        </w:rPr>
        <w:t>一、竞争性比选内容</w:t>
      </w:r>
      <w:bookmarkEnd w:id="0"/>
      <w:bookmarkEnd w:id="1"/>
      <w:bookmarkEnd w:id="2"/>
    </w:p>
    <w:tbl>
      <w:tblPr>
        <w:tblStyle w:val="58"/>
        <w:tblW w:w="965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706"/>
        <w:gridCol w:w="1706"/>
        <w:gridCol w:w="1470"/>
        <w:gridCol w:w="1632"/>
      </w:tblGrid>
      <w:tr w14:paraId="10FF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3145" w:type="dxa"/>
            <w:tcBorders>
              <w:top w:val="single" w:color="auto" w:sz="4" w:space="0"/>
              <w:left w:val="single" w:color="auto" w:sz="4" w:space="0"/>
              <w:right w:val="single" w:color="auto" w:sz="4" w:space="0"/>
            </w:tcBorders>
            <w:vAlign w:val="center"/>
          </w:tcPr>
          <w:p w14:paraId="1FBA0697">
            <w:pPr>
              <w:widowControl/>
              <w:jc w:val="center"/>
              <w:rPr>
                <w:rFonts w:ascii="宋体" w:hAnsi="宋体" w:cs="宋体"/>
                <w:b/>
                <w:bCs/>
                <w:color w:val="auto"/>
                <w:kern w:val="0"/>
                <w:sz w:val="21"/>
                <w:szCs w:val="21"/>
              </w:rPr>
            </w:pPr>
            <w:bookmarkStart w:id="3" w:name="_Toc373860293"/>
            <w:bookmarkStart w:id="4" w:name="_Toc317775178"/>
            <w:r>
              <w:rPr>
                <w:rFonts w:hint="eastAsia" w:ascii="宋体" w:hAnsi="宋体" w:cs="宋体"/>
                <w:b/>
                <w:bCs/>
                <w:color w:val="auto"/>
                <w:kern w:val="0"/>
                <w:sz w:val="21"/>
                <w:szCs w:val="21"/>
              </w:rPr>
              <w:t>项目内容</w:t>
            </w:r>
          </w:p>
        </w:tc>
        <w:tc>
          <w:tcPr>
            <w:tcW w:w="1706" w:type="dxa"/>
            <w:tcBorders>
              <w:top w:val="single" w:color="auto" w:sz="4" w:space="0"/>
              <w:left w:val="single" w:color="auto" w:sz="4" w:space="0"/>
              <w:right w:val="single" w:color="auto" w:sz="4" w:space="0"/>
            </w:tcBorders>
            <w:vAlign w:val="center"/>
          </w:tcPr>
          <w:p w14:paraId="6DD38CAE">
            <w:pPr>
              <w:widowControl/>
              <w:jc w:val="center"/>
              <w:rPr>
                <w:rFonts w:hint="eastAsia" w:ascii="宋体" w:hAnsi="宋体" w:cs="宋体"/>
                <w:b/>
                <w:bCs/>
                <w:color w:val="auto"/>
                <w:kern w:val="0"/>
                <w:sz w:val="21"/>
                <w:szCs w:val="21"/>
                <w:lang w:val="en-US" w:eastAsia="zh-CN"/>
              </w:rPr>
            </w:pPr>
            <w:r>
              <w:rPr>
                <w:rFonts w:hint="eastAsia" w:ascii="宋体" w:hAnsi="宋体" w:cs="宋体"/>
                <w:b/>
                <w:bCs/>
                <w:color w:val="auto"/>
                <w:kern w:val="0"/>
                <w:sz w:val="21"/>
                <w:szCs w:val="21"/>
                <w:lang w:val="en-US" w:eastAsia="zh-CN"/>
              </w:rPr>
              <w:t>最高限价</w:t>
            </w:r>
          </w:p>
          <w:p w14:paraId="0E20287C">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lang w:val="en-US" w:eastAsia="zh-CN"/>
              </w:rPr>
              <w:t>（万元）</w:t>
            </w:r>
          </w:p>
        </w:tc>
        <w:tc>
          <w:tcPr>
            <w:tcW w:w="1706" w:type="dxa"/>
            <w:tcBorders>
              <w:top w:val="single" w:color="auto" w:sz="4" w:space="0"/>
              <w:left w:val="single" w:color="auto" w:sz="4" w:space="0"/>
              <w:right w:val="single" w:color="auto" w:sz="4" w:space="0"/>
            </w:tcBorders>
            <w:vAlign w:val="center"/>
          </w:tcPr>
          <w:p w14:paraId="60CC3431">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单价最高限价</w:t>
            </w:r>
          </w:p>
          <w:p w14:paraId="0713C03F">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（折扣比例）</w:t>
            </w:r>
          </w:p>
        </w:tc>
        <w:tc>
          <w:tcPr>
            <w:tcW w:w="1470" w:type="dxa"/>
            <w:tcBorders>
              <w:top w:val="single" w:color="auto" w:sz="4" w:space="0"/>
              <w:left w:val="single" w:color="auto" w:sz="4" w:space="0"/>
              <w:right w:val="single" w:color="auto" w:sz="4" w:space="0"/>
            </w:tcBorders>
            <w:vAlign w:val="center"/>
          </w:tcPr>
          <w:p w14:paraId="113DE1A7">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比选保证金（</w:t>
            </w:r>
            <w:r>
              <w:rPr>
                <w:rFonts w:hint="eastAsia" w:ascii="宋体" w:hAnsi="宋体" w:cs="宋体"/>
                <w:b/>
                <w:bCs/>
                <w:color w:val="auto"/>
                <w:kern w:val="0"/>
                <w:sz w:val="21"/>
                <w:szCs w:val="21"/>
                <w:lang w:eastAsia="zh-CN"/>
              </w:rPr>
              <w:t>万</w:t>
            </w:r>
            <w:r>
              <w:rPr>
                <w:rFonts w:hint="eastAsia" w:ascii="宋体" w:hAnsi="宋体" w:cs="宋体"/>
                <w:b/>
                <w:bCs/>
                <w:color w:val="auto"/>
                <w:kern w:val="0"/>
                <w:sz w:val="21"/>
                <w:szCs w:val="21"/>
              </w:rPr>
              <w:t>元）</w:t>
            </w:r>
          </w:p>
        </w:tc>
        <w:tc>
          <w:tcPr>
            <w:tcW w:w="1632" w:type="dxa"/>
            <w:tcBorders>
              <w:top w:val="single" w:color="auto" w:sz="4" w:space="0"/>
              <w:left w:val="single" w:color="auto" w:sz="4" w:space="0"/>
              <w:right w:val="single" w:color="auto" w:sz="4" w:space="0"/>
            </w:tcBorders>
            <w:vAlign w:val="center"/>
          </w:tcPr>
          <w:p w14:paraId="6AE34459">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成交供应商数量（名）</w:t>
            </w:r>
          </w:p>
        </w:tc>
      </w:tr>
      <w:tr w14:paraId="7FD77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145" w:type="dxa"/>
            <w:tcBorders>
              <w:top w:val="single" w:color="auto" w:sz="4" w:space="0"/>
              <w:left w:val="single" w:color="auto" w:sz="4" w:space="0"/>
              <w:right w:val="single" w:color="auto" w:sz="4" w:space="0"/>
            </w:tcBorders>
            <w:vAlign w:val="center"/>
          </w:tcPr>
          <w:p w14:paraId="57031B53">
            <w:pPr>
              <w:pStyle w:val="23"/>
              <w:spacing w:line="240" w:lineRule="auto"/>
              <w:ind w:left="0"/>
              <w:jc w:val="center"/>
              <w:outlineLvl w:val="0"/>
              <w:rPr>
                <w:rFonts w:hint="eastAsia" w:ascii="宋体" w:hAnsi="宋体" w:eastAsia="宋体" w:cs="宋体"/>
                <w:color w:val="auto"/>
                <w:sz w:val="21"/>
                <w:szCs w:val="21"/>
                <w:lang w:eastAsia="zh-CN"/>
              </w:rPr>
            </w:pPr>
            <w:bookmarkStart w:id="5" w:name="_Hlk344477914"/>
            <w:r>
              <w:rPr>
                <w:rFonts w:hint="eastAsia" w:ascii="宋体" w:hAnsi="宋体" w:cs="宋体"/>
                <w:color w:val="000000" w:themeColor="text1"/>
                <w:sz w:val="24"/>
                <w:szCs w:val="24"/>
                <w:lang w:eastAsia="zh-CN"/>
                <w14:textFill>
                  <w14:solidFill>
                    <w14:schemeClr w14:val="tx1"/>
                  </w14:solidFill>
                </w14:textFill>
              </w:rPr>
              <w:t>泽足公司制水药品采购</w:t>
            </w:r>
            <w:r>
              <w:rPr>
                <w:rFonts w:hint="eastAsia" w:ascii="宋体" w:hAnsi="宋体" w:cs="宋体"/>
                <w:color w:val="auto"/>
                <w:sz w:val="24"/>
                <w:szCs w:val="24"/>
                <w:lang w:eastAsia="zh-CN"/>
              </w:rPr>
              <w:t xml:space="preserve"> </w:t>
            </w:r>
          </w:p>
        </w:tc>
        <w:tc>
          <w:tcPr>
            <w:tcW w:w="1706" w:type="dxa"/>
            <w:tcBorders>
              <w:top w:val="single" w:color="auto" w:sz="4" w:space="0"/>
              <w:left w:val="single" w:color="auto" w:sz="4" w:space="0"/>
              <w:right w:val="single" w:color="auto" w:sz="4" w:space="0"/>
            </w:tcBorders>
            <w:vAlign w:val="center"/>
          </w:tcPr>
          <w:p w14:paraId="7AD22C37">
            <w:pPr>
              <w:pStyle w:val="23"/>
              <w:spacing w:line="240" w:lineRule="auto"/>
              <w:ind w:left="0" w:leftChars="0"/>
              <w:jc w:val="center"/>
              <w:outlineLvl w:val="0"/>
              <w:rPr>
                <w:rFonts w:hint="eastAsia" w:ascii="仿宋" w:hAnsi="仿宋" w:eastAsia="仿宋" w:cs="仿宋"/>
                <w:color w:val="auto"/>
                <w:sz w:val="22"/>
                <w:szCs w:val="22"/>
              </w:rPr>
            </w:pPr>
            <w:r>
              <w:rPr>
                <w:rFonts w:hint="eastAsia" w:ascii="宋体" w:hAnsi="宋体" w:cs="宋体"/>
                <w:color w:val="auto"/>
                <w:sz w:val="24"/>
                <w:szCs w:val="24"/>
                <w:lang w:val="en-US" w:eastAsia="zh-CN"/>
              </w:rPr>
              <w:t>49.5</w:t>
            </w:r>
          </w:p>
        </w:tc>
        <w:tc>
          <w:tcPr>
            <w:tcW w:w="1706" w:type="dxa"/>
            <w:tcBorders>
              <w:top w:val="single" w:color="auto" w:sz="4" w:space="0"/>
              <w:left w:val="single" w:color="auto" w:sz="4" w:space="0"/>
              <w:right w:val="single" w:color="auto" w:sz="4" w:space="0"/>
            </w:tcBorders>
            <w:vAlign w:val="center"/>
          </w:tcPr>
          <w:p w14:paraId="54EA75B5">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100%</w:t>
            </w:r>
          </w:p>
        </w:tc>
        <w:tc>
          <w:tcPr>
            <w:tcW w:w="1470" w:type="dxa"/>
            <w:tcBorders>
              <w:top w:val="single" w:color="auto" w:sz="4" w:space="0"/>
              <w:left w:val="single" w:color="auto" w:sz="4" w:space="0"/>
              <w:right w:val="single" w:color="auto" w:sz="4" w:space="0"/>
            </w:tcBorders>
            <w:vAlign w:val="center"/>
          </w:tcPr>
          <w:p w14:paraId="0EEC2B1C">
            <w:pPr>
              <w:pStyle w:val="23"/>
              <w:spacing w:line="240" w:lineRule="auto"/>
              <w:ind w:left="0"/>
              <w:jc w:val="center"/>
              <w:outlineLvl w:val="0"/>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0.9</w:t>
            </w:r>
          </w:p>
        </w:tc>
        <w:tc>
          <w:tcPr>
            <w:tcW w:w="1632" w:type="dxa"/>
            <w:tcBorders>
              <w:top w:val="single" w:color="auto" w:sz="4" w:space="0"/>
              <w:left w:val="single" w:color="auto" w:sz="4" w:space="0"/>
              <w:right w:val="single" w:color="auto" w:sz="4" w:space="0"/>
            </w:tcBorders>
            <w:vAlign w:val="center"/>
          </w:tcPr>
          <w:p w14:paraId="277F673E">
            <w:pPr>
              <w:pStyle w:val="23"/>
              <w:spacing w:line="240" w:lineRule="auto"/>
              <w:ind w:left="0"/>
              <w:jc w:val="center"/>
              <w:outlineLvl w:val="0"/>
              <w:rPr>
                <w:rFonts w:ascii="宋体" w:hAnsi="宋体" w:cs="宋体"/>
                <w:color w:val="auto"/>
                <w:sz w:val="24"/>
                <w:szCs w:val="24"/>
              </w:rPr>
            </w:pPr>
            <w:r>
              <w:rPr>
                <w:rFonts w:hint="eastAsia" w:ascii="宋体" w:hAnsi="宋体" w:cs="宋体"/>
                <w:color w:val="auto"/>
                <w:sz w:val="24"/>
                <w:szCs w:val="24"/>
              </w:rPr>
              <w:t>1</w:t>
            </w:r>
          </w:p>
        </w:tc>
      </w:tr>
      <w:bookmarkEnd w:id="5"/>
    </w:tbl>
    <w:p w14:paraId="4C8B6682">
      <w:pPr>
        <w:pStyle w:val="4"/>
        <w:spacing w:before="0" w:after="0" w:line="360" w:lineRule="auto"/>
        <w:ind w:firstLine="482" w:firstLineChars="200"/>
        <w:rPr>
          <w:rFonts w:ascii="宋体" w:hAnsi="宋体" w:cs="宋体"/>
          <w:color w:val="auto"/>
          <w:sz w:val="24"/>
          <w:szCs w:val="24"/>
        </w:rPr>
      </w:pPr>
      <w:bookmarkStart w:id="6" w:name="_Toc12048"/>
      <w:r>
        <w:rPr>
          <w:rFonts w:hint="eastAsia" w:ascii="宋体" w:hAnsi="宋体" w:cs="宋体"/>
          <w:color w:val="auto"/>
          <w:sz w:val="24"/>
          <w:szCs w:val="24"/>
        </w:rPr>
        <w:t>二、资金来源</w:t>
      </w:r>
      <w:bookmarkEnd w:id="6"/>
    </w:p>
    <w:p w14:paraId="60AD310C">
      <w:pPr>
        <w:snapToGrid w:val="0"/>
        <w:spacing w:line="360" w:lineRule="auto"/>
        <w:ind w:firstLine="960" w:firstLineChars="400"/>
        <w:rPr>
          <w:rFonts w:ascii="宋体" w:hAnsi="宋体" w:cs="宋体"/>
          <w:color w:val="auto"/>
          <w:sz w:val="24"/>
          <w:szCs w:val="24"/>
        </w:rPr>
      </w:pPr>
      <w:r>
        <w:rPr>
          <w:rFonts w:hint="eastAsia" w:ascii="宋体" w:hAnsi="宋体" w:cs="宋体"/>
          <w:color w:val="auto"/>
          <w:sz w:val="24"/>
          <w:szCs w:val="24"/>
        </w:rPr>
        <w:t>业主自筹</w:t>
      </w:r>
    </w:p>
    <w:bookmarkEnd w:id="3"/>
    <w:bookmarkEnd w:id="4"/>
    <w:p w14:paraId="31E36635">
      <w:pPr>
        <w:pStyle w:val="4"/>
        <w:spacing w:before="0" w:after="0" w:line="360" w:lineRule="auto"/>
        <w:ind w:firstLine="482" w:firstLineChars="200"/>
        <w:rPr>
          <w:rFonts w:ascii="宋体" w:hAnsi="宋体" w:cs="宋体"/>
          <w:color w:val="auto"/>
          <w:sz w:val="24"/>
          <w:szCs w:val="24"/>
        </w:rPr>
      </w:pPr>
      <w:bookmarkStart w:id="7" w:name="_Toc75258773"/>
      <w:bookmarkStart w:id="8" w:name="_Toc1038"/>
      <w:r>
        <w:rPr>
          <w:rFonts w:hint="eastAsia" w:ascii="宋体" w:hAnsi="宋体" w:cs="宋体"/>
          <w:color w:val="auto"/>
          <w:sz w:val="24"/>
          <w:szCs w:val="24"/>
        </w:rPr>
        <w:t>三、供应商资格条件</w:t>
      </w:r>
      <w:bookmarkEnd w:id="7"/>
      <w:bookmarkEnd w:id="8"/>
    </w:p>
    <w:p w14:paraId="3D529059">
      <w:pPr>
        <w:snapToGrid w:val="0"/>
        <w:spacing w:line="360" w:lineRule="auto"/>
        <w:ind w:firstLine="480" w:firstLineChars="200"/>
        <w:rPr>
          <w:rFonts w:ascii="宋体" w:hAnsi="宋体" w:cs="宋体"/>
          <w:color w:val="auto"/>
          <w:sz w:val="24"/>
          <w:szCs w:val="24"/>
        </w:rPr>
      </w:pPr>
      <w:bookmarkStart w:id="9" w:name="_Toc75258774"/>
      <w:r>
        <w:rPr>
          <w:rFonts w:hint="eastAsia" w:ascii="宋体" w:hAnsi="宋体" w:cs="宋体"/>
          <w:color w:val="auto"/>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0DEEB7A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（一）基本资格条件</w:t>
      </w:r>
    </w:p>
    <w:p w14:paraId="193846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1.具有独立承担民事责任的能力；</w:t>
      </w:r>
    </w:p>
    <w:p w14:paraId="610655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2.具有良好的商业信誉和健全的财务会计制度；</w:t>
      </w:r>
    </w:p>
    <w:p w14:paraId="23FACE6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3.具有履行合同所必需的设备和专业技术能力；</w:t>
      </w:r>
    </w:p>
    <w:p w14:paraId="2A4C32E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4.有依法缴纳税收和社会保障资金的良好记录；</w:t>
      </w:r>
    </w:p>
    <w:p w14:paraId="7D4604D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5.参加政府采购活动前三年内，在经营活动中没有重大违法记录；</w:t>
      </w:r>
    </w:p>
    <w:p w14:paraId="6F813A9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6.法律、行政法规规定的其他条件。</w:t>
      </w:r>
    </w:p>
    <w:p w14:paraId="205C595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（二）本项目的特定资格条件：</w:t>
      </w:r>
    </w:p>
    <w:p w14:paraId="237C4330">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1、本次招标要求投标人为独立法人资格，具有本项目所需材料的销售资格，并在人员、设备、资金等方面具有承担本项目实施的能力；</w:t>
      </w:r>
    </w:p>
    <w:p w14:paraId="71AF90A2">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2、投标人可以是生产企业、生产企业授权的代理商或经销商；</w:t>
      </w:r>
    </w:p>
    <w:p w14:paraId="4A431FF6">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3、具有《道路运输经营许可证》，如是委托第三方运输，则需出具《委托合同》，第三方的《道路运输经营许可证》。</w:t>
      </w:r>
    </w:p>
    <w:p w14:paraId="432457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（三）落实政府采购政策需满足的资格要求：无。</w:t>
      </w:r>
    </w:p>
    <w:p w14:paraId="527C03D9">
      <w:pPr>
        <w:pStyle w:val="4"/>
        <w:spacing w:before="0" w:after="0" w:line="360" w:lineRule="auto"/>
        <w:ind w:firstLine="482" w:firstLineChars="200"/>
        <w:rPr>
          <w:rFonts w:ascii="宋体" w:hAnsi="宋体" w:cs="宋体"/>
          <w:color w:val="auto"/>
          <w:sz w:val="24"/>
          <w:szCs w:val="24"/>
          <w:highlight w:val="none"/>
        </w:rPr>
      </w:pPr>
      <w:bookmarkStart w:id="10" w:name="_Toc30256"/>
      <w:r>
        <w:rPr>
          <w:rFonts w:hint="eastAsia" w:ascii="宋体" w:hAnsi="宋体" w:cs="宋体"/>
          <w:color w:val="auto"/>
          <w:sz w:val="24"/>
          <w:szCs w:val="24"/>
        </w:rPr>
        <w:t>四、比选有关说明</w:t>
      </w:r>
      <w:bookmarkEnd w:id="9"/>
      <w:bookmarkEnd w:id="10"/>
    </w:p>
    <w:p w14:paraId="090A47FE">
      <w:pPr>
        <w:wordWrap w:val="0"/>
        <w:spacing w:line="360" w:lineRule="auto"/>
        <w:ind w:firstLine="480" w:firstLineChars="200"/>
        <w:rPr>
          <w:rFonts w:ascii="宋体" w:hAnsi="宋体" w:cs="宋体"/>
          <w:color w:val="auto"/>
          <w:sz w:val="24"/>
          <w:szCs w:val="24"/>
        </w:rPr>
      </w:pPr>
      <w:bookmarkStart w:id="11" w:name="_Toc373860294"/>
      <w:bookmarkStart w:id="12" w:name="_Toc6762"/>
      <w:bookmarkStart w:id="13" w:name="_Toc75258775"/>
      <w:r>
        <w:rPr>
          <w:rFonts w:hint="eastAsia" w:ascii="宋体" w:hAnsi="宋体" w:cs="宋体"/>
          <w:color w:val="auto"/>
          <w:sz w:val="24"/>
          <w:szCs w:val="24"/>
          <w:highlight w:val="none"/>
        </w:rPr>
        <w:t>（一）</w:t>
      </w:r>
      <w:r>
        <w:rPr>
          <w:rFonts w:hint="eastAsia" w:ascii="宋体" w:hAnsi="宋体" w:eastAsia="宋体" w:cs="宋体"/>
          <w:color w:val="auto"/>
          <w:sz w:val="24"/>
          <w:szCs w:val="24"/>
          <w:highlight w:val="none"/>
        </w:rPr>
        <w:t>凡有意参加投标的供应商，请在“</w:t>
      </w:r>
      <w:r>
        <w:rPr>
          <w:rFonts w:hint="eastAsia" w:ascii="宋体" w:hAnsi="宋体" w:cs="宋体"/>
          <w:color w:val="auto"/>
          <w:sz w:val="24"/>
          <w:szCs w:val="24"/>
          <w:highlight w:val="none"/>
          <w:lang w:eastAsia="zh-CN"/>
        </w:rPr>
        <w:t>《文旅集团》(http://www.dzxfjt.cn/)</w:t>
      </w:r>
      <w:r>
        <w:rPr>
          <w:rFonts w:hint="eastAsia" w:ascii="宋体" w:hAnsi="宋体" w:eastAsia="宋体" w:cs="宋体"/>
          <w:color w:val="auto"/>
          <w:sz w:val="24"/>
          <w:szCs w:val="24"/>
          <w:highlight w:val="none"/>
        </w:rPr>
        <w:t>”下</w:t>
      </w:r>
      <w:r>
        <w:rPr>
          <w:rFonts w:hint="eastAsia" w:ascii="宋体" w:hAnsi="宋体" w:eastAsia="宋体" w:cs="宋体"/>
          <w:color w:val="auto"/>
          <w:sz w:val="24"/>
          <w:szCs w:val="24"/>
        </w:rPr>
        <w:t>载</w:t>
      </w:r>
      <w:r>
        <w:rPr>
          <w:rFonts w:hint="eastAsia" w:ascii="宋体" w:hAnsi="宋体" w:eastAsia="宋体" w:cs="宋体"/>
          <w:color w:val="auto"/>
          <w:sz w:val="24"/>
          <w:szCs w:val="24"/>
          <w:lang w:eastAsia="zh-CN"/>
        </w:rPr>
        <w:t>查看公告，到</w:t>
      </w:r>
      <w:r>
        <w:rPr>
          <w:rFonts w:hint="eastAsia" w:ascii="宋体" w:hAnsi="宋体" w:cs="宋体"/>
          <w:color w:val="auto"/>
          <w:sz w:val="24"/>
          <w:szCs w:val="24"/>
          <w:lang w:eastAsia="zh-CN"/>
        </w:rPr>
        <w:t>明科建设咨询有限公司</w:t>
      </w:r>
      <w:r>
        <w:rPr>
          <w:rFonts w:hint="eastAsia" w:ascii="宋体" w:hAnsi="宋体" w:eastAsia="宋体" w:cs="宋体"/>
          <w:color w:val="auto"/>
          <w:sz w:val="24"/>
          <w:szCs w:val="24"/>
        </w:rPr>
        <w:t>领取本项目</w:t>
      </w:r>
      <w:r>
        <w:rPr>
          <w:rFonts w:hint="eastAsia" w:ascii="宋体" w:hAnsi="宋体" w:eastAsia="宋体" w:cs="宋体"/>
          <w:color w:val="auto"/>
          <w:sz w:val="24"/>
          <w:szCs w:val="24"/>
          <w:lang w:eastAsia="zh-CN"/>
        </w:rPr>
        <w:t>采购</w:t>
      </w:r>
      <w:r>
        <w:rPr>
          <w:rFonts w:hint="eastAsia" w:ascii="宋体" w:hAnsi="宋体" w:eastAsia="宋体" w:cs="宋体"/>
          <w:color w:val="auto"/>
          <w:sz w:val="24"/>
          <w:szCs w:val="24"/>
        </w:rPr>
        <w:t>文件以及图纸、澄清等开标前公布的所有项目资料，无论供应商下载或领取与否，均视为已知晓所有实质性要求内容。</w:t>
      </w:r>
    </w:p>
    <w:p w14:paraId="2DC841C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（二）采购文件发售期限</w:t>
      </w:r>
    </w:p>
    <w:p w14:paraId="061F7F26">
      <w:pPr>
        <w:snapToGrid w:val="0"/>
        <w:spacing w:line="360" w:lineRule="auto"/>
        <w:ind w:firstLine="480" w:firstLineChars="200"/>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rPr>
        <w:t>1. 报名和采</w:t>
      </w:r>
      <w:r>
        <w:rPr>
          <w:rFonts w:hint="eastAsia" w:ascii="宋体" w:hAnsi="宋体" w:cs="宋体"/>
          <w:color w:val="auto"/>
          <w:sz w:val="24"/>
          <w:szCs w:val="24"/>
          <w:highlight w:val="none"/>
        </w:rPr>
        <w:t>购文件发售期：202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rPr>
        <w:t>日至202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日</w:t>
      </w:r>
      <w:r>
        <w:rPr>
          <w:rFonts w:ascii="宋体" w:hAnsi="宋体" w:cs="宋体"/>
          <w:color w:val="auto"/>
          <w:sz w:val="24"/>
          <w:szCs w:val="24"/>
          <w:highlight w:val="none"/>
        </w:rPr>
        <w:t xml:space="preserve"> </w:t>
      </w:r>
      <w:r>
        <w:rPr>
          <w:rFonts w:hint="eastAsia" w:ascii="宋体" w:hAnsi="宋体" w:cs="宋体"/>
          <w:color w:val="auto"/>
          <w:sz w:val="24"/>
          <w:szCs w:val="24"/>
          <w:highlight w:val="none"/>
          <w:lang w:val="en-US" w:eastAsia="zh-CN"/>
        </w:rPr>
        <w:t>17：00</w:t>
      </w:r>
      <w:r>
        <w:rPr>
          <w:rFonts w:ascii="宋体" w:hAnsi="宋体" w:cs="宋体"/>
          <w:color w:val="auto"/>
          <w:sz w:val="24"/>
          <w:szCs w:val="24"/>
          <w:highlight w:val="none"/>
        </w:rPr>
        <w:t xml:space="preserve"> </w:t>
      </w:r>
    </w:p>
    <w:p w14:paraId="6F09D9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 采购文件售价：人民币500元/份（售后不退）。</w:t>
      </w:r>
    </w:p>
    <w:p w14:paraId="4B0905E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 报名及采购文件购买方式：现金购买</w:t>
      </w:r>
    </w:p>
    <w:p w14:paraId="32E98E3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在采购文件发售期内，供应商到</w:t>
      </w:r>
      <w:r>
        <w:rPr>
          <w:rFonts w:hint="eastAsia" w:ascii="宋体" w:hAnsi="宋体" w:cs="宋体"/>
          <w:color w:val="auto"/>
          <w:sz w:val="24"/>
          <w:szCs w:val="24"/>
          <w:lang w:eastAsia="zh-CN"/>
        </w:rPr>
        <w:t>明科建设咨询有限公司</w:t>
      </w:r>
      <w:r>
        <w:rPr>
          <w:rFonts w:hint="eastAsia" w:ascii="宋体" w:hAnsi="宋体" w:cs="宋体"/>
          <w:color w:val="auto"/>
          <w:sz w:val="24"/>
          <w:szCs w:val="24"/>
        </w:rPr>
        <w:t>，登记递交《采购文件发售登记表，格式详见附件》（加盖供应商公章）并购买采购文件。</w:t>
      </w:r>
    </w:p>
    <w:p w14:paraId="26340AD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在报名和采购文件发售期内购买了采购文件的供应商，其报名和响应文件才被接收。</w:t>
      </w:r>
    </w:p>
    <w:p w14:paraId="7C4D5BE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（三）供应商须满足以下两种要求，其响应文件才被接受：</w:t>
      </w:r>
    </w:p>
    <w:p w14:paraId="273C867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1、按时递交了响应文件；</w:t>
      </w:r>
    </w:p>
    <w:p w14:paraId="17D3B1B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2、按规定报名。</w:t>
      </w:r>
    </w:p>
    <w:p w14:paraId="70F95044">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（四）递交响应文件地点：</w:t>
      </w:r>
      <w:r>
        <w:rPr>
          <w:rFonts w:hint="eastAsia" w:ascii="宋体" w:hAnsi="宋体" w:cs="宋体"/>
          <w:bCs/>
          <w:color w:val="auto"/>
          <w:sz w:val="24"/>
          <w:szCs w:val="24"/>
          <w:lang w:eastAsia="zh-CN"/>
        </w:rPr>
        <w:t>重庆市大足区</w:t>
      </w:r>
      <w:r>
        <w:rPr>
          <w:rFonts w:hint="eastAsia" w:ascii="宋体" w:hAnsi="宋体" w:cs="宋体"/>
          <w:bCs/>
          <w:color w:val="auto"/>
          <w:sz w:val="24"/>
          <w:szCs w:val="24"/>
          <w:lang w:val="en-US" w:eastAsia="zh-CN"/>
        </w:rPr>
        <w:t>城西佳苑</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西门</w:t>
      </w:r>
      <w:r>
        <w:rPr>
          <w:rFonts w:hint="eastAsia" w:ascii="宋体" w:hAnsi="宋体" w:cs="宋体"/>
          <w:color w:val="auto"/>
          <w:sz w:val="24"/>
          <w:szCs w:val="24"/>
          <w:lang w:eastAsia="zh-CN"/>
        </w:rPr>
        <w:t>）</w:t>
      </w:r>
    </w:p>
    <w:p w14:paraId="31D524B3">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rPr>
        <w:t>（五）响应文件递交开始时间：202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2月9日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 xml:space="preserve">9：30 </w:t>
      </w:r>
    </w:p>
    <w:p w14:paraId="19329304">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rPr>
        <w:t>（六）响应文件递交截止时间：202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2月9日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10：00</w:t>
      </w:r>
    </w:p>
    <w:p w14:paraId="7DA3B92F">
      <w:pPr>
        <w:snapToGrid w:val="0"/>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rPr>
        <w:t>（七）响应文件开启时间：202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2月9日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 xml:space="preserve">10：00 </w:t>
      </w:r>
    </w:p>
    <w:p w14:paraId="44FFD11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五、比选保证金</w:t>
      </w:r>
      <w:bookmarkEnd w:id="11"/>
      <w:bookmarkEnd w:id="12"/>
      <w:bookmarkEnd w:id="13"/>
    </w:p>
    <w:p w14:paraId="63D2272C">
      <w:pPr>
        <w:snapToGrid w:val="0"/>
        <w:spacing w:line="360" w:lineRule="auto"/>
        <w:ind w:firstLine="480" w:firstLineChars="200"/>
        <w:rPr>
          <w:rFonts w:ascii="宋体" w:hAnsi="宋体" w:cs="宋体"/>
          <w:color w:val="auto"/>
          <w:sz w:val="24"/>
          <w:szCs w:val="24"/>
        </w:rPr>
      </w:pPr>
      <w:bookmarkStart w:id="14" w:name="_Toc75258776"/>
      <w:bookmarkStart w:id="15" w:name="_Toc530038692"/>
      <w:bookmarkStart w:id="16" w:name="_Toc75258777"/>
      <w:bookmarkStart w:id="17" w:name="_Toc12712"/>
      <w:r>
        <w:rPr>
          <w:rFonts w:hint="eastAsia" w:ascii="宋体" w:hAnsi="宋体" w:cs="宋体"/>
          <w:color w:val="auto"/>
          <w:sz w:val="24"/>
          <w:szCs w:val="24"/>
        </w:rPr>
        <w:t>1.缴纳金额：保证金金额详见本篇“一、竞争性比选内容”.</w:t>
      </w:r>
    </w:p>
    <w:p w14:paraId="5100C1B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由投标人的银行基本账户转账到以下账户：</w:t>
      </w:r>
    </w:p>
    <w:p w14:paraId="45D2B6FF">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户名：明科建设咨询有限公司</w:t>
      </w:r>
      <w:r>
        <w:rPr>
          <w:rFonts w:hint="eastAsia" w:ascii="宋体" w:hAnsi="宋体" w:cs="宋体"/>
          <w:color w:val="auto"/>
          <w:sz w:val="24"/>
          <w:szCs w:val="24"/>
          <w:highlight w:val="none"/>
          <w:lang w:val="en-US" w:eastAsia="zh-CN"/>
        </w:rPr>
        <w:t>大足分公司</w:t>
      </w:r>
    </w:p>
    <w:p w14:paraId="43C620FB">
      <w:pPr>
        <w:snapToGrid w:val="0"/>
        <w:spacing w:line="360" w:lineRule="auto"/>
        <w:ind w:firstLine="480"/>
        <w:rPr>
          <w:rStyle w:val="281"/>
          <w:rFonts w:hint="eastAsia" w:ascii="宋体" w:hAnsi="宋体" w:eastAsia="宋体" w:cs="宋体"/>
          <w:color w:val="auto"/>
          <w:highlight w:val="none"/>
          <w:lang w:eastAsia="zh-CN"/>
        </w:rPr>
      </w:pPr>
      <w:r>
        <w:rPr>
          <w:rStyle w:val="281"/>
          <w:rFonts w:hint="eastAsia" w:ascii="宋体" w:hAnsi="宋体" w:eastAsia="宋体" w:cs="宋体"/>
          <w:color w:val="auto"/>
          <w:highlight w:val="none"/>
          <w:lang w:eastAsia="zh-CN"/>
        </w:rPr>
        <w:t>账号：</w:t>
      </w:r>
      <w:r>
        <w:rPr>
          <w:rStyle w:val="281"/>
          <w:rFonts w:hint="eastAsia" w:ascii="宋体" w:hAnsi="宋体" w:cs="宋体"/>
          <w:color w:val="auto"/>
          <w:highlight w:val="none"/>
          <w:lang w:val="en-US" w:eastAsia="zh-CN"/>
        </w:rPr>
        <w:t>3100096009200211426</w:t>
      </w:r>
      <w:r>
        <w:rPr>
          <w:rStyle w:val="281"/>
          <w:rFonts w:hint="eastAsia" w:ascii="宋体" w:hAnsi="宋体" w:eastAsia="宋体" w:cs="宋体"/>
          <w:color w:val="auto"/>
          <w:highlight w:val="none"/>
          <w:lang w:eastAsia="zh-CN"/>
        </w:rPr>
        <w:t xml:space="preserve"> </w:t>
      </w:r>
    </w:p>
    <w:p w14:paraId="529FB37E">
      <w:pPr>
        <w:snapToGrid w:val="0"/>
        <w:spacing w:line="360" w:lineRule="auto"/>
        <w:ind w:firstLine="480"/>
        <w:rPr>
          <w:rStyle w:val="281"/>
          <w:rFonts w:hint="default" w:ascii="宋体" w:hAnsi="宋体" w:eastAsia="宋体" w:cs="宋体"/>
          <w:color w:val="auto"/>
          <w:highlight w:val="none"/>
          <w:lang w:val="en-US" w:eastAsia="zh-CN"/>
        </w:rPr>
      </w:pPr>
      <w:r>
        <w:rPr>
          <w:rStyle w:val="281"/>
          <w:rFonts w:hint="eastAsia" w:ascii="宋体" w:hAnsi="宋体" w:eastAsia="宋体" w:cs="宋体"/>
          <w:color w:val="auto"/>
          <w:highlight w:val="none"/>
          <w:lang w:eastAsia="zh-CN"/>
        </w:rPr>
        <w:t>开户行：</w:t>
      </w:r>
      <w:r>
        <w:rPr>
          <w:rFonts w:hint="eastAsia" w:ascii="宋体" w:hAnsi="宋体" w:cs="宋体"/>
          <w:color w:val="auto"/>
          <w:sz w:val="24"/>
          <w:szCs w:val="24"/>
          <w:highlight w:val="none"/>
          <w:lang w:eastAsia="zh-CN"/>
        </w:rPr>
        <w:t>中国</w:t>
      </w:r>
      <w:r>
        <w:rPr>
          <w:rFonts w:hint="eastAsia" w:ascii="宋体" w:hAnsi="宋体" w:cs="宋体"/>
          <w:color w:val="auto"/>
          <w:sz w:val="24"/>
          <w:szCs w:val="24"/>
          <w:highlight w:val="none"/>
          <w:lang w:val="en-US" w:eastAsia="zh-CN"/>
        </w:rPr>
        <w:t>工商银行股份有限公司重庆大足支行</w:t>
      </w:r>
    </w:p>
    <w:p w14:paraId="43E7E32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2.保证金到账时间及备注填写要求</w:t>
      </w:r>
    </w:p>
    <w:p w14:paraId="708D531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（1）到账时间要求</w:t>
      </w:r>
    </w:p>
    <w:p w14:paraId="22B626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投标保证金的到账截止时间为投标截止时间前一天下午5：00（投标人在银行转账汇款时，须充分考虑转账汇款的时间差风险，如同城转账、异地转账或汇款、跨行转账或电汇的时间要求；未按要求递交投标保证金的其投标文件将会被拒收）。</w:t>
      </w:r>
    </w:p>
    <w:p w14:paraId="1EF7DA7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（2）备注填写要求</w:t>
      </w:r>
    </w:p>
    <w:p w14:paraId="131F0DD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投标人应在银行转账（汇款）凭证备注栏中注明“保证金—（项目名称，可简写）</w:t>
      </w:r>
      <w:r>
        <w:rPr>
          <w:rFonts w:ascii="宋体" w:hAnsi="宋体" w:cs="宋体"/>
          <w:color w:val="auto"/>
          <w:sz w:val="24"/>
          <w:szCs w:val="24"/>
        </w:rPr>
        <w:t>”</w:t>
      </w:r>
      <w:r>
        <w:rPr>
          <w:rFonts w:hint="eastAsia" w:ascii="宋体" w:hAnsi="宋体" w:cs="宋体"/>
          <w:color w:val="auto"/>
          <w:sz w:val="24"/>
          <w:szCs w:val="24"/>
        </w:rPr>
        <w:t>，不按要求填写备注和缴纳保证金入指定账户而影响对其保证金到账认定和退还的，由投标人自行承担。</w:t>
      </w:r>
    </w:p>
    <w:p w14:paraId="2E94C7A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3.保证金退还方式</w:t>
      </w:r>
    </w:p>
    <w:p w14:paraId="5AA9963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（1）未成交供应商的保证金，在成交通知书发出后，由</w:t>
      </w:r>
      <w:r>
        <w:rPr>
          <w:rFonts w:hint="eastAsia" w:ascii="宋体" w:hAnsi="宋体" w:cs="宋体"/>
          <w:color w:val="auto"/>
          <w:sz w:val="24"/>
          <w:szCs w:val="24"/>
          <w:lang w:eastAsia="zh-CN"/>
        </w:rPr>
        <w:t>明科建设咨询有限公司</w:t>
      </w:r>
      <w:r>
        <w:rPr>
          <w:rFonts w:hint="eastAsia" w:ascii="宋体" w:hAnsi="宋体" w:cs="宋体"/>
          <w:color w:val="auto"/>
          <w:sz w:val="24"/>
          <w:szCs w:val="24"/>
        </w:rPr>
        <w:t>在5个工作日内退还至投标人的“开户许可证”基本账户上。</w:t>
      </w:r>
    </w:p>
    <w:p w14:paraId="4D33EB0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（2）成交供应商的保证金，在成交供应商</w:t>
      </w:r>
      <w:r>
        <w:rPr>
          <w:rFonts w:ascii="宋体" w:hAnsi="宋体" w:cs="宋体"/>
          <w:color w:val="auto"/>
          <w:sz w:val="24"/>
          <w:szCs w:val="24"/>
        </w:rPr>
        <w:t>和采购人</w:t>
      </w:r>
      <w:r>
        <w:rPr>
          <w:rFonts w:hint="eastAsia" w:ascii="宋体" w:hAnsi="宋体" w:cs="宋体"/>
          <w:color w:val="auto"/>
          <w:sz w:val="24"/>
          <w:szCs w:val="24"/>
        </w:rPr>
        <w:t>签订合同后，由</w:t>
      </w:r>
      <w:r>
        <w:rPr>
          <w:rFonts w:hint="eastAsia" w:ascii="宋体" w:hAnsi="宋体" w:cs="宋体"/>
          <w:color w:val="auto"/>
          <w:sz w:val="24"/>
          <w:szCs w:val="24"/>
          <w:lang w:eastAsia="zh-CN"/>
        </w:rPr>
        <w:t>明科建设咨询有限公司</w:t>
      </w:r>
      <w:r>
        <w:rPr>
          <w:rFonts w:hint="eastAsia" w:ascii="宋体" w:hAnsi="宋体" w:cs="宋体"/>
          <w:color w:val="auto"/>
          <w:sz w:val="24"/>
          <w:szCs w:val="24"/>
        </w:rPr>
        <w:t>在5个工作日内退还至投标人的“开户许可证”基本账户上。</w:t>
      </w:r>
    </w:p>
    <w:p w14:paraId="19E723E2">
      <w:pPr>
        <w:snapToGrid w:val="0"/>
        <w:spacing w:line="360" w:lineRule="auto"/>
        <w:ind w:firstLine="480" w:firstLineChars="200"/>
        <w:rPr>
          <w:rFonts w:hint="default" w:ascii="宋体" w:hAnsi="宋体" w:eastAsia="宋体" w:cs="宋体"/>
          <w:color w:val="auto"/>
          <w:sz w:val="24"/>
          <w:szCs w:val="24"/>
          <w:lang w:val="en-US" w:eastAsia="zh-CN"/>
        </w:rPr>
      </w:pPr>
      <w:r>
        <w:rPr>
          <w:rFonts w:hint="eastAsia" w:ascii="宋体" w:hAnsi="宋体" w:cs="宋体"/>
          <w:color w:val="auto"/>
          <w:sz w:val="24"/>
          <w:szCs w:val="24"/>
        </w:rPr>
        <w:t>查询电话：</w:t>
      </w:r>
      <w:r>
        <w:rPr>
          <w:rFonts w:hint="eastAsia" w:ascii="宋体" w:hAnsi="宋体" w:cs="宋体"/>
          <w:color w:val="auto"/>
          <w:sz w:val="24"/>
          <w:szCs w:val="24"/>
          <w:lang w:val="en-US" w:eastAsia="zh-CN"/>
        </w:rPr>
        <w:t>张老师023-43462486</w:t>
      </w:r>
    </w:p>
    <w:bookmarkEnd w:id="14"/>
    <w:bookmarkEnd w:id="15"/>
    <w:p w14:paraId="32203AB6">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六、其它有关规定</w:t>
      </w:r>
      <w:bookmarkEnd w:id="16"/>
      <w:bookmarkEnd w:id="17"/>
    </w:p>
    <w:p w14:paraId="14A4A3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（一）单位负责人为同一人或者存在直接控股、管理关系的不同供应商，不得参加同一合同项下的采购活动，否则均为无效响应。 </w:t>
      </w:r>
    </w:p>
    <w:p w14:paraId="137A346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（二）为采购项目提供整体设计、规范编制或者项目管理、监理、检测等服务的供应商，不得再参加该采购项目的其他采购活动，否则均为无效响应。</w:t>
      </w:r>
    </w:p>
    <w:p w14:paraId="60987BB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（三）超过响应文件截止时间递交的响应文件为无效文件，恕不接收。</w:t>
      </w:r>
    </w:p>
    <w:p w14:paraId="1FC9FB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（四）比选费用：无论比选结果如何，供应商参与本项目比选的所有费用均应由供应商自行承担。</w:t>
      </w:r>
    </w:p>
    <w:p w14:paraId="1FCDB6D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（五）本项目不接受联合体形式比选。</w:t>
      </w:r>
    </w:p>
    <w:p w14:paraId="46E2FA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（六）本项目不接受合同分包。</w:t>
      </w:r>
    </w:p>
    <w:p w14:paraId="0D1014D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（七）提交银行盖章的开户许可证复印件并加盖公章，否则为无效文件，恕不接收。</w:t>
      </w:r>
    </w:p>
    <w:p w14:paraId="35F00AC9">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50537DF6">
      <w:pPr>
        <w:pStyle w:val="4"/>
        <w:spacing w:before="0" w:after="0" w:line="360" w:lineRule="auto"/>
        <w:ind w:firstLine="482" w:firstLineChars="200"/>
        <w:rPr>
          <w:rFonts w:ascii="宋体" w:hAnsi="宋体" w:cs="宋体"/>
          <w:color w:val="auto"/>
          <w:sz w:val="24"/>
          <w:szCs w:val="24"/>
        </w:rPr>
      </w:pPr>
      <w:bookmarkStart w:id="18" w:name="_Toc16646"/>
      <w:r>
        <w:rPr>
          <w:rFonts w:hint="eastAsia" w:ascii="宋体" w:hAnsi="宋体" w:cs="宋体"/>
          <w:color w:val="auto"/>
          <w:sz w:val="24"/>
          <w:szCs w:val="24"/>
        </w:rPr>
        <w:t>七、联系方式</w:t>
      </w:r>
      <w:bookmarkEnd w:id="18"/>
    </w:p>
    <w:p w14:paraId="334932E2">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（一）采购人：</w:t>
      </w:r>
      <w:r>
        <w:rPr>
          <w:rFonts w:hint="eastAsia" w:ascii="宋体" w:hAnsi="宋体" w:cs="宋体"/>
          <w:color w:val="auto"/>
          <w:sz w:val="24"/>
          <w:szCs w:val="24"/>
          <w:lang w:eastAsia="zh-CN"/>
        </w:rPr>
        <w:t>重庆泽足水务投资建设有限公司</w:t>
      </w:r>
    </w:p>
    <w:p w14:paraId="24F7B1E4">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程老师            李</w:t>
      </w:r>
      <w:r>
        <w:rPr>
          <w:rFonts w:hint="eastAsia" w:ascii="宋体" w:hAnsi="宋体" w:cs="宋体"/>
          <w:color w:val="auto"/>
          <w:sz w:val="24"/>
          <w:szCs w:val="24"/>
          <w:lang w:eastAsia="zh-CN"/>
        </w:rPr>
        <w:t>老师</w:t>
      </w:r>
    </w:p>
    <w:p w14:paraId="3B10841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电  话：</w:t>
      </w:r>
      <w:r>
        <w:rPr>
          <w:rFonts w:hint="eastAsia" w:ascii="宋体" w:hAnsi="宋体" w:cs="宋体"/>
          <w:color w:val="auto"/>
          <w:sz w:val="24"/>
          <w:szCs w:val="24"/>
          <w:lang w:val="en-US" w:eastAsia="zh-CN"/>
        </w:rPr>
        <w:t xml:space="preserve">18996290001       </w:t>
      </w:r>
      <w:r>
        <w:rPr>
          <w:rFonts w:ascii="宋体" w:hAnsi="宋体" w:cs="宋体"/>
          <w:color w:val="auto"/>
          <w:sz w:val="24"/>
          <w:szCs w:val="24"/>
        </w:rPr>
        <w:t>15023631667</w:t>
      </w:r>
    </w:p>
    <w:p w14:paraId="4C9264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地  址：重庆市大足区</w:t>
      </w:r>
    </w:p>
    <w:p w14:paraId="477B157C">
      <w:pPr>
        <w:snapToGrid w:val="0"/>
        <w:spacing w:line="360" w:lineRule="auto"/>
        <w:rPr>
          <w:rFonts w:hint="eastAsia" w:ascii="宋体" w:hAnsi="宋体" w:cs="宋体"/>
          <w:color w:val="auto"/>
          <w:sz w:val="24"/>
          <w:szCs w:val="24"/>
        </w:rPr>
      </w:pPr>
    </w:p>
    <w:p w14:paraId="4F28E7CE">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（二）采购代理机构：</w:t>
      </w:r>
      <w:r>
        <w:rPr>
          <w:rFonts w:hint="eastAsia" w:ascii="宋体" w:hAnsi="宋体" w:cs="宋体"/>
          <w:color w:val="auto"/>
          <w:sz w:val="24"/>
          <w:szCs w:val="24"/>
          <w:lang w:eastAsia="zh-CN"/>
        </w:rPr>
        <w:t>明科建设咨询有限公司</w:t>
      </w:r>
    </w:p>
    <w:p w14:paraId="3C7796B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张老师</w:t>
      </w:r>
    </w:p>
    <w:p w14:paraId="12D03B6A">
      <w:pPr>
        <w:snapToGrid w:val="0"/>
        <w:spacing w:line="360" w:lineRule="auto"/>
        <w:ind w:firstLine="480" w:firstLineChars="200"/>
        <w:rPr>
          <w:rFonts w:hint="eastAsia" w:ascii="宋体" w:hAnsi="宋体" w:cs="宋体"/>
          <w:color w:val="auto"/>
          <w:sz w:val="24"/>
          <w:szCs w:val="24"/>
          <w:lang w:val="en-US" w:eastAsia="zh-CN"/>
        </w:rPr>
      </w:pPr>
      <w:r>
        <w:rPr>
          <w:rFonts w:hint="eastAsia" w:ascii="宋体" w:hAnsi="宋体" w:cs="宋体"/>
          <w:color w:val="auto"/>
          <w:sz w:val="24"/>
          <w:szCs w:val="24"/>
        </w:rPr>
        <w:t>电  话：</w:t>
      </w:r>
      <w:bookmarkStart w:id="19" w:name="_Toc216163282"/>
      <w:bookmarkStart w:id="20" w:name="_Toc178828108"/>
      <w:bookmarkStart w:id="21" w:name="_Toc180051219"/>
      <w:r>
        <w:rPr>
          <w:rFonts w:hint="eastAsia" w:ascii="宋体" w:hAnsi="宋体" w:cs="宋体"/>
          <w:color w:val="auto"/>
          <w:sz w:val="24"/>
          <w:szCs w:val="24"/>
          <w:lang w:val="en-US" w:eastAsia="zh-CN"/>
        </w:rPr>
        <w:t>023-43462486</w:t>
      </w:r>
    </w:p>
    <w:p w14:paraId="66CB3622">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color w:val="auto"/>
          <w:sz w:val="24"/>
          <w:szCs w:val="24"/>
        </w:rPr>
        <w:t>地  址：</w:t>
      </w:r>
      <w:r>
        <w:rPr>
          <w:rFonts w:hint="eastAsia" w:ascii="宋体" w:hAnsi="宋体" w:cs="宋体"/>
          <w:bCs/>
          <w:color w:val="auto"/>
          <w:sz w:val="24"/>
          <w:szCs w:val="24"/>
          <w:lang w:eastAsia="zh-CN"/>
        </w:rPr>
        <w:t>重庆市大足区城西佳苑（西门）</w:t>
      </w:r>
    </w:p>
    <w:bookmarkEnd w:id="19"/>
    <w:bookmarkEnd w:id="20"/>
    <w:bookmarkEnd w:id="21"/>
    <w:p w14:paraId="21B871DF">
      <w:pPr>
        <w:tabs>
          <w:tab w:val="left" w:pos="6300"/>
        </w:tabs>
        <w:snapToGrid w:val="0"/>
        <w:spacing w:line="500" w:lineRule="exact"/>
        <w:jc w:val="center"/>
        <w:rPr>
          <w:rFonts w:ascii="宋体" w:hAnsi="宋体" w:cs="宋体"/>
          <w:color w:val="auto"/>
          <w:sz w:val="24"/>
          <w:szCs w:val="24"/>
        </w:rPr>
      </w:pPr>
    </w:p>
    <w:sectPr>
      <w:headerReference r:id="rId3" w:type="default"/>
      <w:footerReference r:id="rId4" w:type="default"/>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panose1 w:val="02010609030101010101"/>
    <w:charset w:val="86"/>
    <w:family w:val="auto"/>
    <w:pitch w:val="default"/>
    <w:sig w:usb0="00000001" w:usb1="080E0000" w:usb2="00000000" w:usb3="00000000" w:csb0="00040000"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Arial Narrow">
    <w:altName w:val="Arial"/>
    <w:panose1 w:val="020B0506020202030204"/>
    <w:charset w:val="00"/>
    <w:family w:val="swiss"/>
    <w:pitch w:val="default"/>
    <w:sig w:usb0="00000000"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7CC5B">
    <w:pPr>
      <w:pStyle w:val="35"/>
      <w:jc w:val="center"/>
      <w:rPr>
        <w:rFonts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BD5E9">
    <w:pPr>
      <w:pStyle w:val="3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3">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5">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6">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7">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9">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0">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1">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2">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9"/>
  </w:num>
  <w:num w:numId="2">
    <w:abstractNumId w:val="10"/>
  </w:num>
  <w:num w:numId="3">
    <w:abstractNumId w:val="13"/>
  </w:num>
  <w:num w:numId="4">
    <w:abstractNumId w:val="3"/>
  </w:num>
  <w:num w:numId="5">
    <w:abstractNumId w:val="6"/>
  </w:num>
  <w:num w:numId="6">
    <w:abstractNumId w:val="4"/>
  </w:num>
  <w:num w:numId="7">
    <w:abstractNumId w:val="0"/>
  </w:num>
  <w:num w:numId="8">
    <w:abstractNumId w:val="8"/>
  </w:num>
  <w:num w:numId="9">
    <w:abstractNumId w:val="11"/>
  </w:num>
  <w:num w:numId="10">
    <w:abstractNumId w:val="12"/>
  </w:num>
  <w:num w:numId="11">
    <w:abstractNumId w:val="7"/>
  </w:num>
  <w:num w:numId="12">
    <w:abstractNumId w:val="1"/>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CD4"/>
    <w:rsid w:val="00106FF6"/>
    <w:rsid w:val="00107149"/>
    <w:rsid w:val="00107445"/>
    <w:rsid w:val="00107E74"/>
    <w:rsid w:val="00107FD0"/>
    <w:rsid w:val="001100DA"/>
    <w:rsid w:val="001113BE"/>
    <w:rsid w:val="00111939"/>
    <w:rsid w:val="00111D5C"/>
    <w:rsid w:val="00112547"/>
    <w:rsid w:val="00113728"/>
    <w:rsid w:val="001167CA"/>
    <w:rsid w:val="00116856"/>
    <w:rsid w:val="0011789B"/>
    <w:rsid w:val="00117C75"/>
    <w:rsid w:val="00117CDC"/>
    <w:rsid w:val="00117D59"/>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230"/>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100C"/>
    <w:rsid w:val="001D1A56"/>
    <w:rsid w:val="001D212D"/>
    <w:rsid w:val="001D2321"/>
    <w:rsid w:val="001D23AE"/>
    <w:rsid w:val="001D25D6"/>
    <w:rsid w:val="001D2DCD"/>
    <w:rsid w:val="001D472D"/>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386"/>
    <w:rsid w:val="002E69BB"/>
    <w:rsid w:val="002E6A9E"/>
    <w:rsid w:val="002E7B5E"/>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2D95"/>
    <w:rsid w:val="0034425F"/>
    <w:rsid w:val="003447A1"/>
    <w:rsid w:val="00344DDB"/>
    <w:rsid w:val="00345768"/>
    <w:rsid w:val="003458F8"/>
    <w:rsid w:val="0034591F"/>
    <w:rsid w:val="0034639B"/>
    <w:rsid w:val="0034664F"/>
    <w:rsid w:val="0034697B"/>
    <w:rsid w:val="00346A3D"/>
    <w:rsid w:val="00346B60"/>
    <w:rsid w:val="003479E1"/>
    <w:rsid w:val="00347A4A"/>
    <w:rsid w:val="00347F6B"/>
    <w:rsid w:val="00350C20"/>
    <w:rsid w:val="003518A4"/>
    <w:rsid w:val="003524B8"/>
    <w:rsid w:val="00352864"/>
    <w:rsid w:val="00352A08"/>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AFF"/>
    <w:rsid w:val="00373217"/>
    <w:rsid w:val="003748AD"/>
    <w:rsid w:val="00375EE6"/>
    <w:rsid w:val="00376B94"/>
    <w:rsid w:val="003771CA"/>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EE9"/>
    <w:rsid w:val="003C00D4"/>
    <w:rsid w:val="003C15DE"/>
    <w:rsid w:val="003C27CC"/>
    <w:rsid w:val="003C2A17"/>
    <w:rsid w:val="003C313A"/>
    <w:rsid w:val="003C3A7F"/>
    <w:rsid w:val="003C3DD8"/>
    <w:rsid w:val="003C41F9"/>
    <w:rsid w:val="003C4A44"/>
    <w:rsid w:val="003C520B"/>
    <w:rsid w:val="003C565D"/>
    <w:rsid w:val="003C6703"/>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2BBF"/>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0F"/>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0BED"/>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6122"/>
    <w:rsid w:val="00606613"/>
    <w:rsid w:val="006069D4"/>
    <w:rsid w:val="00606CB6"/>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21CF"/>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4790"/>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56C5"/>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6F3"/>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84F"/>
    <w:rsid w:val="009F1F8C"/>
    <w:rsid w:val="009F2151"/>
    <w:rsid w:val="009F2518"/>
    <w:rsid w:val="009F292C"/>
    <w:rsid w:val="009F2A0B"/>
    <w:rsid w:val="009F2A5C"/>
    <w:rsid w:val="009F2A83"/>
    <w:rsid w:val="009F2B2E"/>
    <w:rsid w:val="009F3C8C"/>
    <w:rsid w:val="009F41BD"/>
    <w:rsid w:val="009F4231"/>
    <w:rsid w:val="009F6484"/>
    <w:rsid w:val="009F7485"/>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3456"/>
    <w:rsid w:val="00AA3FD1"/>
    <w:rsid w:val="00AA443F"/>
    <w:rsid w:val="00AA4DBB"/>
    <w:rsid w:val="00AA57A0"/>
    <w:rsid w:val="00AA5832"/>
    <w:rsid w:val="00AA6900"/>
    <w:rsid w:val="00AA69B8"/>
    <w:rsid w:val="00AA7759"/>
    <w:rsid w:val="00AB0FA5"/>
    <w:rsid w:val="00AB11B3"/>
    <w:rsid w:val="00AB1513"/>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22DE"/>
    <w:rsid w:val="00AD24E3"/>
    <w:rsid w:val="00AD380C"/>
    <w:rsid w:val="00AD58EC"/>
    <w:rsid w:val="00AD6CCC"/>
    <w:rsid w:val="00AD6DBA"/>
    <w:rsid w:val="00AD748B"/>
    <w:rsid w:val="00AD7B20"/>
    <w:rsid w:val="00AE07BA"/>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1BD1"/>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2CF"/>
    <w:rsid w:val="00C51574"/>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00AD"/>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1E11"/>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2FEF"/>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2B41"/>
    <w:rsid w:val="00E632FB"/>
    <w:rsid w:val="00E633D3"/>
    <w:rsid w:val="00E641A8"/>
    <w:rsid w:val="00E64FF7"/>
    <w:rsid w:val="00E658AD"/>
    <w:rsid w:val="00E65E1B"/>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360"/>
    <w:rsid w:val="00FF6605"/>
    <w:rsid w:val="00FF748B"/>
    <w:rsid w:val="00FF7DE3"/>
    <w:rsid w:val="011159CA"/>
    <w:rsid w:val="01551028"/>
    <w:rsid w:val="01840314"/>
    <w:rsid w:val="01DE0743"/>
    <w:rsid w:val="01E46C6A"/>
    <w:rsid w:val="021D6E5E"/>
    <w:rsid w:val="022C5CCC"/>
    <w:rsid w:val="025033FE"/>
    <w:rsid w:val="02A12F56"/>
    <w:rsid w:val="03107F16"/>
    <w:rsid w:val="03483348"/>
    <w:rsid w:val="036F6564"/>
    <w:rsid w:val="03B56484"/>
    <w:rsid w:val="03EC10D7"/>
    <w:rsid w:val="045945F9"/>
    <w:rsid w:val="04CD22C3"/>
    <w:rsid w:val="05370FE1"/>
    <w:rsid w:val="05EA2951"/>
    <w:rsid w:val="06954AF6"/>
    <w:rsid w:val="06B74A9B"/>
    <w:rsid w:val="071031E7"/>
    <w:rsid w:val="076A5F83"/>
    <w:rsid w:val="07DC3699"/>
    <w:rsid w:val="08105796"/>
    <w:rsid w:val="081163FE"/>
    <w:rsid w:val="08613ED7"/>
    <w:rsid w:val="08FE48C8"/>
    <w:rsid w:val="090C0806"/>
    <w:rsid w:val="098B0C04"/>
    <w:rsid w:val="09AA5678"/>
    <w:rsid w:val="09C46967"/>
    <w:rsid w:val="09D92F4C"/>
    <w:rsid w:val="0A5E4659"/>
    <w:rsid w:val="0AB36904"/>
    <w:rsid w:val="0AB87005"/>
    <w:rsid w:val="0AD663AB"/>
    <w:rsid w:val="0AEB5FE9"/>
    <w:rsid w:val="0B605985"/>
    <w:rsid w:val="0C115F15"/>
    <w:rsid w:val="0CA8710F"/>
    <w:rsid w:val="0E184940"/>
    <w:rsid w:val="0E3F4177"/>
    <w:rsid w:val="0E760B47"/>
    <w:rsid w:val="0E874A06"/>
    <w:rsid w:val="0E9D07DB"/>
    <w:rsid w:val="0ED4462A"/>
    <w:rsid w:val="0F18327B"/>
    <w:rsid w:val="0F1D1B2D"/>
    <w:rsid w:val="0F763767"/>
    <w:rsid w:val="0FEC0384"/>
    <w:rsid w:val="0FEE5277"/>
    <w:rsid w:val="110F36F7"/>
    <w:rsid w:val="111A2634"/>
    <w:rsid w:val="113C38DE"/>
    <w:rsid w:val="11F24061"/>
    <w:rsid w:val="11F75004"/>
    <w:rsid w:val="121F089B"/>
    <w:rsid w:val="124675EC"/>
    <w:rsid w:val="125C573C"/>
    <w:rsid w:val="12687E9E"/>
    <w:rsid w:val="126B0E01"/>
    <w:rsid w:val="1272218F"/>
    <w:rsid w:val="12C50511"/>
    <w:rsid w:val="13203999"/>
    <w:rsid w:val="13323344"/>
    <w:rsid w:val="135E55DA"/>
    <w:rsid w:val="13D131AB"/>
    <w:rsid w:val="13DB5C3E"/>
    <w:rsid w:val="13E9022F"/>
    <w:rsid w:val="145E254C"/>
    <w:rsid w:val="15082937"/>
    <w:rsid w:val="15D711CB"/>
    <w:rsid w:val="160A7014"/>
    <w:rsid w:val="16287735"/>
    <w:rsid w:val="166E0EC0"/>
    <w:rsid w:val="169C5A2D"/>
    <w:rsid w:val="16BF16AA"/>
    <w:rsid w:val="16C04307"/>
    <w:rsid w:val="16C64858"/>
    <w:rsid w:val="176B6D30"/>
    <w:rsid w:val="176D0458"/>
    <w:rsid w:val="180C51F5"/>
    <w:rsid w:val="1875217F"/>
    <w:rsid w:val="18BE5C62"/>
    <w:rsid w:val="194355A9"/>
    <w:rsid w:val="194D74B2"/>
    <w:rsid w:val="194F1402"/>
    <w:rsid w:val="19625EB7"/>
    <w:rsid w:val="198A54F3"/>
    <w:rsid w:val="19A327C1"/>
    <w:rsid w:val="19C674C8"/>
    <w:rsid w:val="19D73FF0"/>
    <w:rsid w:val="1A992223"/>
    <w:rsid w:val="1AA17AB6"/>
    <w:rsid w:val="1AC04517"/>
    <w:rsid w:val="1AD3390C"/>
    <w:rsid w:val="1B1104BE"/>
    <w:rsid w:val="1B6D2228"/>
    <w:rsid w:val="1C107927"/>
    <w:rsid w:val="1C821FF4"/>
    <w:rsid w:val="1CF459BA"/>
    <w:rsid w:val="1D1A36B1"/>
    <w:rsid w:val="1D5A65E9"/>
    <w:rsid w:val="1DCB1A4C"/>
    <w:rsid w:val="1DCE717D"/>
    <w:rsid w:val="1DDC7057"/>
    <w:rsid w:val="1DF20628"/>
    <w:rsid w:val="1DF311A3"/>
    <w:rsid w:val="1DF67FA2"/>
    <w:rsid w:val="1E0C67F9"/>
    <w:rsid w:val="1E81685D"/>
    <w:rsid w:val="1ED1030F"/>
    <w:rsid w:val="1EDE0883"/>
    <w:rsid w:val="1FCB25E9"/>
    <w:rsid w:val="204376E1"/>
    <w:rsid w:val="206F7D0E"/>
    <w:rsid w:val="208A5719"/>
    <w:rsid w:val="208F1FFE"/>
    <w:rsid w:val="214772A1"/>
    <w:rsid w:val="21521D41"/>
    <w:rsid w:val="216A6748"/>
    <w:rsid w:val="22025F2D"/>
    <w:rsid w:val="224B6D79"/>
    <w:rsid w:val="22935557"/>
    <w:rsid w:val="22A154E2"/>
    <w:rsid w:val="22E618BB"/>
    <w:rsid w:val="22F00A83"/>
    <w:rsid w:val="2318643B"/>
    <w:rsid w:val="232B63B6"/>
    <w:rsid w:val="23757D31"/>
    <w:rsid w:val="242332EA"/>
    <w:rsid w:val="24CA1512"/>
    <w:rsid w:val="2517046D"/>
    <w:rsid w:val="255026B4"/>
    <w:rsid w:val="258241C9"/>
    <w:rsid w:val="25E06144"/>
    <w:rsid w:val="26091741"/>
    <w:rsid w:val="26157D01"/>
    <w:rsid w:val="26BB5A5B"/>
    <w:rsid w:val="26BE6858"/>
    <w:rsid w:val="272451DA"/>
    <w:rsid w:val="272C7BD0"/>
    <w:rsid w:val="27441EF5"/>
    <w:rsid w:val="27CA4F73"/>
    <w:rsid w:val="27DE215F"/>
    <w:rsid w:val="282377EF"/>
    <w:rsid w:val="287E747C"/>
    <w:rsid w:val="28DC1290"/>
    <w:rsid w:val="28F134A2"/>
    <w:rsid w:val="28F951AA"/>
    <w:rsid w:val="292D0766"/>
    <w:rsid w:val="29821773"/>
    <w:rsid w:val="2A704DAF"/>
    <w:rsid w:val="2A7725E1"/>
    <w:rsid w:val="2AAD36A8"/>
    <w:rsid w:val="2AE03261"/>
    <w:rsid w:val="2B900426"/>
    <w:rsid w:val="2C3F26E5"/>
    <w:rsid w:val="2C6017EA"/>
    <w:rsid w:val="2C661776"/>
    <w:rsid w:val="2CAB281B"/>
    <w:rsid w:val="2D0042CE"/>
    <w:rsid w:val="2D0B7011"/>
    <w:rsid w:val="2D24388A"/>
    <w:rsid w:val="2D24523D"/>
    <w:rsid w:val="2D6A40CE"/>
    <w:rsid w:val="2DA23ACE"/>
    <w:rsid w:val="2DD569D4"/>
    <w:rsid w:val="2E22281F"/>
    <w:rsid w:val="2F713AA3"/>
    <w:rsid w:val="2F9A3FB4"/>
    <w:rsid w:val="301A4E70"/>
    <w:rsid w:val="30884EB9"/>
    <w:rsid w:val="30A0772C"/>
    <w:rsid w:val="30AF7060"/>
    <w:rsid w:val="31024F86"/>
    <w:rsid w:val="310942D4"/>
    <w:rsid w:val="316658B8"/>
    <w:rsid w:val="31865C9B"/>
    <w:rsid w:val="31B23EFF"/>
    <w:rsid w:val="31F75E53"/>
    <w:rsid w:val="3212499D"/>
    <w:rsid w:val="32286DC6"/>
    <w:rsid w:val="32CE7A7E"/>
    <w:rsid w:val="3301513E"/>
    <w:rsid w:val="33151743"/>
    <w:rsid w:val="3344502A"/>
    <w:rsid w:val="338A14B1"/>
    <w:rsid w:val="338C0A2A"/>
    <w:rsid w:val="33DD6CDF"/>
    <w:rsid w:val="33EF326C"/>
    <w:rsid w:val="33FE255E"/>
    <w:rsid w:val="347463DD"/>
    <w:rsid w:val="34C74165"/>
    <w:rsid w:val="34F767F8"/>
    <w:rsid w:val="35CB4C4D"/>
    <w:rsid w:val="35EE17C2"/>
    <w:rsid w:val="361975F2"/>
    <w:rsid w:val="3650579C"/>
    <w:rsid w:val="36612E47"/>
    <w:rsid w:val="36624145"/>
    <w:rsid w:val="3671717D"/>
    <w:rsid w:val="367964E5"/>
    <w:rsid w:val="369A61FE"/>
    <w:rsid w:val="36AB3FD2"/>
    <w:rsid w:val="375E0151"/>
    <w:rsid w:val="37834C70"/>
    <w:rsid w:val="37AF6778"/>
    <w:rsid w:val="37CD698C"/>
    <w:rsid w:val="37F4568F"/>
    <w:rsid w:val="38124BC9"/>
    <w:rsid w:val="388471EE"/>
    <w:rsid w:val="38A30185"/>
    <w:rsid w:val="38D1359B"/>
    <w:rsid w:val="39CE7FA5"/>
    <w:rsid w:val="3A8B1791"/>
    <w:rsid w:val="3AD33E01"/>
    <w:rsid w:val="3B00217F"/>
    <w:rsid w:val="3B084B8F"/>
    <w:rsid w:val="3B0D6A85"/>
    <w:rsid w:val="3B2F036E"/>
    <w:rsid w:val="3B547DD5"/>
    <w:rsid w:val="3BCF631D"/>
    <w:rsid w:val="3C2C7706"/>
    <w:rsid w:val="3C2D2B00"/>
    <w:rsid w:val="3C481A30"/>
    <w:rsid w:val="3C677367"/>
    <w:rsid w:val="3CC656EB"/>
    <w:rsid w:val="3CCA21E8"/>
    <w:rsid w:val="3CD809AC"/>
    <w:rsid w:val="3CED0588"/>
    <w:rsid w:val="3D1F334F"/>
    <w:rsid w:val="3D546277"/>
    <w:rsid w:val="3D6C3AFB"/>
    <w:rsid w:val="3E010B24"/>
    <w:rsid w:val="3E2057E8"/>
    <w:rsid w:val="3E3D429E"/>
    <w:rsid w:val="3EFB5137"/>
    <w:rsid w:val="3F11495A"/>
    <w:rsid w:val="3FC159A6"/>
    <w:rsid w:val="400242A3"/>
    <w:rsid w:val="402C6CE6"/>
    <w:rsid w:val="41662610"/>
    <w:rsid w:val="416A6C53"/>
    <w:rsid w:val="42844089"/>
    <w:rsid w:val="42885C69"/>
    <w:rsid w:val="428A3BA8"/>
    <w:rsid w:val="42A74EAA"/>
    <w:rsid w:val="42C13B2E"/>
    <w:rsid w:val="42FE6FA4"/>
    <w:rsid w:val="43545656"/>
    <w:rsid w:val="43E450C9"/>
    <w:rsid w:val="43F31FE2"/>
    <w:rsid w:val="444E0581"/>
    <w:rsid w:val="445D7CFA"/>
    <w:rsid w:val="44640439"/>
    <w:rsid w:val="44812C35"/>
    <w:rsid w:val="44C10289"/>
    <w:rsid w:val="451C75AD"/>
    <w:rsid w:val="45572B6C"/>
    <w:rsid w:val="455B320C"/>
    <w:rsid w:val="45BF3489"/>
    <w:rsid w:val="460A3EB2"/>
    <w:rsid w:val="4691012F"/>
    <w:rsid w:val="470A2591"/>
    <w:rsid w:val="475C4800"/>
    <w:rsid w:val="476A1887"/>
    <w:rsid w:val="478618F4"/>
    <w:rsid w:val="47940560"/>
    <w:rsid w:val="47B14D93"/>
    <w:rsid w:val="482673A1"/>
    <w:rsid w:val="48554964"/>
    <w:rsid w:val="48A15F32"/>
    <w:rsid w:val="48C9665E"/>
    <w:rsid w:val="48E301A9"/>
    <w:rsid w:val="491E4498"/>
    <w:rsid w:val="496F0BFB"/>
    <w:rsid w:val="49742C4D"/>
    <w:rsid w:val="49BD71E5"/>
    <w:rsid w:val="49C3637D"/>
    <w:rsid w:val="49CA6C65"/>
    <w:rsid w:val="4A455FF0"/>
    <w:rsid w:val="4A4A2ACF"/>
    <w:rsid w:val="4A77022A"/>
    <w:rsid w:val="4AB8064A"/>
    <w:rsid w:val="4B3118C3"/>
    <w:rsid w:val="4B49460C"/>
    <w:rsid w:val="4B577B99"/>
    <w:rsid w:val="4BFD2018"/>
    <w:rsid w:val="4C0F52AD"/>
    <w:rsid w:val="4C286E40"/>
    <w:rsid w:val="4C3B0E2F"/>
    <w:rsid w:val="4CAB0D7C"/>
    <w:rsid w:val="4D0038F1"/>
    <w:rsid w:val="4D08189F"/>
    <w:rsid w:val="4D154F6B"/>
    <w:rsid w:val="4D2E2B7B"/>
    <w:rsid w:val="4D771433"/>
    <w:rsid w:val="4D901C1C"/>
    <w:rsid w:val="4DB632A5"/>
    <w:rsid w:val="4DD609E2"/>
    <w:rsid w:val="4E7629BB"/>
    <w:rsid w:val="4E7E371F"/>
    <w:rsid w:val="4E880211"/>
    <w:rsid w:val="4EB3158A"/>
    <w:rsid w:val="4F310701"/>
    <w:rsid w:val="4F337512"/>
    <w:rsid w:val="4F667E20"/>
    <w:rsid w:val="4F6A3739"/>
    <w:rsid w:val="4F805BDD"/>
    <w:rsid w:val="4FAE1D52"/>
    <w:rsid w:val="4FB85A78"/>
    <w:rsid w:val="4FF35FAD"/>
    <w:rsid w:val="5004014F"/>
    <w:rsid w:val="500F6132"/>
    <w:rsid w:val="50772144"/>
    <w:rsid w:val="509800C2"/>
    <w:rsid w:val="50F87728"/>
    <w:rsid w:val="515A150F"/>
    <w:rsid w:val="5245699D"/>
    <w:rsid w:val="52A047DF"/>
    <w:rsid w:val="52F201A7"/>
    <w:rsid w:val="531F46B0"/>
    <w:rsid w:val="532449AC"/>
    <w:rsid w:val="533C54BD"/>
    <w:rsid w:val="53A02336"/>
    <w:rsid w:val="53D770A4"/>
    <w:rsid w:val="53FC6338"/>
    <w:rsid w:val="54267A0C"/>
    <w:rsid w:val="543D22A5"/>
    <w:rsid w:val="554F316F"/>
    <w:rsid w:val="555F1AB3"/>
    <w:rsid w:val="55791323"/>
    <w:rsid w:val="55796678"/>
    <w:rsid w:val="55A05D34"/>
    <w:rsid w:val="55C70A1B"/>
    <w:rsid w:val="55D16094"/>
    <w:rsid w:val="56040030"/>
    <w:rsid w:val="5605356C"/>
    <w:rsid w:val="56581A09"/>
    <w:rsid w:val="5671191A"/>
    <w:rsid w:val="56B940ED"/>
    <w:rsid w:val="56E90786"/>
    <w:rsid w:val="56FC7846"/>
    <w:rsid w:val="58070251"/>
    <w:rsid w:val="58A865F8"/>
    <w:rsid w:val="590F1AB3"/>
    <w:rsid w:val="59253A23"/>
    <w:rsid w:val="59483BB3"/>
    <w:rsid w:val="59550094"/>
    <w:rsid w:val="59834466"/>
    <w:rsid w:val="59906AA6"/>
    <w:rsid w:val="59961FE4"/>
    <w:rsid w:val="59E95FFF"/>
    <w:rsid w:val="5A2570EE"/>
    <w:rsid w:val="5A84202D"/>
    <w:rsid w:val="5B112E71"/>
    <w:rsid w:val="5B211EEF"/>
    <w:rsid w:val="5B331186"/>
    <w:rsid w:val="5B6E3BD9"/>
    <w:rsid w:val="5BAD6AF9"/>
    <w:rsid w:val="5BBE59A3"/>
    <w:rsid w:val="5C002B30"/>
    <w:rsid w:val="5C0C6BB6"/>
    <w:rsid w:val="5CBF0FAA"/>
    <w:rsid w:val="5D1064AF"/>
    <w:rsid w:val="5D6020D5"/>
    <w:rsid w:val="5DA05B70"/>
    <w:rsid w:val="5DE41A43"/>
    <w:rsid w:val="5E244A1E"/>
    <w:rsid w:val="5E604C28"/>
    <w:rsid w:val="5E8A621B"/>
    <w:rsid w:val="5EC96260"/>
    <w:rsid w:val="5F1506D4"/>
    <w:rsid w:val="5F2913F5"/>
    <w:rsid w:val="605B7A6E"/>
    <w:rsid w:val="609A7B49"/>
    <w:rsid w:val="609F55E6"/>
    <w:rsid w:val="60B14DC5"/>
    <w:rsid w:val="60C90799"/>
    <w:rsid w:val="610A2B60"/>
    <w:rsid w:val="617553F3"/>
    <w:rsid w:val="618B5A4F"/>
    <w:rsid w:val="61AB60F1"/>
    <w:rsid w:val="61CD5C05"/>
    <w:rsid w:val="6229058D"/>
    <w:rsid w:val="63B2213A"/>
    <w:rsid w:val="63D6568B"/>
    <w:rsid w:val="64195594"/>
    <w:rsid w:val="64235C8D"/>
    <w:rsid w:val="64283A29"/>
    <w:rsid w:val="64440F4B"/>
    <w:rsid w:val="645A5BAC"/>
    <w:rsid w:val="64D52842"/>
    <w:rsid w:val="64F53C7F"/>
    <w:rsid w:val="65384140"/>
    <w:rsid w:val="65536F9A"/>
    <w:rsid w:val="655F347A"/>
    <w:rsid w:val="65B8702E"/>
    <w:rsid w:val="65BA088F"/>
    <w:rsid w:val="66180FD5"/>
    <w:rsid w:val="66444FD8"/>
    <w:rsid w:val="66851442"/>
    <w:rsid w:val="66CF63DE"/>
    <w:rsid w:val="67184B46"/>
    <w:rsid w:val="67F4751B"/>
    <w:rsid w:val="68485C76"/>
    <w:rsid w:val="68B009A8"/>
    <w:rsid w:val="68B73552"/>
    <w:rsid w:val="69127D3A"/>
    <w:rsid w:val="69134E7F"/>
    <w:rsid w:val="6916094F"/>
    <w:rsid w:val="694B1853"/>
    <w:rsid w:val="69A3798A"/>
    <w:rsid w:val="6A93762C"/>
    <w:rsid w:val="6A996F13"/>
    <w:rsid w:val="6A9B2760"/>
    <w:rsid w:val="6AAB61AF"/>
    <w:rsid w:val="6AF76306"/>
    <w:rsid w:val="6B277C24"/>
    <w:rsid w:val="6B800C02"/>
    <w:rsid w:val="6BD10B8D"/>
    <w:rsid w:val="6BDD6BDD"/>
    <w:rsid w:val="6C011206"/>
    <w:rsid w:val="6C0B496A"/>
    <w:rsid w:val="6C4130E2"/>
    <w:rsid w:val="6C4C77F0"/>
    <w:rsid w:val="6C6C4759"/>
    <w:rsid w:val="6C81461E"/>
    <w:rsid w:val="6C910893"/>
    <w:rsid w:val="6C9675FC"/>
    <w:rsid w:val="6D063AEB"/>
    <w:rsid w:val="6D6313BE"/>
    <w:rsid w:val="6D634EEB"/>
    <w:rsid w:val="6D747CDF"/>
    <w:rsid w:val="6DD22C41"/>
    <w:rsid w:val="6E3E0A57"/>
    <w:rsid w:val="6E4035DD"/>
    <w:rsid w:val="6EA15C81"/>
    <w:rsid w:val="6EC5514E"/>
    <w:rsid w:val="6EFF5CCE"/>
    <w:rsid w:val="6FAE60FA"/>
    <w:rsid w:val="6FE34D3F"/>
    <w:rsid w:val="701004CD"/>
    <w:rsid w:val="70626515"/>
    <w:rsid w:val="70A310DE"/>
    <w:rsid w:val="70A31C2C"/>
    <w:rsid w:val="70DD60FC"/>
    <w:rsid w:val="70FF71F1"/>
    <w:rsid w:val="710071C6"/>
    <w:rsid w:val="714E33B7"/>
    <w:rsid w:val="718C1EB0"/>
    <w:rsid w:val="71B11502"/>
    <w:rsid w:val="71D670BE"/>
    <w:rsid w:val="71F1586C"/>
    <w:rsid w:val="7255060F"/>
    <w:rsid w:val="72781DA8"/>
    <w:rsid w:val="729F162E"/>
    <w:rsid w:val="72C5608D"/>
    <w:rsid w:val="72D66D46"/>
    <w:rsid w:val="73667E40"/>
    <w:rsid w:val="73776322"/>
    <w:rsid w:val="7416389E"/>
    <w:rsid w:val="74213B91"/>
    <w:rsid w:val="743F2A8B"/>
    <w:rsid w:val="748F67B4"/>
    <w:rsid w:val="74B02066"/>
    <w:rsid w:val="74DB6895"/>
    <w:rsid w:val="74E41BEE"/>
    <w:rsid w:val="753F56C3"/>
    <w:rsid w:val="754527EF"/>
    <w:rsid w:val="7549288D"/>
    <w:rsid w:val="758C3C0F"/>
    <w:rsid w:val="75B415C0"/>
    <w:rsid w:val="761E4C8C"/>
    <w:rsid w:val="76987618"/>
    <w:rsid w:val="769F1E47"/>
    <w:rsid w:val="76FA1F58"/>
    <w:rsid w:val="77460B34"/>
    <w:rsid w:val="776D4350"/>
    <w:rsid w:val="777423E0"/>
    <w:rsid w:val="77BA4E88"/>
    <w:rsid w:val="787C2959"/>
    <w:rsid w:val="78941235"/>
    <w:rsid w:val="791B22D3"/>
    <w:rsid w:val="79A457CB"/>
    <w:rsid w:val="7A5E0E2C"/>
    <w:rsid w:val="7B353C3B"/>
    <w:rsid w:val="7B3A2568"/>
    <w:rsid w:val="7BF94230"/>
    <w:rsid w:val="7C502B2F"/>
    <w:rsid w:val="7C5D4075"/>
    <w:rsid w:val="7CE60C14"/>
    <w:rsid w:val="7D272678"/>
    <w:rsid w:val="7D392F17"/>
    <w:rsid w:val="7D5B1D38"/>
    <w:rsid w:val="7D983576"/>
    <w:rsid w:val="7DC0409C"/>
    <w:rsid w:val="7DD728D2"/>
    <w:rsid w:val="7DEE255C"/>
    <w:rsid w:val="7E0647A2"/>
    <w:rsid w:val="7E4F14A3"/>
    <w:rsid w:val="7F2F30B3"/>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font31"/>
    <w:basedOn w:val="60"/>
    <w:qFormat/>
    <w:uiPriority w:val="0"/>
    <w:rPr>
      <w:rFonts w:hint="eastAsia" w:ascii="宋体" w:hAnsi="宋体" w:eastAsia="宋体" w:cs="宋体"/>
      <w:color w:val="000000"/>
      <w:sz w:val="21"/>
      <w:szCs w:val="21"/>
      <w:u w:val="none"/>
    </w:rPr>
  </w:style>
  <w:style w:type="character" w:customStyle="1" w:styleId="281">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1978</Words>
  <Characters>2110</Characters>
  <Lines>115</Lines>
  <Paragraphs>32</Paragraphs>
  <TotalTime>0</TotalTime>
  <ScaleCrop>false</ScaleCrop>
  <LinksUpToDate>false</LinksUpToDate>
  <CharactersWithSpaces>2147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Lemon</cp:lastModifiedBy>
  <cp:lastPrinted>2024-08-01T09:37:00Z</cp:lastPrinted>
  <dcterms:modified xsi:type="dcterms:W3CDTF">2026-02-03T07:48:36Z</dcterms:modified>
  <dc:title>竞争性谈判文件</dc:title>
  <cp:revision>657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3F91A9E14B0E438CB4CF84D852C02B8B_13</vt:lpwstr>
  </property>
  <property fmtid="{D5CDD505-2E9C-101B-9397-08002B2CF9AE}" pid="4" name="KSOTemplateDocerSaveRecord">
    <vt:lpwstr>eyJoZGlkIjoiNGIyMWMzMDMyYWNkMGE5NGVjOTI0MjUzMTc1YjhkODciLCJ1c2VySWQiOiI0MTUwMTUxNDYifQ==</vt:lpwstr>
  </property>
</Properties>
</file>