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pacing w:before="0" w:beforeAutospacing="0" w:after="0" w:afterAutospacing="0" w:line="700" w:lineRule="exact"/>
        <w:ind w:left="1600" w:right="0" w:hanging="1600" w:hangingChars="500"/>
        <w:jc w:val="left"/>
        <w:rPr>
          <w:rFonts w:hint="eastAsia" w:ascii="宋体" w:hAnsi="宋体" w:eastAsia="宋体" w:cs="宋体"/>
          <w:sz w:val="32"/>
          <w:szCs w:val="40"/>
          <w:lang w:val="en-US"/>
        </w:rPr>
      </w:pPr>
      <w:r>
        <w:rPr>
          <w:rFonts w:hint="eastAsia" w:ascii="宋体" w:hAnsi="宋体" w:eastAsia="宋体" w:cs="宋体"/>
          <w:kern w:val="2"/>
          <w:sz w:val="32"/>
          <w:szCs w:val="40"/>
          <w:lang w:val="en-US" w:eastAsia="zh-CN" w:bidi="ar"/>
        </w:rPr>
        <w:t>项目名称:</w:t>
      </w:r>
      <w:bookmarkStart w:id="0" w:name="_Hlk56885929"/>
      <w:r>
        <w:rPr>
          <w:rFonts w:hint="eastAsia" w:ascii="宋体" w:hAnsi="宋体" w:eastAsia="宋体" w:cs="宋体"/>
          <w:kern w:val="2"/>
          <w:sz w:val="32"/>
          <w:szCs w:val="40"/>
          <w:lang w:val="en-US" w:eastAsia="zh-CN" w:bidi="ar"/>
        </w:rPr>
        <w:t>大足区第十二届荷棠文化旅游节策划执行项目</w:t>
      </w:r>
      <w:bookmarkEnd w:id="0"/>
      <w:r>
        <w:rPr>
          <w:rFonts w:hint="eastAsia" w:ascii="宋体" w:hAnsi="宋体" w:eastAsia="宋体" w:cs="宋体"/>
          <w:kern w:val="2"/>
          <w:sz w:val="32"/>
          <w:szCs w:val="40"/>
          <w:lang w:val="en-US" w:eastAsia="zh-CN" w:bidi="ar"/>
        </w:rPr>
        <w:t>（含实施及宣传）</w:t>
      </w:r>
    </w:p>
    <w:p>
      <w:pPr>
        <w:pStyle w:val="127"/>
        <w:widowControl/>
        <w:jc w:val="left"/>
        <w:rPr>
          <w:rFonts w:hint="eastAsia" w:ascii="宋体" w:hAnsi="宋体" w:eastAsia="宋体" w:cs="宋体"/>
          <w:b w:val="0"/>
          <w:szCs w:val="40"/>
          <w:lang w:val="en-US"/>
        </w:rPr>
      </w:pPr>
      <w:r>
        <w:rPr>
          <w:rFonts w:hint="eastAsia" w:ascii="宋体" w:hAnsi="宋体" w:eastAsia="宋体" w:cs="宋体"/>
          <w:b w:val="0"/>
          <w:szCs w:val="40"/>
          <w:lang w:eastAsia="zh-CN"/>
        </w:rPr>
        <w:t>招标编号</w:t>
      </w:r>
      <w:r>
        <w:rPr>
          <w:rFonts w:hint="eastAsia" w:ascii="宋体" w:hAnsi="宋体" w:eastAsia="宋体" w:cs="宋体"/>
          <w:b w:val="0"/>
          <w:szCs w:val="40"/>
          <w:lang w:val="en-US"/>
        </w:rPr>
        <w:t>: XFJTZB202</w:t>
      </w:r>
      <w:r>
        <w:rPr>
          <w:rFonts w:hint="eastAsia" w:ascii="宋体" w:cs="宋体"/>
          <w:b w:val="0"/>
          <w:szCs w:val="40"/>
          <w:lang w:val="en-US" w:eastAsia="zh-CN"/>
        </w:rPr>
        <w:t>2</w:t>
      </w:r>
      <w:r>
        <w:rPr>
          <w:rFonts w:hint="eastAsia" w:ascii="宋体" w:hAnsi="宋体" w:eastAsia="宋体" w:cs="宋体"/>
          <w:b w:val="0"/>
          <w:szCs w:val="40"/>
          <w:lang w:val="en-US"/>
        </w:rPr>
        <w:t>-</w:t>
      </w:r>
      <w:r>
        <w:rPr>
          <w:rFonts w:hint="eastAsia" w:ascii="宋体" w:cs="宋体"/>
          <w:b w:val="0"/>
          <w:szCs w:val="40"/>
          <w:lang w:val="en-US" w:eastAsia="zh-CN"/>
        </w:rPr>
        <w:t>06</w:t>
      </w:r>
      <w:r>
        <w:rPr>
          <w:rFonts w:hint="eastAsia" w:ascii="宋体" w:hAnsi="宋体" w:eastAsia="宋体" w:cs="宋体"/>
          <w:b w:val="0"/>
          <w:szCs w:val="40"/>
          <w:lang w:val="en-US"/>
        </w:rPr>
        <w:t xml:space="preserve">  </w:t>
      </w:r>
    </w:p>
    <w:p>
      <w:pPr>
        <w:pStyle w:val="139"/>
        <w:widowControl/>
        <w:rPr>
          <w:rFonts w:hint="eastAsia" w:ascii="宋体" w:hAnsi="宋体" w:eastAsia="宋体" w:cs="宋体"/>
          <w:b w:val="0"/>
          <w:lang w:val="en-US"/>
        </w:rPr>
      </w:pPr>
      <w:r>
        <w:rPr>
          <w:rFonts w:hint="eastAsia" w:ascii="宋体" w:hAnsi="宋体" w:eastAsia="宋体" w:cs="宋体"/>
          <w:b w:val="0"/>
          <w:lang w:val="en-US"/>
        </w:rPr>
        <w:t xml:space="preserve"> </w:t>
      </w:r>
    </w:p>
    <w:p>
      <w:pPr>
        <w:pStyle w:val="139"/>
        <w:widowControl/>
        <w:spacing w:line="900" w:lineRule="exact"/>
        <w:rPr>
          <w:rFonts w:hint="eastAsia" w:ascii="宋体" w:hAnsi="宋体" w:eastAsia="宋体" w:cs="宋体"/>
          <w:b w:val="0"/>
          <w:lang w:val="en-US"/>
        </w:rPr>
      </w:pPr>
    </w:p>
    <w:p>
      <w:pPr>
        <w:pStyle w:val="139"/>
        <w:widowControl/>
        <w:spacing w:line="900" w:lineRule="exact"/>
        <w:jc w:val="both"/>
        <w:rPr>
          <w:rFonts w:hint="eastAsia" w:ascii="宋体" w:hAnsi="宋体" w:eastAsia="宋体" w:cs="宋体"/>
          <w:b w:val="0"/>
          <w:lang w:val="en-US"/>
        </w:rPr>
      </w:pPr>
      <w:bookmarkStart w:id="1" w:name="_Toc325115873"/>
      <w:bookmarkStart w:id="2" w:name="_Toc324777154"/>
    </w:p>
    <w:p>
      <w:pPr>
        <w:pStyle w:val="139"/>
        <w:widowControl/>
        <w:spacing w:line="900" w:lineRule="exact"/>
        <w:rPr>
          <w:rFonts w:hint="eastAsia" w:ascii="宋体" w:hAnsi="宋体" w:eastAsia="宋体" w:cs="宋体"/>
          <w:b w:val="0"/>
          <w:lang w:val="en-US"/>
        </w:rPr>
      </w:pPr>
      <w:r>
        <w:rPr>
          <w:rFonts w:hint="eastAsia" w:ascii="宋体" w:hAnsi="宋体" w:eastAsia="宋体" w:cs="宋体"/>
          <w:b w:val="0"/>
          <w:lang w:eastAsia="zh-CN"/>
        </w:rPr>
        <w:t>竞争性比选文件</w:t>
      </w:r>
      <w:bookmarkEnd w:id="1"/>
      <w:bookmarkEnd w:id="2"/>
    </w:p>
    <w:p>
      <w:pPr>
        <w:pStyle w:val="158"/>
        <w:widowControl/>
        <w:ind w:left="0" w:firstLine="640"/>
        <w:rPr>
          <w:rFonts w:hint="eastAsia" w:ascii="宋体" w:hAnsi="宋体" w:eastAsia="宋体" w:cs="宋体"/>
          <w:b w:val="0"/>
          <w:sz w:val="32"/>
          <w:szCs w:val="32"/>
          <w:lang w:val="en-US"/>
        </w:rPr>
      </w:pPr>
    </w:p>
    <w:p>
      <w:pPr>
        <w:keepNext w:val="0"/>
        <w:keepLines w:val="0"/>
        <w:widowControl/>
        <w:suppressLineNumbers w:val="0"/>
        <w:tabs>
          <w:tab w:val="left" w:pos="895"/>
        </w:tabs>
        <w:spacing w:before="0" w:beforeAutospacing="0" w:after="0" w:afterAutospacing="0" w:line="320" w:lineRule="exact"/>
        <w:ind w:left="0" w:right="0" w:firstLine="640" w:firstLineChars="200"/>
        <w:jc w:val="center"/>
        <w:rPr>
          <w:rFonts w:hint="eastAsia" w:ascii="宋体" w:hAnsi="宋体" w:eastAsia="宋体" w:cs="宋体"/>
          <w:sz w:val="32"/>
          <w:szCs w:val="32"/>
          <w:lang w:val="en-US"/>
        </w:rPr>
      </w:pPr>
    </w:p>
    <w:p>
      <w:pPr>
        <w:pStyle w:val="158"/>
        <w:widowControl/>
        <w:tabs>
          <w:tab w:val="left" w:pos="420"/>
          <w:tab w:val="clear" w:pos="560"/>
        </w:tabs>
        <w:ind w:left="0" w:firstLine="0" w:firstLineChars="0"/>
        <w:jc w:val="both"/>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720" w:firstLineChars="200"/>
        <w:jc w:val="left"/>
        <w:rPr>
          <w:rFonts w:hint="eastAsia" w:ascii="宋体" w:hAnsi="宋体" w:eastAsia="宋体" w:cs="宋体"/>
          <w:sz w:val="36"/>
          <w:szCs w:val="24"/>
          <w:lang w:val="en-US"/>
        </w:rPr>
      </w:pPr>
    </w:p>
    <w:p>
      <w:pPr>
        <w:pStyle w:val="110"/>
        <w:widowControl/>
        <w:tabs>
          <w:tab w:val="left" w:pos="420"/>
          <w:tab w:val="clear" w:pos="560"/>
        </w:tabs>
        <w:ind w:left="0" w:firstLine="864" w:firstLineChars="240"/>
        <w:jc w:val="left"/>
        <w:rPr>
          <w:rFonts w:hint="eastAsia" w:ascii="宋体" w:hAnsi="宋体" w:eastAsia="宋体" w:cs="宋体"/>
          <w:b w:val="0"/>
          <w:lang w:val="en-US"/>
        </w:rPr>
      </w:pPr>
      <w:bookmarkStart w:id="3" w:name="_Toc325115876"/>
      <w:bookmarkStart w:id="4" w:name="_Toc324777157"/>
      <w:r>
        <w:rPr>
          <w:rFonts w:hint="eastAsia" w:ascii="宋体" w:hAnsi="宋体" w:eastAsia="宋体" w:cs="宋体"/>
          <w:b w:val="0"/>
          <w:lang w:val="en-US"/>
        </w:rPr>
        <w:tab/>
      </w:r>
    </w:p>
    <w:p>
      <w:pPr>
        <w:pStyle w:val="110"/>
        <w:widowControl/>
        <w:tabs>
          <w:tab w:val="left" w:pos="2"/>
          <w:tab w:val="clear" w:pos="560"/>
        </w:tabs>
        <w:ind w:left="0" w:firstLine="864" w:firstLineChars="240"/>
        <w:jc w:val="left"/>
        <w:rPr>
          <w:rFonts w:hint="eastAsia" w:ascii="宋体" w:hAnsi="宋体" w:eastAsia="宋体" w:cs="宋体"/>
          <w:b w:val="0"/>
          <w:lang w:val="en-US"/>
        </w:rPr>
      </w:pPr>
    </w:p>
    <w:p>
      <w:pPr>
        <w:pStyle w:val="127"/>
        <w:widowControl/>
        <w:tabs>
          <w:tab w:val="left" w:pos="420"/>
          <w:tab w:val="clear" w:pos="560"/>
        </w:tabs>
        <w:jc w:val="left"/>
        <w:rPr>
          <w:rFonts w:hint="eastAsia" w:ascii="宋体" w:hAnsi="宋体" w:eastAsia="宋体" w:cs="宋体"/>
          <w:b w:val="0"/>
          <w:lang w:val="en-US"/>
        </w:rPr>
      </w:pPr>
    </w:p>
    <w:p>
      <w:pPr>
        <w:pStyle w:val="127"/>
        <w:widowControl/>
        <w:tabs>
          <w:tab w:val="left" w:pos="420"/>
          <w:tab w:val="clear" w:pos="560"/>
        </w:tabs>
        <w:ind w:left="0" w:firstLine="627" w:firstLineChars="196"/>
        <w:jc w:val="left"/>
        <w:rPr>
          <w:rFonts w:hint="eastAsia" w:ascii="宋体" w:hAnsi="宋体" w:eastAsia="宋体" w:cs="宋体"/>
          <w:b w:val="0"/>
          <w:szCs w:val="40"/>
          <w:lang w:val="en-US"/>
        </w:rPr>
      </w:pPr>
    </w:p>
    <w:p>
      <w:pPr>
        <w:pStyle w:val="127"/>
        <w:widowControl/>
        <w:tabs>
          <w:tab w:val="left" w:pos="420"/>
          <w:tab w:val="clear" w:pos="560"/>
        </w:tabs>
        <w:ind w:left="0" w:firstLine="627" w:firstLineChars="196"/>
        <w:jc w:val="left"/>
        <w:rPr>
          <w:rFonts w:hint="eastAsia" w:ascii="宋体" w:hAnsi="宋体" w:eastAsia="宋体" w:cs="宋体"/>
          <w:b w:val="0"/>
          <w:szCs w:val="40"/>
          <w:lang w:val="en-US"/>
        </w:rPr>
      </w:pPr>
    </w:p>
    <w:p>
      <w:pPr>
        <w:pStyle w:val="127"/>
        <w:widowControl/>
        <w:tabs>
          <w:tab w:val="left" w:pos="420"/>
          <w:tab w:val="clear" w:pos="560"/>
        </w:tabs>
        <w:ind w:left="0" w:firstLine="627" w:firstLineChars="196"/>
        <w:jc w:val="left"/>
        <w:rPr>
          <w:rFonts w:hint="eastAsia" w:ascii="宋体" w:hAnsi="宋体" w:eastAsia="宋体" w:cs="宋体"/>
          <w:b w:val="0"/>
          <w:lang w:val="en-US"/>
        </w:rPr>
      </w:pPr>
      <w:r>
        <w:rPr>
          <w:rFonts w:hint="eastAsia" w:ascii="宋体" w:hAnsi="宋体" w:eastAsia="宋体" w:cs="宋体"/>
          <w:b w:val="0"/>
          <w:szCs w:val="40"/>
          <w:lang w:eastAsia="zh-CN"/>
        </w:rPr>
        <w:t>采</w:t>
      </w:r>
      <w:r>
        <w:rPr>
          <w:rFonts w:hint="eastAsia" w:ascii="宋体" w:cs="宋体"/>
          <w:b w:val="0"/>
          <w:szCs w:val="40"/>
          <w:lang w:val="en-US" w:eastAsia="zh-CN"/>
        </w:rPr>
        <w:t xml:space="preserve"> </w:t>
      </w:r>
      <w:r>
        <w:rPr>
          <w:rFonts w:hint="eastAsia" w:ascii="宋体" w:hAnsi="宋体" w:eastAsia="宋体" w:cs="宋体"/>
          <w:b w:val="0"/>
          <w:szCs w:val="40"/>
          <w:lang w:eastAsia="zh-CN"/>
        </w:rPr>
        <w:t xml:space="preserve"> 购 </w:t>
      </w:r>
      <w:r>
        <w:rPr>
          <w:rFonts w:hint="eastAsia" w:ascii="宋体" w:cs="宋体"/>
          <w:b w:val="0"/>
          <w:szCs w:val="40"/>
          <w:lang w:val="en-US" w:eastAsia="zh-CN"/>
        </w:rPr>
        <w:t xml:space="preserve"> </w:t>
      </w:r>
      <w:r>
        <w:rPr>
          <w:rFonts w:hint="eastAsia" w:ascii="宋体" w:hAnsi="宋体" w:eastAsia="宋体" w:cs="宋体"/>
          <w:b w:val="0"/>
          <w:szCs w:val="40"/>
          <w:lang w:eastAsia="zh-CN"/>
        </w:rPr>
        <w:t>人</w:t>
      </w:r>
      <w:bookmarkEnd w:id="3"/>
      <w:bookmarkEnd w:id="4"/>
      <w:r>
        <w:rPr>
          <w:rFonts w:hint="eastAsia" w:ascii="宋体" w:hAnsi="宋体" w:eastAsia="宋体" w:cs="宋体"/>
          <w:b w:val="0"/>
          <w:szCs w:val="40"/>
          <w:lang w:eastAsia="zh-CN"/>
        </w:rPr>
        <w:t>：</w:t>
      </w:r>
      <w:bookmarkStart w:id="5" w:name="_Hlk56885882"/>
      <w:bookmarkStart w:id="6" w:name="_Toc325115877"/>
      <w:bookmarkStart w:id="7" w:name="_Toc324777158"/>
      <w:r>
        <w:rPr>
          <w:rFonts w:hint="eastAsia" w:ascii="宋体" w:hAnsi="宋体" w:eastAsia="宋体" w:cs="宋体"/>
          <w:b w:val="0"/>
          <w:szCs w:val="40"/>
          <w:lang w:eastAsia="zh-CN"/>
        </w:rPr>
        <w:t>重庆市大足区鑫发建设集团有限公司</w:t>
      </w:r>
      <w:bookmarkEnd w:id="5"/>
    </w:p>
    <w:bookmarkEnd w:id="6"/>
    <w:bookmarkEnd w:id="7"/>
    <w:p>
      <w:pPr>
        <w:pStyle w:val="167"/>
        <w:widowControl/>
        <w:ind w:left="0" w:firstLine="627" w:firstLineChars="196"/>
        <w:rPr>
          <w:rFonts w:hint="eastAsia" w:ascii="宋体" w:hAnsi="宋体" w:eastAsia="宋体" w:cs="宋体"/>
          <w:b w:val="0"/>
          <w:szCs w:val="40"/>
          <w:lang w:val="en-US"/>
        </w:rPr>
      </w:pPr>
      <w:r>
        <w:rPr>
          <w:rFonts w:hint="eastAsia" w:ascii="宋体" w:hAnsi="宋体" w:eastAsia="宋体" w:cs="宋体"/>
          <w:b w:val="0"/>
          <w:szCs w:val="40"/>
          <w:lang w:eastAsia="zh-CN"/>
        </w:rPr>
        <w:t>编 制 时</w:t>
      </w:r>
      <w:r>
        <w:rPr>
          <w:rFonts w:hint="eastAsia" w:ascii="宋体" w:hAnsi="宋体" w:eastAsia="宋体" w:cs="宋体"/>
          <w:b w:val="0"/>
          <w:szCs w:val="40"/>
          <w:lang w:val="en-US"/>
        </w:rPr>
        <w:tab/>
      </w:r>
      <w:r>
        <w:rPr>
          <w:rFonts w:hint="eastAsia" w:ascii="宋体" w:hAnsi="宋体" w:eastAsia="宋体" w:cs="宋体"/>
          <w:b w:val="0"/>
          <w:szCs w:val="40"/>
          <w:lang w:eastAsia="zh-CN"/>
        </w:rPr>
        <w:t>间：</w:t>
      </w:r>
      <w:r>
        <w:rPr>
          <w:rFonts w:hint="eastAsia" w:ascii="宋体" w:hAnsi="宋体" w:eastAsia="宋体" w:cs="宋体"/>
          <w:b w:val="0"/>
          <w:szCs w:val="40"/>
          <w:lang w:val="en-US"/>
        </w:rPr>
        <w:t>202</w:t>
      </w:r>
      <w:r>
        <w:rPr>
          <w:rFonts w:hint="eastAsia" w:ascii="宋体" w:cs="宋体"/>
          <w:b w:val="0"/>
          <w:szCs w:val="40"/>
          <w:lang w:val="en-US" w:eastAsia="zh-CN"/>
        </w:rPr>
        <w:t>2</w:t>
      </w:r>
      <w:r>
        <w:rPr>
          <w:rFonts w:hint="eastAsia" w:ascii="宋体" w:hAnsi="宋体" w:eastAsia="宋体" w:cs="宋体"/>
          <w:b w:val="0"/>
          <w:szCs w:val="40"/>
          <w:lang w:eastAsia="zh-CN"/>
        </w:rPr>
        <w:t>年</w:t>
      </w:r>
      <w:r>
        <w:rPr>
          <w:rFonts w:hint="eastAsia" w:ascii="宋体" w:cs="宋体"/>
          <w:b w:val="0"/>
          <w:szCs w:val="40"/>
          <w:lang w:val="en-US" w:eastAsia="zh-CN"/>
        </w:rPr>
        <w:t>7</w:t>
      </w:r>
      <w:r>
        <w:rPr>
          <w:rFonts w:hint="eastAsia" w:ascii="宋体" w:hAnsi="宋体" w:eastAsia="宋体" w:cs="宋体"/>
          <w:b w:val="0"/>
          <w:szCs w:val="40"/>
          <w:lang w:eastAsia="zh-CN"/>
        </w:rPr>
        <w:t>月</w:t>
      </w:r>
    </w:p>
    <w:p>
      <w:pPr>
        <w:rPr>
          <w:rFonts w:hint="eastAsia" w:ascii="宋体" w:hAnsi="宋体" w:eastAsia="宋体" w:cs="Times New Roman"/>
          <w:kern w:val="2"/>
          <w:sz w:val="32"/>
          <w:szCs w:val="40"/>
          <w:lang w:val="en-US" w:eastAsia="zh-CN" w:bidi="ar"/>
        </w:rPr>
        <w:sectPr>
          <w:pgSz w:w="11915" w:h="16840"/>
          <w:pgMar w:top="1135" w:right="1304" w:bottom="1135" w:left="1191" w:header="964" w:footer="992" w:gutter="0"/>
          <w:pgNumType w:fmt="numberInDash" w:start="1"/>
          <w:cols w:space="425" w:num="1"/>
          <w:docGrid w:type="lines" w:linePitch="312" w:charSpace="0"/>
        </w:sectPr>
      </w:pPr>
    </w:p>
    <w:p>
      <w:pPr>
        <w:pStyle w:val="2"/>
        <w:widowControl/>
        <w:spacing w:before="120" w:beforeAutospacing="0" w:after="120" w:afterAutospacing="0"/>
        <w:ind w:left="0" w:right="0" w:firstLine="0" w:firstLineChars="0"/>
        <w:rPr>
          <w:rFonts w:hint="eastAsia" w:ascii="宋体" w:hAnsi="宋体" w:eastAsia="宋体" w:cs="宋体"/>
          <w:b w:val="0"/>
          <w:kern w:val="2"/>
          <w:sz w:val="30"/>
          <w:szCs w:val="24"/>
          <w:lang w:val="en-US" w:eastAsia="zh-CN" w:bidi="ar"/>
        </w:rPr>
      </w:pPr>
      <w:bookmarkStart w:id="8" w:name="_Toc474603896"/>
      <w:bookmarkStart w:id="9" w:name="_Toc6218"/>
      <w:bookmarkStart w:id="10" w:name="_Toc12789052"/>
      <w:bookmarkStart w:id="11" w:name="_Toc11641050"/>
      <w:r>
        <w:rPr>
          <w:rFonts w:hint="eastAsia" w:ascii="宋体" w:hAnsi="宋体" w:eastAsia="宋体" w:cs="宋体"/>
          <w:b w:val="0"/>
          <w:kern w:val="2"/>
          <w:sz w:val="30"/>
          <w:szCs w:val="24"/>
          <w:lang w:val="en-US" w:eastAsia="zh-CN" w:bidi="ar"/>
        </w:rPr>
        <w:t>第一篇  招标公告书</w:t>
      </w:r>
      <w:bookmarkEnd w:id="8"/>
      <w:bookmarkEnd w:id="9"/>
      <w:bookmarkEnd w:id="10"/>
      <w:bookmarkEnd w:id="11"/>
    </w:p>
    <w:p>
      <w:pPr>
        <w:pStyle w:val="23"/>
        <w:keepNext w:val="0"/>
        <w:keepLines w:val="0"/>
        <w:widowControl/>
        <w:suppressLineNumbers w:val="0"/>
        <w:spacing w:before="0" w:beforeAutospacing="0" w:after="0" w:afterAutospacing="0"/>
        <w:ind w:left="0" w:firstLine="0"/>
        <w:jc w:val="left"/>
        <w:rPr>
          <w:rFonts w:hint="eastAsia" w:ascii="宋体" w:hAnsi="宋体" w:eastAsia="宋体" w:cs="宋体"/>
          <w:lang w:val="en-US"/>
        </w:rPr>
      </w:pPr>
      <w:r>
        <w:rPr>
          <w:rFonts w:hint="eastAsia" w:ascii="宋体" w:hAnsi="宋体" w:eastAsia="宋体" w:cs="宋体"/>
          <w:b w:val="0"/>
          <w:color w:val="auto"/>
          <w:kern w:val="2"/>
          <w:sz w:val="24"/>
          <w:szCs w:val="24"/>
          <w:lang w:val="en-US" w:eastAsia="zh-CN" w:bidi="ar"/>
        </w:rPr>
        <w:t>为进一步提升大足荷棠产业的知名度和美誉度，围绕</w:t>
      </w:r>
      <w:r>
        <w:rPr>
          <w:rFonts w:hint="default" w:ascii="宋体" w:hAnsi="宋体" w:eastAsia="宋体" w:cs="宋体"/>
          <w:b w:val="0"/>
          <w:color w:val="auto"/>
          <w:kern w:val="2"/>
          <w:sz w:val="24"/>
          <w:szCs w:val="24"/>
          <w:lang w:val="en-US" w:eastAsia="zh-CN" w:bidi="ar"/>
        </w:rPr>
        <w:t>“天下大足·醉美乡村”主题</w:t>
      </w:r>
      <w:r>
        <w:rPr>
          <w:rFonts w:hint="eastAsia" w:ascii="宋体" w:hAnsi="宋体" w:eastAsia="宋体" w:cs="宋体"/>
          <w:b w:val="0"/>
          <w:color w:val="auto"/>
          <w:kern w:val="2"/>
          <w:sz w:val="24"/>
          <w:szCs w:val="24"/>
          <w:lang w:val="en-US" w:eastAsia="zh-CN" w:bidi="ar"/>
        </w:rPr>
        <w:t>和</w:t>
      </w:r>
      <w:r>
        <w:rPr>
          <w:rFonts w:hint="default" w:ascii="宋体" w:hAnsi="宋体" w:eastAsia="宋体" w:cs="宋体"/>
          <w:b w:val="0"/>
          <w:color w:val="auto"/>
          <w:kern w:val="2"/>
          <w:sz w:val="24"/>
          <w:szCs w:val="24"/>
          <w:lang w:val="en-US" w:eastAsia="zh-CN" w:bidi="ar"/>
        </w:rPr>
        <w:t>做靓享誉世界的文化会客厅</w:t>
      </w:r>
      <w:r>
        <w:rPr>
          <w:rFonts w:hint="eastAsia" w:ascii="宋体" w:hAnsi="宋体" w:eastAsia="宋体" w:cs="宋体"/>
          <w:b w:val="0"/>
          <w:color w:val="auto"/>
          <w:kern w:val="2"/>
          <w:sz w:val="24"/>
          <w:szCs w:val="24"/>
          <w:lang w:val="en-US" w:eastAsia="zh-CN" w:bidi="ar"/>
        </w:rPr>
        <w:t>要求</w:t>
      </w:r>
      <w:r>
        <w:rPr>
          <w:rFonts w:hint="default" w:ascii="宋体" w:hAnsi="宋体" w:eastAsia="宋体" w:cs="宋体"/>
          <w:b w:val="0"/>
          <w:color w:val="auto"/>
          <w:kern w:val="2"/>
          <w:sz w:val="24"/>
          <w:szCs w:val="24"/>
          <w:lang w:val="en-US" w:eastAsia="zh-CN" w:bidi="ar"/>
        </w:rPr>
        <w:t>，</w:t>
      </w:r>
      <w:r>
        <w:rPr>
          <w:rFonts w:hint="eastAsia" w:ascii="宋体" w:hAnsi="宋体" w:eastAsia="宋体" w:cs="宋体"/>
          <w:b w:val="0"/>
          <w:color w:val="auto"/>
          <w:kern w:val="2"/>
          <w:sz w:val="24"/>
          <w:szCs w:val="24"/>
          <w:lang w:val="en-US" w:eastAsia="zh-CN" w:bidi="ar"/>
        </w:rPr>
        <w:t>拟举办大足区第十二届荷棠文化旅</w:t>
      </w:r>
      <w:r>
        <w:rPr>
          <w:rFonts w:hint="eastAsia" w:ascii="宋体" w:hAnsi="宋体" w:eastAsia="宋体" w:cs="宋体"/>
          <w:color w:val="auto"/>
          <w:kern w:val="2"/>
          <w:sz w:val="24"/>
          <w:szCs w:val="24"/>
          <w:lang w:val="en-US" w:eastAsia="zh-CN" w:bidi="ar"/>
        </w:rPr>
        <w:t>游节。特制定2022《大足区第十二届荷棠文化旅游节策划执行项目》活动</w:t>
      </w:r>
      <w:r>
        <w:rPr>
          <w:rFonts w:hint="eastAsia" w:ascii="宋体" w:hAnsi="宋体" w:eastAsia="宋体" w:cs="宋体"/>
          <w:kern w:val="2"/>
          <w:sz w:val="24"/>
          <w:szCs w:val="24"/>
          <w:lang w:val="en-US" w:eastAsia="zh-CN" w:bidi="ar"/>
        </w:rPr>
        <w:t>，现对</w:t>
      </w:r>
      <w:r>
        <w:rPr>
          <w:rFonts w:hint="eastAsia" w:ascii="宋体" w:hAnsi="宋体" w:eastAsia="宋体" w:cs="宋体"/>
          <w:kern w:val="2"/>
          <w:sz w:val="24"/>
          <w:szCs w:val="24"/>
          <w:u w:val="single"/>
          <w:lang w:val="en-US" w:eastAsia="zh-CN" w:bidi="ar"/>
        </w:rPr>
        <w:t>大足区第十二届荷棠文化旅游节策划执行项目（含实施及宣传）</w:t>
      </w:r>
      <w:r>
        <w:rPr>
          <w:rFonts w:hint="eastAsia" w:ascii="宋体" w:hAnsi="宋体" w:eastAsia="宋体" w:cs="宋体"/>
          <w:kern w:val="2"/>
          <w:sz w:val="24"/>
          <w:szCs w:val="24"/>
          <w:lang w:val="en-US" w:eastAsia="zh-CN" w:bidi="ar"/>
        </w:rPr>
        <w:t>进行竞争性比选。欢迎有资格的供应商前来参与比选。</w:t>
      </w:r>
    </w:p>
    <w:p>
      <w:pPr>
        <w:pStyle w:val="3"/>
        <w:widowControl/>
        <w:spacing w:before="48" w:beforeAutospacing="0" w:after="48" w:afterAutospacing="0"/>
        <w:ind w:left="0" w:right="0" w:firstLine="420"/>
        <w:rPr>
          <w:rFonts w:eastAsia="宋体"/>
          <w:b w:val="0"/>
          <w:lang w:val="en-US"/>
        </w:rPr>
      </w:pPr>
      <w:bookmarkStart w:id="12" w:name="_Toc474603897"/>
      <w:bookmarkStart w:id="13" w:name="_Toc1708"/>
      <w:bookmarkStart w:id="14" w:name="_Toc317775175"/>
      <w:bookmarkStart w:id="15" w:name="_Toc313893526"/>
      <w:r>
        <w:rPr>
          <w:rFonts w:eastAsia="宋体"/>
          <w:b w:val="0"/>
          <w:lang w:eastAsia="zh-CN"/>
        </w:rPr>
        <w:t>一、竞争性</w:t>
      </w:r>
      <w:bookmarkStart w:id="16" w:name="_Hlk56889361"/>
      <w:r>
        <w:rPr>
          <w:rFonts w:eastAsia="宋体"/>
          <w:b w:val="0"/>
          <w:lang w:eastAsia="zh-CN"/>
        </w:rPr>
        <w:t>比选</w:t>
      </w:r>
      <w:bookmarkEnd w:id="16"/>
      <w:r>
        <w:rPr>
          <w:rFonts w:eastAsia="宋体"/>
          <w:b w:val="0"/>
          <w:lang w:eastAsia="zh-CN"/>
        </w:rPr>
        <w:t>内容</w:t>
      </w:r>
      <w:bookmarkEnd w:id="12"/>
      <w:bookmarkEnd w:id="13"/>
      <w:bookmarkEnd w:id="14"/>
      <w:bookmarkEnd w:id="15"/>
    </w:p>
    <w:tbl>
      <w:tblPr>
        <w:tblStyle w:val="28"/>
        <w:tblW w:w="98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35"/>
        <w:gridCol w:w="2760"/>
        <w:gridCol w:w="1350"/>
        <w:gridCol w:w="1425"/>
        <w:gridCol w:w="1065"/>
        <w:gridCol w:w="1659"/>
        <w:gridCol w:w="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default" w:ascii="宋体" w:hAnsi="宋体" w:eastAsia="宋体" w:cs="宋体"/>
                <w:lang w:val="en-US" w:eastAsia="zh-CN"/>
              </w:rPr>
            </w:pPr>
            <w:bookmarkStart w:id="17" w:name="_Toc474603898"/>
            <w:bookmarkStart w:id="18" w:name="_Toc373860293"/>
            <w:bookmarkStart w:id="19" w:name="_Toc317775178"/>
            <w:r>
              <w:rPr>
                <w:rFonts w:hint="eastAsia" w:ascii="宋体" w:hAnsi="宋体" w:eastAsia="宋体" w:cs="宋体"/>
                <w:lang w:val="en-US" w:eastAsia="zh-CN"/>
              </w:rPr>
              <w:t>序号</w:t>
            </w:r>
          </w:p>
        </w:tc>
        <w:tc>
          <w:tcPr>
            <w:tcW w:w="2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0" w:firstLineChars="0"/>
              <w:jc w:val="center"/>
              <w:rPr>
                <w:rFonts w:hint="eastAsia" w:ascii="宋体" w:hAnsi="宋体" w:eastAsia="宋体" w:cs="宋体"/>
                <w:lang w:val="en-US"/>
              </w:rPr>
            </w:pPr>
            <w:r>
              <w:rPr>
                <w:rFonts w:hint="eastAsia" w:ascii="宋体" w:hAnsi="宋体" w:eastAsia="宋体" w:cs="宋体"/>
              </w:rPr>
              <w:t>名称</w:t>
            </w:r>
          </w:p>
        </w:tc>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0" w:firstLineChars="0"/>
              <w:jc w:val="center"/>
              <w:rPr>
                <w:rFonts w:hint="eastAsia" w:ascii="宋体" w:hAnsi="宋体" w:eastAsia="宋体" w:cs="宋体"/>
                <w:lang w:val="en-US"/>
              </w:rPr>
            </w:pPr>
            <w:r>
              <w:rPr>
                <w:rFonts w:hint="eastAsia" w:ascii="宋体" w:hAnsi="宋体" w:eastAsia="宋体" w:cs="宋体"/>
              </w:rPr>
              <w:t>采购限价（万元）</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0" w:firstLineChars="0"/>
              <w:jc w:val="center"/>
              <w:rPr>
                <w:rFonts w:hint="eastAsia" w:ascii="宋体" w:hAnsi="宋体" w:eastAsia="宋体" w:cs="宋体"/>
                <w:lang w:val="en-US"/>
              </w:rPr>
            </w:pPr>
            <w:r>
              <w:rPr>
                <w:rFonts w:hint="eastAsia" w:ascii="宋体" w:hAnsi="宋体" w:eastAsia="宋体" w:cs="宋体"/>
              </w:rPr>
              <w:t>投标保证金（万元）</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rPr>
              <w:t>成交数量（名）</w:t>
            </w:r>
          </w:p>
        </w:tc>
        <w:tc>
          <w:tcPr>
            <w:tcW w:w="16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rPr>
              <w:t>履约保证金</w:t>
            </w:r>
          </w:p>
        </w:tc>
        <w:tc>
          <w:tcPr>
            <w:tcW w:w="8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rPr>
            </w:pPr>
            <w:r>
              <w:rPr>
                <w:rFonts w:hint="eastAsia" w:ascii="宋体" w:hAnsi="宋体" w:eastAsia="宋体" w:cs="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rightChars="0"/>
              <w:jc w:val="center"/>
              <w:rPr>
                <w:rFonts w:hint="eastAsia" w:ascii="宋体" w:hAnsi="宋体" w:eastAsia="宋体" w:cs="宋体"/>
                <w:lang w:val="en-US" w:eastAsia="zh-CN"/>
              </w:rPr>
            </w:pPr>
            <w:bookmarkStart w:id="20" w:name="_Hlk344477914"/>
            <w:r>
              <w:rPr>
                <w:rFonts w:hint="eastAsia" w:ascii="宋体" w:hAnsi="宋体" w:eastAsia="宋体" w:cs="宋体"/>
                <w:lang w:val="en-US" w:eastAsia="zh-CN"/>
              </w:rPr>
              <w:t>1</w:t>
            </w:r>
          </w:p>
        </w:tc>
        <w:tc>
          <w:tcPr>
            <w:tcW w:w="2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420" w:firstLineChars="200"/>
              <w:jc w:val="both"/>
              <w:rPr>
                <w:rFonts w:hint="eastAsia" w:ascii="宋体" w:hAnsi="宋体" w:eastAsia="宋体" w:cs="宋体"/>
                <w:lang w:val="en-US"/>
              </w:rPr>
            </w:pPr>
            <w:r>
              <w:rPr>
                <w:rFonts w:hint="eastAsia" w:ascii="宋体" w:hAnsi="宋体" w:eastAsia="宋体" w:cs="宋体"/>
              </w:rPr>
              <w:t>大足区第十</w:t>
            </w:r>
            <w:r>
              <w:rPr>
                <w:rFonts w:hint="eastAsia" w:ascii="宋体" w:hAnsi="宋体" w:eastAsia="宋体" w:cs="宋体"/>
                <w:lang w:eastAsia="zh-CN"/>
              </w:rPr>
              <w:t>二</w:t>
            </w:r>
            <w:r>
              <w:rPr>
                <w:rFonts w:hint="eastAsia" w:ascii="宋体" w:hAnsi="宋体" w:eastAsia="宋体" w:cs="宋体"/>
              </w:rPr>
              <w:t>届荷棠文化旅游节策划执行项目（含实施及宣传）</w:t>
            </w:r>
          </w:p>
        </w:tc>
        <w:tc>
          <w:tcPr>
            <w:tcW w:w="13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rightChars="0"/>
              <w:jc w:val="center"/>
              <w:rPr>
                <w:rFonts w:hint="eastAsia" w:ascii="宋体" w:hAnsi="宋体" w:eastAsia="宋体" w:cs="宋体"/>
                <w:lang w:val="en-US"/>
              </w:rPr>
            </w:pPr>
            <w:r>
              <w:rPr>
                <w:rFonts w:hint="eastAsia" w:ascii="宋体" w:hAnsi="宋体" w:eastAsia="宋体" w:cs="宋体"/>
                <w:lang w:val="en-US" w:eastAsia="zh-CN"/>
              </w:rPr>
              <w:t>45</w:t>
            </w:r>
            <w:r>
              <w:rPr>
                <w:rFonts w:hint="eastAsia" w:ascii="宋体" w:hAnsi="宋体" w:eastAsia="宋体" w:cs="宋体"/>
              </w:rPr>
              <w:t>（含税）</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rightChars="0"/>
              <w:jc w:val="center"/>
              <w:rPr>
                <w:rFonts w:hint="eastAsia" w:ascii="宋体" w:hAnsi="宋体" w:eastAsia="宋体" w:cs="宋体"/>
                <w:lang w:val="en-US"/>
              </w:rPr>
            </w:pPr>
            <w:r>
              <w:rPr>
                <w:rFonts w:hint="eastAsia" w:ascii="宋体" w:hAnsi="宋体" w:eastAsia="宋体" w:cs="宋体"/>
                <w:lang w:val="en-US" w:eastAsia="zh-CN"/>
              </w:rPr>
              <w:t>1</w:t>
            </w:r>
            <w:r>
              <w:rPr>
                <w:rFonts w:hint="eastAsia" w:ascii="宋体" w:hAnsi="宋体" w:eastAsia="宋体" w:cs="宋体"/>
              </w:rPr>
              <w:t>万元</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rightChars="0"/>
              <w:jc w:val="center"/>
              <w:rPr>
                <w:rFonts w:hint="eastAsia" w:ascii="宋体" w:hAnsi="宋体" w:eastAsia="宋体" w:cs="宋体"/>
                <w:lang w:val="en-US"/>
              </w:rPr>
            </w:pPr>
            <w:r>
              <w:rPr>
                <w:rFonts w:hint="eastAsia" w:ascii="宋体" w:hAnsi="宋体" w:eastAsia="宋体" w:cs="宋体"/>
                <w:lang w:val="en-US"/>
              </w:rPr>
              <w:t>1</w:t>
            </w:r>
          </w:p>
          <w:bookmarkEnd w:id="20"/>
        </w:tc>
        <w:tc>
          <w:tcPr>
            <w:tcW w:w="16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rightChars="0"/>
              <w:jc w:val="both"/>
              <w:rPr>
                <w:rFonts w:hint="default" w:ascii="宋体" w:hAnsi="宋体" w:eastAsia="宋体" w:cs="宋体"/>
                <w:lang w:val="en-US" w:eastAsia="zh-CN"/>
              </w:rPr>
            </w:pPr>
            <w:r>
              <w:rPr>
                <w:rFonts w:hint="eastAsia" w:ascii="宋体" w:hAnsi="宋体" w:eastAsia="宋体" w:cs="宋体"/>
              </w:rPr>
              <w:t>中标价的</w:t>
            </w:r>
            <w:r>
              <w:rPr>
                <w:rFonts w:hint="eastAsia" w:ascii="宋体" w:hAnsi="宋体" w:eastAsia="宋体" w:cs="宋体"/>
                <w:lang w:val="en-US"/>
              </w:rPr>
              <w:t>10%</w:t>
            </w:r>
          </w:p>
        </w:tc>
        <w:tc>
          <w:tcPr>
            <w:tcW w:w="8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420" w:firstLineChars="200"/>
              <w:jc w:val="both"/>
              <w:rPr>
                <w:rFonts w:hint="default" w:ascii="宋体" w:hAnsi="宋体" w:eastAsia="宋体" w:cs="宋体"/>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rightChars="0"/>
              <w:jc w:val="center"/>
              <w:rPr>
                <w:rFonts w:hint="default" w:ascii="宋体" w:hAnsi="宋体" w:eastAsia="宋体" w:cs="宋体"/>
                <w:lang w:val="en-US" w:eastAsia="zh-CN"/>
              </w:rPr>
            </w:pPr>
            <w:r>
              <w:rPr>
                <w:rFonts w:hint="eastAsia" w:ascii="宋体" w:hAnsi="宋体" w:eastAsia="宋体" w:cs="宋体"/>
                <w:lang w:val="en-US" w:eastAsia="zh-CN"/>
              </w:rPr>
              <w:t>2</w:t>
            </w:r>
          </w:p>
        </w:tc>
        <w:tc>
          <w:tcPr>
            <w:tcW w:w="8259"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420" w:firstLineChars="200"/>
              <w:jc w:val="center"/>
              <w:rPr>
                <w:rFonts w:hint="eastAsia" w:ascii="宋体" w:hAnsi="宋体" w:eastAsia="宋体" w:cs="宋体"/>
                <w:lang w:val="en-US" w:eastAsia="zh-CN"/>
              </w:rPr>
            </w:pPr>
            <w:r>
              <w:rPr>
                <w:rFonts w:hint="eastAsia" w:ascii="宋体" w:hAnsi="宋体" w:eastAsia="宋体" w:cs="宋体"/>
                <w:lang w:val="en-US" w:eastAsia="zh-CN"/>
              </w:rPr>
              <w:t>暂列金5万元（含税）,此栏投标单位不报价，业主根</w:t>
            </w:r>
            <w:r>
              <w:rPr>
                <w:rFonts w:hint="eastAsia" w:ascii="宋体" w:hAnsi="宋体" w:eastAsia="宋体" w:cs="宋体"/>
                <w:color w:val="auto"/>
                <w:lang w:val="en-US" w:eastAsia="zh-CN"/>
              </w:rPr>
              <w:t>据节会实际</w:t>
            </w:r>
            <w:r>
              <w:rPr>
                <w:rFonts w:hint="eastAsia" w:ascii="宋体" w:hAnsi="宋体" w:eastAsia="宋体" w:cs="宋体"/>
                <w:lang w:val="en-US" w:eastAsia="zh-CN"/>
              </w:rPr>
              <w:t>需要据实采购结算。</w:t>
            </w:r>
          </w:p>
        </w:tc>
        <w:tc>
          <w:tcPr>
            <w:tcW w:w="8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firstLine="420" w:firstLineChars="200"/>
              <w:jc w:val="both"/>
              <w:rPr>
                <w:rFonts w:hint="eastAsia" w:ascii="宋体" w:hAnsi="宋体" w:eastAsia="宋体" w:cs="宋体"/>
                <w:lang w:val="en-US" w:eastAsia="zh-CN"/>
              </w:rPr>
            </w:pPr>
          </w:p>
        </w:tc>
      </w:tr>
    </w:tbl>
    <w:p>
      <w:pPr>
        <w:pStyle w:val="3"/>
        <w:pageBreakBefore w:val="0"/>
        <w:widowControl/>
        <w:kinsoku/>
        <w:wordWrap/>
        <w:overflowPunct/>
        <w:topLinePunct w:val="0"/>
        <w:autoSpaceDE/>
        <w:autoSpaceDN/>
        <w:bidi w:val="0"/>
        <w:spacing w:before="48" w:beforeAutospacing="0" w:after="48" w:afterAutospacing="0"/>
        <w:ind w:left="0" w:leftChars="0" w:right="0" w:firstLine="480" w:firstLineChars="200"/>
        <w:textAlignment w:val="auto"/>
        <w:rPr>
          <w:rFonts w:hint="eastAsia" w:ascii="宋体" w:hAnsi="宋体" w:eastAsia="宋体" w:cs="宋体"/>
          <w:b w:val="0"/>
          <w:kern w:val="2"/>
          <w:sz w:val="24"/>
          <w:szCs w:val="24"/>
          <w:lang w:val="en-US" w:eastAsia="zh-CN" w:bidi="ar"/>
        </w:rPr>
      </w:pPr>
      <w:bookmarkStart w:id="21" w:name="_Toc7381"/>
      <w:r>
        <w:rPr>
          <w:rFonts w:hint="eastAsia" w:ascii="宋体" w:hAnsi="宋体" w:eastAsia="宋体" w:cs="宋体"/>
          <w:b w:val="0"/>
          <w:kern w:val="2"/>
          <w:sz w:val="24"/>
          <w:szCs w:val="24"/>
          <w:lang w:val="en-US" w:eastAsia="zh-CN" w:bidi="ar"/>
        </w:rPr>
        <w:t>备注：各投标人在在投标文件中列出每一项的报价清单明细表，投标总报价不超过以上限价。</w:t>
      </w:r>
    </w:p>
    <w:p>
      <w:pPr>
        <w:pageBreakBefore w:val="0"/>
        <w:kinsoku/>
        <w:wordWrap/>
        <w:overflowPunct/>
        <w:topLinePunct w:val="0"/>
        <w:autoSpaceDE/>
        <w:autoSpaceDN/>
        <w:bidi w:val="0"/>
        <w:ind w:firstLine="480" w:firstLineChars="200"/>
        <w:textAlignment w:val="auto"/>
        <w:rPr>
          <w:rFonts w:hint="eastAsia" w:ascii="宋体" w:hAnsi="宋体" w:eastAsia="宋体" w:cs="宋体"/>
          <w:b w:val="0"/>
          <w:kern w:val="2"/>
          <w:sz w:val="24"/>
          <w:szCs w:val="24"/>
          <w:lang w:val="en-US" w:eastAsia="zh-CN" w:bidi="ar"/>
        </w:rPr>
      </w:pPr>
      <w:r>
        <w:rPr>
          <w:rFonts w:hint="eastAsia" w:ascii="宋体" w:hAnsi="宋体" w:eastAsia="宋体" w:cs="宋体"/>
          <w:b w:val="0"/>
          <w:kern w:val="2"/>
          <w:sz w:val="24"/>
          <w:szCs w:val="24"/>
          <w:lang w:val="en-US" w:eastAsia="zh-CN" w:bidi="ar"/>
        </w:rPr>
        <w:t>中标后中标人在整个活动期间购买公共责任险。</w:t>
      </w:r>
    </w:p>
    <w:p>
      <w:pPr>
        <w:pStyle w:val="3"/>
        <w:widowControl/>
        <w:spacing w:before="48" w:beforeAutospacing="0" w:after="48" w:afterAutospacing="0"/>
        <w:ind w:left="0" w:right="0" w:firstLine="420"/>
        <w:rPr>
          <w:rFonts w:eastAsia="宋体"/>
          <w:b w:val="0"/>
          <w:lang w:val="en-US"/>
        </w:rPr>
      </w:pPr>
      <w:r>
        <w:rPr>
          <w:rFonts w:eastAsia="宋体"/>
          <w:b w:val="0"/>
          <w:lang w:eastAsia="zh-CN"/>
        </w:rPr>
        <w:t>二、资金来源</w:t>
      </w:r>
      <w:bookmarkEnd w:id="17"/>
      <w:bookmarkEnd w:id="21"/>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22" w:name="_Toc474603899"/>
      <w:r>
        <w:rPr>
          <w:rFonts w:hint="eastAsia" w:ascii="宋体" w:hAnsi="宋体" w:eastAsia="宋体" w:cs="宋体"/>
          <w:kern w:val="2"/>
          <w:sz w:val="24"/>
          <w:szCs w:val="24"/>
          <w:lang w:val="en-US" w:eastAsia="zh-CN" w:bidi="ar"/>
        </w:rPr>
        <w:t>已落实。</w:t>
      </w:r>
    </w:p>
    <w:p>
      <w:pPr>
        <w:pStyle w:val="3"/>
        <w:widowControl/>
        <w:spacing w:before="48" w:beforeAutospacing="0" w:after="48" w:afterAutospacing="0"/>
        <w:ind w:left="0" w:right="0" w:firstLine="420"/>
        <w:rPr>
          <w:rFonts w:eastAsia="宋体"/>
          <w:b w:val="0"/>
          <w:lang w:val="en-US"/>
        </w:rPr>
      </w:pPr>
      <w:bookmarkStart w:id="23" w:name="_Toc24283"/>
      <w:r>
        <w:rPr>
          <w:rFonts w:eastAsia="宋体"/>
          <w:b w:val="0"/>
          <w:lang w:eastAsia="zh-CN"/>
        </w:rPr>
        <w:t>三、供应商资格条件</w:t>
      </w:r>
      <w:bookmarkEnd w:id="22"/>
      <w:bookmarkEnd w:id="23"/>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合格供应商应首先符合政府采购法第二十二条规定的基本资格条件，同时符合根据该项目特点设置的特定资格条件。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24" w:name="_Toc474603901"/>
      <w:r>
        <w:rPr>
          <w:rFonts w:hint="eastAsia" w:ascii="宋体" w:hAnsi="宋体" w:eastAsia="宋体" w:cs="宋体"/>
          <w:kern w:val="2"/>
          <w:sz w:val="24"/>
          <w:szCs w:val="24"/>
          <w:lang w:val="en-US" w:eastAsia="zh-CN" w:bidi="ar"/>
        </w:rPr>
        <w:t>（一）具有独立承担民事责任的能力；</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（二）具有良好的商业信誉和健全的财务会计制</w:t>
      </w:r>
      <w:r>
        <w:rPr>
          <w:rFonts w:hint="eastAsia" w:ascii="宋体" w:hAnsi="宋体" w:eastAsia="宋体" w:cs="宋体"/>
          <w:color w:val="auto"/>
          <w:kern w:val="2"/>
          <w:sz w:val="24"/>
          <w:szCs w:val="24"/>
          <w:lang w:val="en-US" w:eastAsia="zh-CN" w:bidi="ar"/>
        </w:rPr>
        <w:t>度(新注册企业参考）；</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（三）具有履行合同所必需的专业技术能力；</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（四）有依法缴纳税收和社会保障资金的良好记录；</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color w:val="auto"/>
          <w:lang w:val="en-US"/>
        </w:rPr>
      </w:pPr>
      <w:r>
        <w:rPr>
          <w:rFonts w:hint="eastAsia" w:ascii="宋体" w:hAnsi="宋体" w:eastAsia="宋体" w:cs="宋体"/>
          <w:kern w:val="2"/>
          <w:sz w:val="24"/>
          <w:szCs w:val="24"/>
          <w:lang w:val="en-US" w:eastAsia="zh-CN" w:bidi="ar"/>
        </w:rPr>
        <w:t>（五）参加政府采购活动前三年内，在经营活动中没有重大违法记</w:t>
      </w:r>
      <w:r>
        <w:rPr>
          <w:rFonts w:hint="eastAsia" w:ascii="宋体" w:hAnsi="宋体" w:eastAsia="宋体" w:cs="宋体"/>
          <w:color w:val="auto"/>
          <w:kern w:val="2"/>
          <w:sz w:val="24"/>
          <w:szCs w:val="24"/>
          <w:lang w:val="en-US" w:eastAsia="zh-CN" w:bidi="ar"/>
        </w:rPr>
        <w:t>录（新注册企业参考）；</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（六）法律、行政法规规定的其他条件。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特定资格条件：</w:t>
      </w:r>
    </w:p>
    <w:bookmarkEnd w:id="24"/>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投标人需具有营业执照，经营许可范围具有活动策划、执行，广告设计、制作、发布等会议会展服务相关内容。</w:t>
      </w:r>
    </w:p>
    <w:bookmarkEnd w:id="18"/>
    <w:p>
      <w:pPr>
        <w:keepNext w:val="0"/>
        <w:keepLines w:val="0"/>
        <w:widowControl/>
        <w:suppressLineNumbers w:val="0"/>
        <w:spacing w:before="0" w:beforeAutospacing="0" w:after="0" w:afterAutospacing="0" w:line="480" w:lineRule="exact"/>
        <w:ind w:left="0" w:right="0" w:firstLine="480" w:firstLineChars="200"/>
        <w:jc w:val="left"/>
        <w:rPr>
          <w:rFonts w:hint="eastAsia" w:ascii="宋体" w:hAnsi="宋体" w:eastAsia="宋体" w:cs="宋体"/>
          <w:lang w:val="en-US"/>
        </w:rPr>
      </w:pPr>
      <w:bookmarkStart w:id="25" w:name="_Toc474603902"/>
      <w:bookmarkStart w:id="26" w:name="_Toc474504103"/>
      <w:bookmarkStart w:id="27" w:name="_Toc373860294"/>
      <w:r>
        <w:rPr>
          <w:rFonts w:hint="eastAsia" w:ascii="宋体" w:hAnsi="宋体" w:eastAsia="宋体" w:cs="宋体"/>
          <w:kern w:val="2"/>
          <w:sz w:val="24"/>
          <w:szCs w:val="24"/>
          <w:lang w:val="en-US" w:eastAsia="zh-CN" w:bidi="ar"/>
        </w:rPr>
        <w:t>注：以上所有资格条件均需提供复印件证明资料并加盖本单位鲜章。</w:t>
      </w:r>
    </w:p>
    <w:p>
      <w:pPr>
        <w:pStyle w:val="3"/>
        <w:widowControl/>
        <w:spacing w:before="48" w:beforeAutospacing="0" w:after="48" w:afterAutospacing="0"/>
        <w:ind w:left="0" w:right="0" w:firstLine="420"/>
        <w:rPr>
          <w:rFonts w:eastAsia="宋体"/>
          <w:b w:val="0"/>
          <w:lang w:val="en-US"/>
        </w:rPr>
      </w:pPr>
      <w:bookmarkStart w:id="28" w:name="_Toc20981"/>
      <w:r>
        <w:rPr>
          <w:rFonts w:eastAsia="宋体"/>
          <w:b w:val="0"/>
          <w:lang w:eastAsia="zh-CN"/>
        </w:rPr>
        <w:t>四、投标、比选有关说明</w:t>
      </w:r>
      <w:bookmarkEnd w:id="25"/>
      <w:bookmarkEnd w:id="26"/>
      <w:bookmarkEnd w:id="28"/>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凡有意参加投标的供应商，请在重庆市大足区鑫发建设集团有限公司官网网址(http://www.cqdz.gov.cn/xf)网上下载本项目招标文件以及补遗等开标前公布的所有项目资料，无论投标人下载与否，均视为已知晓所有招标内容。</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（二）招标文件公告期限：2022年7月20日起五个工作日；</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（三）报名及比选文件发售</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1.供应商须满足以下条件，其响应文件才被接收。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（1）提交投标保证金银行转账凭据（加盖投标人公章（鲜章））；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（2）递交“投标人保证金信息卡”（格式详见附件），内容填写完整，加盖公章（鲜章）；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（3）递交投标人银行基本账户“开户许可证”复印件加盖公章（鲜章），(如果没有开户许可证原件，就从银行系统打印一份单位基本账户复印件并加盖投标单位公章（鲜章））；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（4）凡有意参加投标的投标人，在投标现场递交响应文件时向采购人缴纳比选文件购买费用，缴纳报名费：500.00元/份（仅以现金方式缴纳，售后不退）；</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（5）法定代表人身份证明书或法定代表人授权委托书（格式详见附件），内容填写完整，加盖公章（鲜章）（查验原件）。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（6）按规定递交投标文件。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说明：如果本采购文件要求投标人提供相关原件，请将相关原件单独装袋并与投标文件同时递交。</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开标地点：重庆市大足区鑫发建设集团有限公司市场发展部招标室（重庆市大足区棠香街道棠凤路鑫发集团（昌州小学对面））。</w:t>
      </w:r>
    </w:p>
    <w:p>
      <w:pPr>
        <w:keepNext w:val="0"/>
        <w:keepLines w:val="0"/>
        <w:widowControl/>
        <w:suppressLineNumbers w:val="0"/>
        <w:spacing w:before="0" w:beforeAutospacing="0" w:after="0" w:afterAutospacing="0" w:line="48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（六）投标报名时间：2022年7月25日9:00至9:</w:t>
      </w:r>
      <w:bookmarkStart w:id="29" w:name="_Hlk56887151"/>
      <w:r>
        <w:rPr>
          <w:rFonts w:hint="eastAsia" w:ascii="宋体" w:hAnsi="宋体" w:eastAsia="宋体" w:cs="宋体"/>
          <w:kern w:val="2"/>
          <w:sz w:val="24"/>
          <w:szCs w:val="24"/>
          <w:lang w:val="en-US" w:eastAsia="zh-CN" w:bidi="ar"/>
        </w:rPr>
        <w:t>30（北京时间）</w:t>
      </w:r>
      <w:bookmarkEnd w:id="29"/>
    </w:p>
    <w:p>
      <w:pPr>
        <w:keepNext w:val="0"/>
        <w:keepLines w:val="0"/>
        <w:widowControl/>
        <w:suppressLineNumbers w:val="0"/>
        <w:spacing w:before="0" w:beforeAutospacing="0" w:after="0" w:afterAutospacing="0" w:line="48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（七）开标开始时间：2022年7月25日</w:t>
      </w:r>
      <w:bookmarkEnd w:id="27"/>
      <w:bookmarkStart w:id="30" w:name="_Toc474603909"/>
      <w:r>
        <w:rPr>
          <w:rFonts w:hint="eastAsia" w:ascii="宋体" w:hAnsi="宋体" w:eastAsia="宋体" w:cs="宋体"/>
          <w:kern w:val="2"/>
          <w:sz w:val="24"/>
          <w:szCs w:val="24"/>
          <w:lang w:val="en-US" w:eastAsia="zh-CN" w:bidi="ar"/>
        </w:rPr>
        <w:t>9:30（北京时间）</w:t>
      </w:r>
    </w:p>
    <w:p>
      <w:pPr>
        <w:keepNext w:val="0"/>
        <w:keepLines w:val="0"/>
        <w:widowControl/>
        <w:suppressLineNumbers w:val="0"/>
        <w:spacing w:before="0" w:beforeAutospacing="0" w:after="0" w:afterAutospacing="0" w:line="48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（八）投标保证金</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1.缴纳方式：由投标人的银行基本账户转账到以下账户：</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户  名：重庆市大足区鑫发建设集团有限公司</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开户行：中国建设银行股份有限公司大足支行</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账  号：50001144200050200546</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2.保证金到账时间及备注填写要求</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（1）到账时间要求</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本项目投标保证金的到账截止时间为投标前一天17：00（投标人在银行转账汇款时，须充分考虑转账汇款的时间差风险，如同城转账、异地转账或汇款、跨行转账或电汇的时间要求）。</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（2）备注填写要求</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投标人应在银行转账（汇款）凭证备注栏中注明</w:t>
      </w:r>
      <w:r>
        <w:rPr>
          <w:rFonts w:hint="eastAsia" w:ascii="宋体" w:hAnsi="宋体" w:eastAsia="宋体" w:cs="宋体"/>
          <w:kern w:val="2"/>
          <w:sz w:val="24"/>
          <w:szCs w:val="24"/>
          <w:u w:val="single"/>
          <w:lang w:val="en-US" w:eastAsia="zh-CN" w:bidi="ar"/>
        </w:rPr>
        <w:t xml:space="preserve"> 大足区第十二届荷棠文化旅游节策划执行项目（含实施及宣传）（项目名称）</w:t>
      </w:r>
      <w:r>
        <w:rPr>
          <w:rFonts w:hint="eastAsia" w:ascii="宋体" w:hAnsi="宋体" w:eastAsia="宋体" w:cs="宋体"/>
          <w:kern w:val="2"/>
          <w:sz w:val="24"/>
          <w:szCs w:val="24"/>
          <w:lang w:val="en-US" w:eastAsia="zh-CN" w:bidi="ar"/>
        </w:rPr>
        <w:t>保证金”，不按要求填写备注和缴纳保证金入指定账户而影响对其保证金到账认定和退还的，由投标人自行承担。</w:t>
      </w:r>
    </w:p>
    <w:p>
      <w:pPr>
        <w:keepNext w:val="0"/>
        <w:keepLines w:val="0"/>
        <w:widowControl/>
        <w:suppressLineNumbers w:val="0"/>
        <w:snapToGri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3.保证金退还方式</w:t>
      </w:r>
    </w:p>
    <w:p>
      <w:pPr>
        <w:keepNext w:val="0"/>
        <w:keepLines w:val="0"/>
        <w:widowControl/>
        <w:suppressLineNumbers w:val="0"/>
        <w:snapToGrid w:val="0"/>
        <w:spacing w:before="0" w:beforeAutospacing="0" w:after="0" w:afterAutospacing="0" w:line="38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（1）未成交供应商的保证金，在成交通知书发出后，由重庆市大足区鑫发建设集团有限公司退还至投标人的“开户许可证”基本账户上。</w:t>
      </w:r>
    </w:p>
    <w:p>
      <w:pPr>
        <w:keepNext w:val="0"/>
        <w:keepLines w:val="0"/>
        <w:widowControl/>
        <w:suppressLineNumbers w:val="0"/>
        <w:snapToGrid w:val="0"/>
        <w:spacing w:before="0" w:beforeAutospacing="0" w:after="0" w:afterAutospacing="0" w:line="38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（2）成交供应商的保证金，在成交供应商和采购人签订合同后，由重庆市大足区鑫发建设集团有限公司退还至投标人的“开户许可证”基本账户上。</w:t>
      </w:r>
    </w:p>
    <w:p>
      <w:pPr>
        <w:pStyle w:val="3"/>
        <w:widowControl/>
        <w:spacing w:before="48" w:beforeAutospacing="0" w:after="48" w:afterAutospacing="0"/>
        <w:ind w:left="0" w:right="0" w:firstLine="420"/>
        <w:rPr>
          <w:rFonts w:eastAsia="宋体"/>
          <w:b w:val="0"/>
          <w:lang w:val="en-US"/>
        </w:rPr>
      </w:pPr>
      <w:bookmarkStart w:id="31" w:name="_Toc509233084"/>
      <w:bookmarkStart w:id="32" w:name="_Toc497743616"/>
      <w:bookmarkStart w:id="33" w:name="_Toc497399417"/>
      <w:bookmarkStart w:id="34" w:name="_Toc14616"/>
      <w:r>
        <w:rPr>
          <w:rFonts w:eastAsia="宋体"/>
          <w:b w:val="0"/>
          <w:lang w:eastAsia="zh-CN"/>
        </w:rPr>
        <w:t>五、采购项目需落实的政府采购政策</w:t>
      </w:r>
      <w:bookmarkEnd w:id="31"/>
      <w:bookmarkEnd w:id="32"/>
      <w:bookmarkEnd w:id="33"/>
      <w:bookmarkEnd w:id="34"/>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（一）按照《财政部 生态环境部关于印发环境标志产品政府采购品目清单的通知》（财库〔2019〕18号）和《财政部 发展改革委关于印发节能产品政府采购品目清单的通知》（财库〔2019〕19号）的规定，落实国家节能环保政策。</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（二）按照&lt;财政部 工业和信息化部关于印发《政府采购促进中小企业发展暂行办法》的通知&gt;（财库〔2011〕181号）的规定，落实促进中小企业发展政策。</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（三）按照&lt;财政部、司法部关于政府采购支持监狱企业发展有关问题的通知&gt;（财库〔2014〕68号）的规定，落实支持监狱企业发展政策。</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（四）按照《三部门联合发布关于促进残疾人就业政府采购政策的通知》（财库〔2017〕 141号）的规定，落实支持残疾人福利性单位发展政策。</w:t>
      </w:r>
    </w:p>
    <w:p>
      <w:pPr>
        <w:pStyle w:val="3"/>
        <w:widowControl/>
        <w:spacing w:before="48" w:beforeAutospacing="0" w:after="48" w:afterAutospacing="0"/>
        <w:ind w:left="0" w:right="0" w:firstLine="420"/>
        <w:rPr>
          <w:rFonts w:eastAsia="宋体"/>
          <w:b w:val="0"/>
          <w:lang w:val="en-US"/>
        </w:rPr>
      </w:pPr>
      <w:bookmarkStart w:id="35" w:name="_Toc16010"/>
      <w:r>
        <w:rPr>
          <w:rFonts w:eastAsia="宋体"/>
          <w:b w:val="0"/>
          <w:lang w:eastAsia="zh-CN"/>
        </w:rPr>
        <w:t>六、</w:t>
      </w:r>
      <w:bookmarkEnd w:id="19"/>
      <w:r>
        <w:rPr>
          <w:rFonts w:eastAsia="宋体"/>
          <w:b w:val="0"/>
          <w:lang w:eastAsia="zh-CN"/>
        </w:rPr>
        <w:t>其它有关规定</w:t>
      </w:r>
      <w:bookmarkEnd w:id="30"/>
      <w:bookmarkEnd w:id="35"/>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（一）单位负责人为同一人或者存在直接控股、管理关系的不同供应商，不得参加同一合同项下的政府采购活动，否则均为无效响应。</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（二）为采购项目提供整体设计、规范编制或者项目管理、监理、检测等服务的供应商，不得再参加该采购项目的其他采购活动，否则均为无效响应。</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（三）本项目的补遗文件（如果有）一律以招标人发出的答疑及补遗书为准，无论供应商下载或领取与否，均视同供应商已知晓本项目补遗文件（如果有）的内容。</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（四）超过响应文件截止时间递交的响应文件，恕不接收。</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（五）</w:t>
      </w:r>
      <w:bookmarkStart w:id="36" w:name="_Hlk56889562"/>
      <w:r>
        <w:rPr>
          <w:rFonts w:hint="eastAsia" w:ascii="宋体" w:hAnsi="宋体" w:eastAsia="宋体" w:cs="宋体"/>
          <w:kern w:val="2"/>
          <w:sz w:val="24"/>
          <w:szCs w:val="24"/>
          <w:lang w:val="en-US" w:eastAsia="zh-CN" w:bidi="ar"/>
        </w:rPr>
        <w:t>比选</w:t>
      </w:r>
      <w:bookmarkEnd w:id="36"/>
      <w:r>
        <w:rPr>
          <w:rFonts w:hint="eastAsia" w:ascii="宋体" w:hAnsi="宋体" w:eastAsia="宋体" w:cs="宋体"/>
          <w:kern w:val="2"/>
          <w:sz w:val="24"/>
          <w:szCs w:val="24"/>
          <w:lang w:val="en-US" w:eastAsia="zh-CN" w:bidi="ar"/>
        </w:rPr>
        <w:t>费用：无论比选结果如何，供应商参与本项目比选的所有费用均应由供应商自行承担。</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（六）本项目不接受联合体参与比选。</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七）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pPr>
        <w:pStyle w:val="3"/>
        <w:widowControl/>
        <w:spacing w:before="48" w:beforeAutospacing="0" w:after="48" w:afterAutospacing="0"/>
        <w:ind w:left="0" w:right="0" w:firstLine="420"/>
        <w:rPr>
          <w:rFonts w:eastAsia="宋体"/>
          <w:b w:val="0"/>
          <w:lang w:val="en-US"/>
        </w:rPr>
      </w:pPr>
      <w:bookmarkStart w:id="37" w:name="_Toc18704"/>
      <w:r>
        <w:rPr>
          <w:rFonts w:eastAsia="宋体"/>
          <w:b w:val="0"/>
          <w:lang w:eastAsia="zh-CN"/>
        </w:rPr>
        <w:t>七、现场踏勘</w:t>
      </w:r>
      <w:bookmarkEnd w:id="37"/>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为减少相关误差，如潜在竞标人需要进行现场踏勘的，请自行组织实施。竞标人对考察中获取的现场资料负责，无论是否踏勘过现场，均被认为已经对现场做过充分详实了解，并在投标文件中已充分考虑了现场和环境因素。踏勘现场所发生的费用由竞标人自行承担。</w:t>
      </w:r>
    </w:p>
    <w:p>
      <w:pPr>
        <w:pStyle w:val="3"/>
        <w:widowControl/>
        <w:spacing w:before="48" w:beforeAutospacing="0" w:after="48" w:afterAutospacing="0"/>
        <w:ind w:left="0" w:right="0" w:firstLine="420"/>
        <w:rPr>
          <w:rFonts w:eastAsia="宋体"/>
          <w:b w:val="0"/>
          <w:sz w:val="24"/>
          <w:szCs w:val="21"/>
          <w:lang w:val="en-US"/>
        </w:rPr>
      </w:pPr>
      <w:bookmarkStart w:id="38" w:name="_Toc13978"/>
      <w:bookmarkStart w:id="39" w:name="_Toc474603910"/>
      <w:r>
        <w:rPr>
          <w:rFonts w:eastAsia="宋体"/>
          <w:b w:val="0"/>
          <w:lang w:eastAsia="zh-CN"/>
        </w:rPr>
        <w:t>八、联系方式</w:t>
      </w:r>
      <w:bookmarkEnd w:id="38"/>
      <w:bookmarkEnd w:id="39"/>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招   标   人：重庆市大足区鑫发建设集团有限公司</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地        址：重庆市大足区棠香街道棠凤路鑫发集团（昌州小学对面）</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联   系   人：王老师             李老师</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电        话：18908370916        023-43789228</w:t>
      </w: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color w:val="FF0000"/>
          <w:lang w:val="en-US"/>
        </w:rPr>
      </w:pPr>
    </w:p>
    <w:p>
      <w:pPr>
        <w:rPr>
          <w:rFonts w:hint="eastAsia" w:ascii="宋体" w:hAnsi="宋体" w:eastAsia="宋体" w:cs="Times New Roman"/>
          <w:color w:val="FF0000"/>
          <w:kern w:val="2"/>
          <w:sz w:val="24"/>
          <w:szCs w:val="24"/>
          <w:lang w:val="en-US" w:eastAsia="zh-CN" w:bidi="ar"/>
        </w:rPr>
        <w:sectPr>
          <w:pgSz w:w="11915" w:h="16840"/>
          <w:pgMar w:top="1135" w:right="1304" w:bottom="1135" w:left="1191" w:header="964" w:footer="992" w:gutter="0"/>
          <w:pgNumType w:fmt="numberInDash"/>
          <w:cols w:space="425" w:num="1"/>
          <w:docGrid w:type="lines" w:linePitch="312" w:charSpace="0"/>
        </w:sectPr>
      </w:pPr>
    </w:p>
    <w:p>
      <w:pPr>
        <w:pStyle w:val="2"/>
        <w:widowControl/>
        <w:spacing w:before="120" w:beforeAutospacing="0" w:after="120" w:afterAutospacing="0"/>
        <w:ind w:left="0" w:right="0" w:firstLine="640"/>
        <w:rPr>
          <w:rFonts w:hint="eastAsia" w:ascii="宋体" w:hAnsi="宋体" w:eastAsia="宋体" w:cs="宋体"/>
          <w:b w:val="0"/>
          <w:lang w:val="en-US"/>
        </w:rPr>
      </w:pPr>
      <w:bookmarkStart w:id="40" w:name="_Toc474603911"/>
      <w:bookmarkStart w:id="41" w:name="_Toc28053"/>
      <w:r>
        <w:rPr>
          <w:rFonts w:hint="eastAsia" w:ascii="宋体" w:hAnsi="宋体" w:eastAsia="宋体" w:cs="宋体"/>
          <w:b w:val="0"/>
          <w:lang w:eastAsia="zh-CN"/>
        </w:rPr>
        <w:t>第二篇</w:t>
      </w:r>
      <w:r>
        <w:rPr>
          <w:rFonts w:hint="eastAsia" w:ascii="宋体" w:hAnsi="宋体" w:eastAsia="宋体" w:cs="宋体"/>
          <w:b w:val="0"/>
          <w:lang w:val="en-US"/>
        </w:rPr>
        <w:t xml:space="preserve">  </w:t>
      </w:r>
      <w:bookmarkEnd w:id="40"/>
      <w:r>
        <w:rPr>
          <w:rFonts w:hint="eastAsia" w:ascii="宋体" w:hAnsi="宋体" w:eastAsia="宋体" w:cs="宋体"/>
          <w:b w:val="0"/>
          <w:lang w:eastAsia="zh-CN"/>
        </w:rPr>
        <w:t>项目服务需求</w:t>
      </w:r>
      <w:bookmarkEnd w:id="41"/>
    </w:p>
    <w:p>
      <w:pPr>
        <w:pStyle w:val="3"/>
        <w:widowControl/>
        <w:numPr>
          <w:ilvl w:val="0"/>
          <w:numId w:val="1"/>
        </w:numPr>
        <w:spacing w:before="48" w:beforeAutospacing="0" w:after="48" w:afterAutospacing="0"/>
        <w:ind w:left="1142" w:right="0" w:hanging="720" w:firstLineChars="0"/>
        <w:rPr>
          <w:rFonts w:eastAsia="宋体"/>
          <w:b w:val="0"/>
          <w:lang w:val="en-US"/>
        </w:rPr>
      </w:pPr>
      <w:bookmarkStart w:id="42" w:name="_Toc5386"/>
      <w:bookmarkStart w:id="43" w:name="_Toc12789058"/>
      <w:bookmarkStart w:id="44" w:name="_Toc474603914"/>
      <w:r>
        <w:rPr>
          <w:rFonts w:eastAsia="宋体"/>
          <w:b w:val="0"/>
          <w:lang w:eastAsia="zh-CN"/>
        </w:rPr>
        <w:t>项目设计要求</w:t>
      </w:r>
      <w:bookmarkEnd w:id="42"/>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kern w:val="2"/>
          <w:sz w:val="24"/>
          <w:szCs w:val="24"/>
          <w:lang w:val="en-US" w:eastAsia="zh-CN" w:bidi="ar"/>
        </w:rPr>
      </w:pPr>
      <w:r>
        <w:rPr>
          <w:rFonts w:hint="eastAsia" w:ascii="宋体" w:hAnsi="宋体" w:eastAsia="宋体" w:cs="宋体"/>
          <w:b w:val="0"/>
          <w:color w:val="auto"/>
          <w:kern w:val="2"/>
          <w:sz w:val="24"/>
          <w:szCs w:val="24"/>
          <w:lang w:val="en-US" w:eastAsia="zh-CN" w:bidi="ar"/>
        </w:rPr>
        <w:t>我区已连续举办十一届荷棠文化旅游节，通过活动的宣传，大足荷花和海棠闻名全国，为进一步提升大足荷棠产业的知名度和美誉度，围绕</w:t>
      </w:r>
      <w:r>
        <w:rPr>
          <w:rFonts w:hint="default" w:ascii="宋体" w:hAnsi="宋体" w:eastAsia="宋体" w:cs="宋体"/>
          <w:b w:val="0"/>
          <w:color w:val="auto"/>
          <w:kern w:val="2"/>
          <w:sz w:val="24"/>
          <w:szCs w:val="24"/>
          <w:lang w:val="en-US" w:eastAsia="zh-CN" w:bidi="ar"/>
        </w:rPr>
        <w:t>“天下大足·醉美乡村”主题</w:t>
      </w:r>
      <w:r>
        <w:rPr>
          <w:rFonts w:hint="eastAsia" w:ascii="宋体" w:hAnsi="宋体" w:eastAsia="宋体" w:cs="宋体"/>
          <w:b w:val="0"/>
          <w:color w:val="auto"/>
          <w:kern w:val="2"/>
          <w:sz w:val="24"/>
          <w:szCs w:val="24"/>
          <w:lang w:val="en-US" w:eastAsia="zh-CN" w:bidi="ar"/>
        </w:rPr>
        <w:t>和</w:t>
      </w:r>
      <w:r>
        <w:rPr>
          <w:rFonts w:hint="default" w:ascii="宋体" w:hAnsi="宋体" w:eastAsia="宋体" w:cs="宋体"/>
          <w:b w:val="0"/>
          <w:color w:val="auto"/>
          <w:kern w:val="2"/>
          <w:sz w:val="24"/>
          <w:szCs w:val="24"/>
          <w:lang w:val="en-US" w:eastAsia="zh-CN" w:bidi="ar"/>
        </w:rPr>
        <w:t>做靓享誉世界的文化会客厅</w:t>
      </w:r>
      <w:r>
        <w:rPr>
          <w:rFonts w:hint="eastAsia" w:ascii="宋体" w:hAnsi="宋体" w:eastAsia="宋体" w:cs="宋体"/>
          <w:b w:val="0"/>
          <w:color w:val="auto"/>
          <w:kern w:val="2"/>
          <w:sz w:val="24"/>
          <w:szCs w:val="24"/>
          <w:lang w:val="en-US" w:eastAsia="zh-CN" w:bidi="ar"/>
        </w:rPr>
        <w:t>要求</w:t>
      </w:r>
      <w:r>
        <w:rPr>
          <w:rFonts w:hint="default" w:ascii="宋体" w:hAnsi="宋体" w:eastAsia="宋体" w:cs="宋体"/>
          <w:b w:val="0"/>
          <w:color w:val="auto"/>
          <w:kern w:val="2"/>
          <w:sz w:val="24"/>
          <w:szCs w:val="24"/>
          <w:lang w:val="en-US" w:eastAsia="zh-CN" w:bidi="ar"/>
        </w:rPr>
        <w:t>，</w:t>
      </w:r>
      <w:r>
        <w:rPr>
          <w:rFonts w:hint="eastAsia" w:ascii="宋体" w:hAnsi="宋体" w:eastAsia="宋体" w:cs="宋体"/>
          <w:color w:val="auto"/>
          <w:kern w:val="2"/>
          <w:sz w:val="24"/>
          <w:szCs w:val="24"/>
          <w:lang w:val="en-US" w:eastAsia="zh-CN" w:bidi="ar"/>
        </w:rPr>
        <w:t>延续和借鉴往年举办荷棠文化旅游节经验，结合如梦荷棠·山湾时光乡村振兴示范项目，农旅文商结合，一二三产业融合发展的要求，策划品效合一的节会方案，为如梦荷棠·山湾时光项目引流、造势，提升大足荷棠</w:t>
      </w:r>
      <w:r>
        <w:rPr>
          <w:rFonts w:hint="eastAsia" w:ascii="宋体" w:hAnsi="宋体" w:eastAsia="宋体" w:cs="宋体"/>
          <w:kern w:val="2"/>
          <w:sz w:val="24"/>
          <w:szCs w:val="24"/>
          <w:lang w:val="en-US" w:eastAsia="zh-CN" w:bidi="ar"/>
        </w:rPr>
        <w:t>产业知名度和美誉度。</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各企业根据实际情况，对项目进行策划设计和整个执行（包括并不限于整个活动的方案策划、线上线下执行及宣传推广、保安、本次活动购买意外保险（如有意外发生每人保险伤残、身故100万元以上）等）；</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安全事故责任由中标人负责。</w:t>
      </w:r>
    </w:p>
    <w:p>
      <w:pPr>
        <w:pStyle w:val="3"/>
        <w:widowControl/>
        <w:numPr>
          <w:ilvl w:val="0"/>
          <w:numId w:val="2"/>
        </w:numPr>
        <w:spacing w:before="48" w:beforeAutospacing="0" w:after="48" w:afterAutospacing="0"/>
        <w:ind w:left="0" w:right="0" w:firstLine="420"/>
        <w:rPr>
          <w:rFonts w:eastAsia="宋体"/>
          <w:b w:val="0"/>
          <w:sz w:val="32"/>
          <w:szCs w:val="32"/>
          <w:lang w:val="en-US"/>
        </w:rPr>
      </w:pPr>
      <w:r>
        <w:rPr>
          <w:rFonts w:eastAsia="宋体"/>
          <w:b w:val="0"/>
          <w:lang w:eastAsia="zh-CN"/>
        </w:rPr>
        <w:t>项目实施要求</w:t>
      </w:r>
    </w:p>
    <w:p>
      <w:pPr>
        <w:keepNext w:val="0"/>
        <w:keepLines w:val="0"/>
        <w:widowControl/>
        <w:numPr>
          <w:ilvl w:val="0"/>
          <w:numId w:val="3"/>
        </w:numPr>
        <w:suppressLineNumbers w:val="0"/>
        <w:spacing w:before="0" w:beforeAutospacing="0" w:after="0" w:afterAutospacing="0" w:line="320" w:lineRule="exact"/>
        <w:ind w:left="900" w:right="0" w:hanging="420" w:firstLineChars="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活动时间：暂定7月底8月初</w:t>
      </w:r>
    </w:p>
    <w:p>
      <w:pPr>
        <w:keepNext w:val="0"/>
        <w:keepLines w:val="0"/>
        <w:widowControl/>
        <w:numPr>
          <w:ilvl w:val="0"/>
          <w:numId w:val="3"/>
        </w:numPr>
        <w:suppressLineNumbers w:val="0"/>
        <w:spacing w:before="0" w:beforeAutospacing="0" w:after="0" w:afterAutospacing="0" w:line="320" w:lineRule="exact"/>
        <w:ind w:left="900" w:right="0" w:hanging="420" w:firstLineChars="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活动地点：棠香街道五星社区如梦荷棠·山湾时光项目处</w:t>
      </w:r>
    </w:p>
    <w:p>
      <w:pPr>
        <w:keepNext w:val="0"/>
        <w:keepLines w:val="0"/>
        <w:widowControl/>
        <w:numPr>
          <w:ilvl w:val="0"/>
          <w:numId w:val="3"/>
        </w:numPr>
        <w:suppressLineNumbers w:val="0"/>
        <w:spacing w:before="0" w:beforeAutospacing="0" w:after="0" w:afterAutospacing="0" w:line="320" w:lineRule="exact"/>
        <w:ind w:left="900" w:right="0" w:hanging="420" w:firstLineChars="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活动内容（包括但不限于）：</w:t>
      </w:r>
    </w:p>
    <w:p>
      <w:pPr>
        <w:keepNext w:val="0"/>
        <w:keepLines w:val="0"/>
        <w:widowControl/>
        <w:numPr>
          <w:ilvl w:val="1"/>
          <w:numId w:val="3"/>
        </w:numPr>
        <w:suppressLineNumbers w:val="0"/>
        <w:spacing w:before="0" w:beforeAutospacing="0" w:after="0" w:afterAutospacing="0" w:line="320" w:lineRule="exact"/>
        <w:ind w:left="1320" w:right="0" w:hanging="420" w:firstLineChars="0"/>
        <w:jc w:val="left"/>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线下实体活动内容覆盖2天</w:t>
      </w:r>
      <w:r>
        <w:rPr>
          <w:rFonts w:hint="default" w:ascii="宋体" w:hAnsi="宋体" w:eastAsia="宋体" w:cs="宋体"/>
          <w:kern w:val="2"/>
          <w:sz w:val="24"/>
          <w:szCs w:val="24"/>
          <w:lang w:val="en-US" w:eastAsia="zh-CN" w:bidi="ar"/>
        </w:rPr>
        <w:t>，线上活动宣传原则</w:t>
      </w:r>
      <w:r>
        <w:rPr>
          <w:rFonts w:hint="eastAsia" w:ascii="宋体" w:hAnsi="宋体" w:eastAsia="宋体" w:cs="宋体"/>
          <w:kern w:val="2"/>
          <w:sz w:val="24"/>
          <w:szCs w:val="24"/>
          <w:lang w:val="en-US" w:eastAsia="zh-CN" w:bidi="ar"/>
        </w:rPr>
        <w:t>10</w:t>
      </w:r>
      <w:r>
        <w:rPr>
          <w:rFonts w:hint="default" w:ascii="宋体" w:hAnsi="宋体" w:eastAsia="宋体" w:cs="宋体"/>
          <w:kern w:val="2"/>
          <w:sz w:val="24"/>
          <w:szCs w:val="24"/>
          <w:lang w:val="en-US" w:eastAsia="zh-CN" w:bidi="ar"/>
        </w:rPr>
        <w:t>天；</w:t>
      </w:r>
    </w:p>
    <w:p>
      <w:pPr>
        <w:keepNext w:val="0"/>
        <w:keepLines w:val="0"/>
        <w:widowControl/>
        <w:numPr>
          <w:ilvl w:val="1"/>
          <w:numId w:val="3"/>
        </w:numPr>
        <w:suppressLineNumbers w:val="0"/>
        <w:spacing w:before="0" w:beforeAutospacing="0" w:after="0" w:afterAutospacing="0" w:line="320" w:lineRule="exact"/>
        <w:ind w:left="1320" w:right="0" w:hanging="420" w:firstLineChars="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大足区第十二届荷棠文化旅游节启动仪式</w:t>
      </w:r>
      <w:r>
        <w:rPr>
          <w:rFonts w:hint="default" w:ascii="宋体" w:hAnsi="宋体" w:eastAsia="仿宋_GB2312" w:cs="宋体"/>
          <w:kern w:val="2"/>
          <w:sz w:val="24"/>
          <w:szCs w:val="24"/>
          <w:lang w:val="en-US" w:eastAsia="zh-CN" w:bidi="ar"/>
        </w:rPr>
        <w:t>；</w:t>
      </w:r>
    </w:p>
    <w:p>
      <w:pPr>
        <w:pStyle w:val="4"/>
        <w:widowControl/>
        <w:numPr>
          <w:ilvl w:val="1"/>
          <w:numId w:val="3"/>
        </w:numPr>
        <w:spacing w:before="48" w:beforeLines="20" w:beforeAutospacing="0" w:after="48" w:afterLines="20" w:afterAutospacing="0" w:line="380" w:lineRule="exact"/>
        <w:ind w:left="1320" w:right="0" w:hanging="420" w:firstLineChars="0"/>
        <w:rPr>
          <w:rFonts w:hint="eastAsia" w:ascii="宋体" w:hAnsi="宋体" w:eastAsia="宋体" w:cs="宋体"/>
          <w:b w:val="0"/>
          <w:color w:val="auto"/>
          <w:sz w:val="24"/>
          <w:szCs w:val="24"/>
          <w:lang w:val="en-US" w:eastAsia="zh-CN"/>
        </w:rPr>
      </w:pPr>
      <w:r>
        <w:rPr>
          <w:rFonts w:hint="eastAsia" w:ascii="宋体" w:hAnsi="宋体" w:eastAsia="宋体" w:cs="宋体"/>
          <w:b w:val="0"/>
          <w:bCs/>
          <w:kern w:val="2"/>
          <w:sz w:val="24"/>
          <w:szCs w:val="24"/>
          <w:lang w:val="en-US" w:eastAsia="zh-CN" w:bidi="ar"/>
        </w:rPr>
        <w:t>基于荷棠文化旅游节和大足如梦荷棠乡村振兴示范项目的央级、市级、区县和</w:t>
      </w:r>
      <w:r>
        <w:rPr>
          <w:rFonts w:hint="eastAsia" w:ascii="宋体" w:hAnsi="宋体" w:eastAsia="宋体" w:cs="宋体"/>
          <w:b w:val="0"/>
          <w:color w:val="auto"/>
          <w:sz w:val="24"/>
          <w:szCs w:val="24"/>
          <w:lang w:val="en-US" w:eastAsia="zh-CN"/>
        </w:rPr>
        <w:t>乡镇级线上传播</w:t>
      </w:r>
      <w:r>
        <w:rPr>
          <w:rFonts w:hint="default" w:ascii="宋体" w:hAnsi="宋体" w:eastAsia="宋体" w:cs="宋体"/>
          <w:b w:val="0"/>
          <w:color w:val="auto"/>
          <w:sz w:val="24"/>
          <w:szCs w:val="24"/>
          <w:lang w:val="en-US" w:eastAsia="zh-CN"/>
        </w:rPr>
        <w:t>……</w:t>
      </w:r>
    </w:p>
    <w:p>
      <w:pPr>
        <w:pStyle w:val="4"/>
        <w:widowControl/>
        <w:numPr>
          <w:ilvl w:val="1"/>
          <w:numId w:val="3"/>
        </w:numPr>
        <w:spacing w:before="48" w:beforeLines="20" w:beforeAutospacing="0" w:after="48" w:afterLines="20" w:afterAutospacing="0" w:line="380" w:lineRule="exact"/>
        <w:ind w:left="1320" w:right="0" w:hanging="420" w:firstLineChars="0"/>
        <w:rPr>
          <w:rFonts w:hint="default" w:ascii="宋体" w:hAnsi="宋体" w:eastAsia="宋体" w:cs="宋体"/>
          <w:b w:val="0"/>
          <w:bCs/>
          <w:sz w:val="24"/>
          <w:szCs w:val="24"/>
          <w:lang w:val="en-US" w:eastAsia="zh-CN"/>
        </w:rPr>
      </w:pPr>
      <w:r>
        <w:rPr>
          <w:rFonts w:hint="eastAsia" w:ascii="宋体" w:hAnsi="宋体" w:eastAsia="宋体" w:cs="宋体"/>
          <w:b w:val="0"/>
          <w:color w:val="auto"/>
          <w:sz w:val="24"/>
          <w:szCs w:val="24"/>
          <w:lang w:val="en-US" w:eastAsia="zh-CN"/>
        </w:rPr>
        <w:t>各投标人自行策划与荷棠文化旅游节相应的</w:t>
      </w:r>
      <w:r>
        <w:rPr>
          <w:rFonts w:hint="eastAsia" w:ascii="宋体" w:hAnsi="宋体" w:eastAsia="宋体" w:cs="宋体"/>
          <w:b w:val="0"/>
          <w:bCs/>
          <w:color w:val="auto"/>
          <w:kern w:val="2"/>
          <w:sz w:val="24"/>
          <w:szCs w:val="24"/>
          <w:lang w:val="en-US" w:eastAsia="zh-CN" w:bidi="ar"/>
        </w:rPr>
        <w:t>农旅文商结合，一二三产业融合发展</w:t>
      </w:r>
      <w:r>
        <w:rPr>
          <w:rFonts w:hint="eastAsia" w:ascii="宋体" w:hAnsi="宋体" w:eastAsia="宋体" w:cs="宋体"/>
          <w:b w:val="0"/>
          <w:bCs/>
          <w:color w:val="auto"/>
          <w:sz w:val="24"/>
          <w:szCs w:val="24"/>
          <w:lang w:val="en-US" w:eastAsia="zh-CN"/>
        </w:rPr>
        <w:t>活动（2个以上</w:t>
      </w:r>
      <w:r>
        <w:rPr>
          <w:rFonts w:hint="eastAsia" w:ascii="宋体" w:hAnsi="宋体" w:eastAsia="宋体" w:cs="宋体"/>
          <w:b w:val="0"/>
          <w:bCs/>
          <w:sz w:val="24"/>
          <w:szCs w:val="24"/>
          <w:lang w:val="en-US" w:eastAsia="zh-CN"/>
        </w:rPr>
        <w:t>）。</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sz w:val="24"/>
          <w:szCs w:val="24"/>
          <w:lang w:val="en-US" w:eastAsia="zh-CN"/>
        </w:rPr>
      </w:pPr>
      <w:r>
        <w:rPr>
          <w:rFonts w:hint="eastAsia" w:ascii="宋体" w:hAnsi="宋体" w:eastAsia="宋体" w:cs="宋体"/>
          <w:b w:val="0"/>
          <w:sz w:val="24"/>
          <w:szCs w:val="24"/>
          <w:lang w:val="en-US" w:eastAsia="zh-CN"/>
        </w:rPr>
        <w:t>4.各投标人就以上要求在投标文件中列出每一项的报价清单。</w:t>
      </w:r>
    </w:p>
    <w:p>
      <w:pPr>
        <w:keepNext w:val="0"/>
        <w:keepLines w:val="0"/>
        <w:widowControl/>
        <w:suppressLineNumbers w:val="0"/>
        <w:spacing w:before="0" w:beforeAutospacing="0" w:after="0" w:afterAutospacing="0" w:line="320" w:lineRule="exact"/>
        <w:ind w:left="0" w:right="0" w:firstLine="600" w:firstLineChars="200"/>
        <w:jc w:val="left"/>
        <w:rPr>
          <w:rFonts w:hint="eastAsia" w:ascii="宋体" w:hAnsi="宋体" w:eastAsia="宋体" w:cs="宋体"/>
          <w:sz w:val="30"/>
          <w:szCs w:val="24"/>
          <w:lang w:val="en-US"/>
        </w:rPr>
      </w:pPr>
      <w:bookmarkStart w:id="45" w:name="_Toc7978"/>
      <w:r>
        <w:rPr>
          <w:rFonts w:hint="eastAsia" w:ascii="宋体" w:hAnsi="宋体" w:eastAsia="宋体" w:cs="宋体"/>
          <w:kern w:val="2"/>
          <w:sz w:val="30"/>
          <w:szCs w:val="24"/>
          <w:lang w:val="en-US" w:eastAsia="zh-CN" w:bidi="ar"/>
        </w:rPr>
        <w:t>三、其他要求</w:t>
      </w:r>
      <w:bookmarkEnd w:id="45"/>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（一）中标承包商全权负责设计、施工、宣传的安全和知识产权侵权责任。特装整体质量保证从初验后至活动举办结束和活动现场清理完毕止。</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（二）中标单位在签订合同后3日历天内提供策划方案、效果图、平面图、结构图、电路图、现场布置等一切资料。</w:t>
      </w:r>
    </w:p>
    <w:p>
      <w:pPr>
        <w:pStyle w:val="4"/>
        <w:widowControl/>
        <w:spacing w:before="48" w:beforeAutospacing="0" w:after="48" w:afterAutospacing="0"/>
        <w:ind w:left="0" w:right="0" w:firstLine="0" w:firstLineChars="0"/>
        <w:rPr>
          <w:rFonts w:hint="eastAsia" w:ascii="宋体" w:hAnsi="宋体" w:eastAsia="宋体" w:cs="宋体"/>
          <w:b w:val="0"/>
          <w:lang w:val="en-US"/>
        </w:rPr>
      </w:pPr>
      <w:bookmarkStart w:id="46" w:name="_Toc792"/>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r>
        <w:rPr>
          <w:rFonts w:hint="eastAsia" w:ascii="宋体" w:hAnsi="宋体" w:eastAsia="宋体" w:cs="宋体"/>
          <w:b w:val="0"/>
          <w:lang w:eastAsia="zh-CN"/>
        </w:rPr>
        <w:t>第三篇</w:t>
      </w:r>
      <w:r>
        <w:rPr>
          <w:rFonts w:hint="eastAsia" w:ascii="宋体" w:hAnsi="宋体" w:eastAsia="宋体" w:cs="宋体"/>
          <w:b w:val="0"/>
          <w:lang w:val="en-US"/>
        </w:rPr>
        <w:t xml:space="preserve">  </w:t>
      </w:r>
      <w:bookmarkEnd w:id="43"/>
      <w:bookmarkEnd w:id="44"/>
      <w:r>
        <w:rPr>
          <w:rFonts w:hint="eastAsia" w:ascii="宋体" w:hAnsi="宋体" w:eastAsia="宋体" w:cs="宋体"/>
          <w:b w:val="0"/>
          <w:lang w:eastAsia="zh-CN"/>
        </w:rPr>
        <w:t>项目商务需求</w:t>
      </w:r>
      <w:bookmarkEnd w:id="46"/>
    </w:p>
    <w:p>
      <w:pPr>
        <w:pStyle w:val="3"/>
        <w:widowControl/>
        <w:spacing w:before="48" w:beforeAutospacing="0" w:after="48" w:afterAutospacing="0"/>
        <w:ind w:left="0" w:right="0" w:firstLine="420"/>
        <w:rPr>
          <w:rFonts w:eastAsia="宋体"/>
          <w:b w:val="0"/>
          <w:lang w:val="en-US"/>
        </w:rPr>
      </w:pPr>
      <w:bookmarkStart w:id="47" w:name="_Toc27786"/>
      <w:bookmarkStart w:id="48" w:name="_Toc474603915"/>
      <w:bookmarkStart w:id="49" w:name="_Toc28732"/>
      <w:bookmarkStart w:id="50" w:name="_Toc344475120"/>
      <w:bookmarkStart w:id="51" w:name="_Toc344475121"/>
      <w:bookmarkStart w:id="52" w:name="_Toc474603916"/>
      <w:r>
        <w:rPr>
          <w:rFonts w:eastAsia="宋体"/>
          <w:b w:val="0"/>
          <w:lang w:eastAsia="zh-CN"/>
        </w:rPr>
        <w:t>一、服务时间、地点及验收方式</w:t>
      </w:r>
      <w:bookmarkEnd w:id="47"/>
      <w:bookmarkEnd w:id="48"/>
      <w:bookmarkEnd w:id="49"/>
      <w:bookmarkEnd w:id="50"/>
    </w:p>
    <w:p>
      <w:pPr>
        <w:pStyle w:val="4"/>
        <w:widowControl/>
        <w:spacing w:before="48" w:beforeAutospacing="0" w:after="48" w:afterAutospacing="0"/>
        <w:ind w:left="0" w:right="0" w:firstLine="640"/>
        <w:rPr>
          <w:rFonts w:hint="eastAsia" w:ascii="宋体" w:hAnsi="宋体" w:eastAsia="宋体" w:cs="宋体"/>
          <w:b w:val="0"/>
          <w:lang w:val="en-US"/>
        </w:rPr>
      </w:pPr>
      <w:r>
        <w:rPr>
          <w:rFonts w:hint="eastAsia" w:ascii="宋体" w:hAnsi="宋体" w:eastAsia="宋体" w:cs="宋体"/>
          <w:b w:val="0"/>
          <w:lang w:eastAsia="zh-CN"/>
        </w:rPr>
        <w:t>（一）服务时间</w:t>
      </w:r>
    </w:p>
    <w:p>
      <w:pPr>
        <w:keepNext w:val="0"/>
        <w:keepLines w:val="0"/>
        <w:widowControl/>
        <w:suppressLineNumbers w:val="0"/>
        <w:spacing w:before="0" w:beforeAutospacing="0" w:after="0" w:afterAutospacing="0" w:line="320" w:lineRule="exact"/>
        <w:ind w:left="0" w:right="0" w:firstLine="480" w:firstLineChars="200"/>
        <w:jc w:val="left"/>
        <w:rPr>
          <w:rFonts w:hint="default" w:ascii="宋体" w:hAnsi="宋体" w:eastAsia="宋体" w:cs="宋体"/>
          <w:lang w:val="en-US"/>
        </w:rPr>
      </w:pPr>
      <w:r>
        <w:rPr>
          <w:rFonts w:hint="eastAsia" w:ascii="宋体" w:hAnsi="宋体" w:eastAsia="宋体" w:cs="宋体"/>
          <w:kern w:val="2"/>
          <w:sz w:val="24"/>
          <w:szCs w:val="24"/>
          <w:lang w:val="en-US" w:eastAsia="zh-CN" w:bidi="ar"/>
        </w:rPr>
        <w:t>活动时间暂定7月底8月初</w:t>
      </w:r>
    </w:p>
    <w:p>
      <w:pPr>
        <w:pStyle w:val="4"/>
        <w:widowControl/>
        <w:spacing w:before="48" w:beforeAutospacing="0" w:after="48" w:afterAutospacing="0"/>
        <w:ind w:left="0" w:right="0" w:firstLine="640"/>
        <w:rPr>
          <w:rFonts w:hint="eastAsia" w:ascii="宋体" w:hAnsi="宋体" w:eastAsia="宋体" w:cs="宋体"/>
          <w:b w:val="0"/>
          <w:lang w:val="en-US"/>
        </w:rPr>
      </w:pPr>
      <w:r>
        <w:rPr>
          <w:rFonts w:hint="eastAsia" w:ascii="宋体" w:hAnsi="宋体" w:eastAsia="宋体" w:cs="宋体"/>
          <w:b w:val="0"/>
          <w:lang w:eastAsia="zh-CN"/>
        </w:rPr>
        <w:t>（二）服务地点</w:t>
      </w:r>
    </w:p>
    <w:p>
      <w:pPr>
        <w:pStyle w:val="3"/>
        <w:widowControl/>
        <w:spacing w:before="48" w:beforeAutospacing="0" w:after="48" w:afterAutospacing="0"/>
        <w:ind w:left="0" w:right="0" w:firstLine="336"/>
        <w:rPr>
          <w:rFonts w:eastAsia="宋体" w:cs="宋体"/>
          <w:b w:val="0"/>
          <w:sz w:val="24"/>
          <w:szCs w:val="24"/>
          <w:lang w:val="en-US"/>
        </w:rPr>
      </w:pPr>
      <w:bookmarkStart w:id="53" w:name="_Toc22329"/>
      <w:r>
        <w:rPr>
          <w:rFonts w:eastAsia="宋体" w:cs="宋体"/>
          <w:b w:val="0"/>
          <w:sz w:val="24"/>
          <w:szCs w:val="24"/>
          <w:lang w:eastAsia="zh-CN"/>
        </w:rPr>
        <w:t>棠香街道五星社区</w:t>
      </w:r>
      <w:r>
        <w:rPr>
          <w:rFonts w:hint="eastAsia" w:eastAsia="宋体" w:cs="宋体"/>
          <w:b w:val="0"/>
          <w:sz w:val="24"/>
          <w:szCs w:val="24"/>
          <w:lang w:eastAsia="zh-CN"/>
        </w:rPr>
        <w:t>如梦</w:t>
      </w:r>
      <w:r>
        <w:rPr>
          <w:rFonts w:eastAsia="宋体" w:cs="宋体"/>
          <w:b w:val="0"/>
          <w:sz w:val="24"/>
          <w:szCs w:val="24"/>
          <w:lang w:eastAsia="zh-CN"/>
        </w:rPr>
        <w:t>荷棠·山湾时光千手禅乡项目处</w:t>
      </w:r>
    </w:p>
    <w:p>
      <w:pPr>
        <w:pStyle w:val="3"/>
        <w:widowControl/>
        <w:spacing w:before="48" w:beforeAutospacing="0" w:after="48" w:afterAutospacing="0"/>
        <w:ind w:left="0" w:right="0" w:firstLine="420"/>
        <w:rPr>
          <w:rFonts w:eastAsia="宋体"/>
          <w:b w:val="0"/>
          <w:lang w:val="en-US"/>
        </w:rPr>
      </w:pPr>
      <w:r>
        <w:rPr>
          <w:rFonts w:eastAsia="宋体"/>
          <w:b w:val="0"/>
          <w:lang w:eastAsia="zh-CN"/>
        </w:rPr>
        <w:t>二、</w:t>
      </w:r>
      <w:bookmarkEnd w:id="51"/>
      <w:r>
        <w:rPr>
          <w:rFonts w:eastAsia="宋体"/>
          <w:b w:val="0"/>
          <w:lang w:eastAsia="zh-CN"/>
        </w:rPr>
        <w:t>报价要求</w:t>
      </w:r>
      <w:bookmarkEnd w:id="52"/>
      <w:bookmarkEnd w:id="53"/>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54" w:name="_Toc509233094"/>
      <w:bookmarkStart w:id="55" w:name="_Toc344475122"/>
      <w:bookmarkStart w:id="56" w:name="_Toc474603921"/>
      <w:r>
        <w:rPr>
          <w:rFonts w:hint="eastAsia" w:ascii="宋体" w:hAnsi="宋体" w:eastAsia="宋体" w:cs="宋体"/>
          <w:kern w:val="2"/>
          <w:sz w:val="24"/>
          <w:szCs w:val="24"/>
          <w:lang w:val="en-US" w:eastAsia="zh-CN" w:bidi="ar"/>
        </w:rPr>
        <w:t>本次报价为人民币报价，报价包括完成本项目所需的全部成本、税费、利润等的总和。因成交供应商自身原因造成漏报、少报皆由其自行承担责任，采购人不再补偿。</w:t>
      </w:r>
    </w:p>
    <w:bookmarkEnd w:id="54"/>
    <w:p>
      <w:pPr>
        <w:pStyle w:val="3"/>
        <w:widowControl/>
        <w:spacing w:before="48" w:beforeAutospacing="0" w:after="48" w:afterAutospacing="0"/>
        <w:ind w:left="0" w:right="0" w:firstLine="420"/>
        <w:rPr>
          <w:rFonts w:eastAsia="宋体"/>
          <w:b w:val="0"/>
          <w:lang w:val="en-US"/>
        </w:rPr>
      </w:pPr>
      <w:bookmarkStart w:id="57" w:name="_Toc27507"/>
      <w:r>
        <w:rPr>
          <w:rFonts w:eastAsia="宋体"/>
          <w:b w:val="0"/>
          <w:lang w:eastAsia="zh-CN"/>
        </w:rPr>
        <w:t>三、付款方式</w:t>
      </w:r>
      <w:bookmarkEnd w:id="55"/>
      <w:bookmarkEnd w:id="56"/>
      <w:bookmarkEnd w:id="57"/>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58" w:name="_Toc344475123"/>
      <w:bookmarkStart w:id="59" w:name="_Toc474603922"/>
      <w:r>
        <w:rPr>
          <w:rFonts w:hint="eastAsia" w:ascii="宋体" w:hAnsi="宋体" w:eastAsia="宋体" w:cs="宋体"/>
          <w:kern w:val="2"/>
          <w:sz w:val="24"/>
          <w:szCs w:val="24"/>
          <w:lang w:val="en-US" w:eastAsia="zh-CN" w:bidi="ar"/>
        </w:rPr>
        <w:t>项目服务完成，活动成功举办结束后，无影响付款情况发生，乙方向甲方提供纸质（五份）和电子档结案报告书，并经审查合格后，乙方开具发票，采购人按照合同价款30个工作日内一次性支付。</w:t>
      </w:r>
    </w:p>
    <w:bookmarkEnd w:id="58"/>
    <w:bookmarkEnd w:id="59"/>
    <w:p>
      <w:pPr>
        <w:pStyle w:val="3"/>
        <w:widowControl/>
        <w:spacing w:before="48" w:beforeAutospacing="0" w:after="48" w:afterAutospacing="0"/>
        <w:ind w:left="294" w:leftChars="140" w:right="0" w:firstLine="0" w:firstLineChars="0"/>
        <w:rPr>
          <w:rFonts w:eastAsia="宋体"/>
          <w:b w:val="0"/>
          <w:lang w:val="en-US"/>
        </w:rPr>
      </w:pPr>
      <w:bookmarkStart w:id="60" w:name="_Toc474603924"/>
      <w:r>
        <w:rPr>
          <w:rFonts w:eastAsia="宋体"/>
          <w:b w:val="0"/>
          <w:lang w:eastAsia="zh-CN"/>
        </w:rPr>
        <w:t>四、履约保证金</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（一）缴纳金额：中标金额的10%。</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（二）缴纳方式：基本户银行转账方式缴纳。</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（三）缴纳账户名称：重庆市大足区鑫发建设集团有限公司</w:t>
      </w:r>
    </w:p>
    <w:p>
      <w:pPr>
        <w:keepNext w:val="0"/>
        <w:keepLines w:val="0"/>
        <w:widowControl/>
        <w:suppressLineNumbers w:val="0"/>
        <w:spacing w:before="0" w:beforeAutospacing="0" w:after="0" w:afterAutospacing="0" w:line="320" w:lineRule="exact"/>
        <w:ind w:left="0" w:right="0" w:firstLine="1200" w:firstLineChars="5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开 户 银 行：中国建设银行股份有限公司大足支行</w:t>
      </w:r>
    </w:p>
    <w:p>
      <w:pPr>
        <w:keepNext w:val="0"/>
        <w:keepLines w:val="0"/>
        <w:widowControl/>
        <w:suppressLineNumbers w:val="0"/>
        <w:spacing w:before="0" w:beforeAutospacing="0" w:after="0" w:afterAutospacing="0" w:line="320" w:lineRule="exact"/>
        <w:ind w:left="0" w:right="0" w:firstLine="1200" w:firstLineChars="5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账       号：50001144200050200546</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（四）退还方式：项目履约结束，验收合格后退还至投标人 “开户许可证”的基本账户上。</w:t>
      </w:r>
    </w:p>
    <w:p>
      <w:pPr>
        <w:pStyle w:val="3"/>
        <w:widowControl/>
        <w:spacing w:before="48" w:beforeAutospacing="0" w:after="48" w:afterAutospacing="0"/>
        <w:ind w:left="0" w:right="0" w:firstLine="420"/>
        <w:rPr>
          <w:rFonts w:eastAsia="宋体"/>
          <w:b w:val="0"/>
          <w:lang w:val="en-US"/>
        </w:rPr>
      </w:pPr>
      <w:bookmarkStart w:id="61" w:name="_Toc5602"/>
      <w:r>
        <w:rPr>
          <w:rFonts w:eastAsia="宋体"/>
          <w:b w:val="0"/>
          <w:lang w:eastAsia="zh-CN"/>
        </w:rPr>
        <w:t>五、质量要求</w:t>
      </w:r>
      <w:bookmarkEnd w:id="61"/>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本服务项目所需材料必须达到现行规范及相关行业标准规定的要求，主要施工技术和方法及工程质量标准均应符合国家规范、规程和强制性标准。中标人应把握工期，必须按规定时间交付使用，确保项目施工质量，并达到合格标准。如出现安全事故，一切由中标方负责。</w:t>
      </w:r>
    </w:p>
    <w:p>
      <w:pPr>
        <w:pStyle w:val="3"/>
        <w:widowControl/>
        <w:spacing w:before="48" w:beforeAutospacing="0" w:after="48" w:afterAutospacing="0"/>
        <w:ind w:left="0" w:right="0" w:firstLine="420"/>
        <w:rPr>
          <w:rFonts w:eastAsia="宋体"/>
          <w:b w:val="0"/>
          <w:lang w:val="en-US"/>
        </w:rPr>
      </w:pPr>
      <w:bookmarkStart w:id="62" w:name="_Toc22831"/>
      <w:r>
        <w:rPr>
          <w:rFonts w:eastAsia="宋体"/>
          <w:b w:val="0"/>
          <w:lang w:eastAsia="zh-CN"/>
        </w:rPr>
        <w:t>六、知识产权</w:t>
      </w:r>
      <w:bookmarkEnd w:id="62"/>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（一）采购人在中华人民共和国境内使用成交供应商提供的货物及服务时免受第三方提出的侵犯其专利权或其它知识产权的起诉。如果第三方提出侵权指控，成交供应商应承担由此而引起的一切法律责任和费用。</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（二）涉及软件开发等服务类项目知识产权的，知识产权归采购人所有。</w:t>
      </w:r>
    </w:p>
    <w:p>
      <w:pPr>
        <w:pStyle w:val="3"/>
        <w:widowControl/>
        <w:spacing w:before="48" w:beforeAutospacing="0" w:after="48" w:afterAutospacing="0"/>
        <w:ind w:left="0" w:right="0" w:firstLine="420"/>
        <w:rPr>
          <w:rFonts w:eastAsia="宋体"/>
          <w:b w:val="0"/>
          <w:lang w:val="en-US"/>
        </w:rPr>
      </w:pPr>
      <w:bookmarkStart w:id="63" w:name="_Toc474603923"/>
      <w:bookmarkStart w:id="64" w:name="_Toc8110"/>
      <w:bookmarkStart w:id="65" w:name="_Toc344475125"/>
      <w:r>
        <w:rPr>
          <w:rFonts w:eastAsia="宋体"/>
          <w:b w:val="0"/>
          <w:lang w:eastAsia="zh-CN"/>
        </w:rPr>
        <w:t>七、其他</w:t>
      </w:r>
      <w:bookmarkEnd w:id="63"/>
      <w:bookmarkEnd w:id="64"/>
    </w:p>
    <w:bookmarkEnd w:id="65"/>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（一）供应商必须在响应文件中对以上条款和服务承诺明确列出，承诺内容必须达到本篇及竞争性比选文件其他条款的要求。</w:t>
      </w:r>
    </w:p>
    <w:p>
      <w:pPr>
        <w:pStyle w:val="2"/>
        <w:widowControl/>
        <w:spacing w:before="120" w:beforeAutospacing="0" w:after="120" w:afterAutospacing="0"/>
        <w:ind w:left="0" w:right="0" w:firstLine="480"/>
        <w:jc w:val="both"/>
        <w:rPr>
          <w:rFonts w:hint="eastAsia" w:ascii="宋体" w:hAnsi="宋体" w:eastAsia="宋体" w:cs="宋体"/>
          <w:b w:val="0"/>
          <w:kern w:val="2"/>
          <w:sz w:val="24"/>
          <w:szCs w:val="24"/>
          <w:lang w:val="en-US"/>
        </w:rPr>
      </w:pPr>
      <w:r>
        <w:rPr>
          <w:rFonts w:hint="eastAsia" w:ascii="宋体" w:hAnsi="宋体" w:eastAsia="宋体" w:cs="宋体"/>
          <w:b w:val="0"/>
          <w:kern w:val="2"/>
          <w:sz w:val="24"/>
          <w:szCs w:val="24"/>
          <w:lang w:eastAsia="zh-CN"/>
        </w:rPr>
        <w:t>（二）其他未尽事宜由供需双方在采购合同中详细约定。</w:t>
      </w:r>
    </w:p>
    <w:p>
      <w:pPr>
        <w:pStyle w:val="2"/>
        <w:widowControl/>
        <w:spacing w:before="120" w:beforeAutospacing="0" w:after="120" w:afterAutospacing="0"/>
        <w:ind w:left="0" w:right="0" w:firstLine="640"/>
        <w:rPr>
          <w:rFonts w:hint="eastAsia" w:ascii="宋体" w:hAnsi="宋体" w:eastAsia="宋体" w:cs="宋体"/>
          <w:b w:val="0"/>
          <w:lang w:val="en-US"/>
        </w:rPr>
      </w:pPr>
    </w:p>
    <w:p>
      <w:pPr>
        <w:pStyle w:val="15"/>
        <w:widowControl/>
        <w:ind w:left="0" w:firstLine="0" w:firstLineChars="0"/>
        <w:rPr>
          <w:rFonts w:eastAsia="宋体"/>
          <w:lang w:val="en-US" w:eastAsia="zh-CN"/>
        </w:rPr>
      </w:pPr>
    </w:p>
    <w:p>
      <w:pPr>
        <w:pStyle w:val="2"/>
        <w:keepNext w:val="0"/>
        <w:pageBreakBefore/>
        <w:widowControl/>
        <w:spacing w:before="120" w:beforeAutospacing="0" w:after="120" w:afterAutospacing="0"/>
        <w:ind w:left="0" w:right="0" w:firstLine="640"/>
        <w:rPr>
          <w:rFonts w:hint="eastAsia" w:ascii="宋体" w:hAnsi="宋体" w:eastAsia="宋体" w:cs="宋体"/>
          <w:b w:val="0"/>
          <w:lang w:val="en-US"/>
        </w:rPr>
      </w:pPr>
      <w:bookmarkStart w:id="66" w:name="_Toc21100"/>
      <w:r>
        <w:rPr>
          <w:rFonts w:hint="eastAsia" w:ascii="宋体" w:hAnsi="宋体" w:eastAsia="宋体" w:cs="宋体"/>
          <w:b w:val="0"/>
          <w:lang w:eastAsia="zh-CN"/>
        </w:rPr>
        <w:t>第四篇</w:t>
      </w:r>
      <w:r>
        <w:rPr>
          <w:rFonts w:hint="eastAsia" w:ascii="宋体" w:hAnsi="宋体" w:eastAsia="宋体" w:cs="宋体"/>
          <w:b w:val="0"/>
          <w:lang w:val="en-US"/>
        </w:rPr>
        <w:t xml:space="preserve">  </w:t>
      </w:r>
      <w:r>
        <w:rPr>
          <w:rFonts w:hint="eastAsia" w:ascii="宋体" w:hAnsi="宋体" w:eastAsia="宋体" w:cs="宋体"/>
          <w:b w:val="0"/>
          <w:lang w:eastAsia="zh-CN"/>
        </w:rPr>
        <w:t>比选程序及方法、评审标准、无效响应和采购终止</w:t>
      </w:r>
      <w:bookmarkEnd w:id="60"/>
      <w:bookmarkEnd w:id="66"/>
    </w:p>
    <w:p>
      <w:pPr>
        <w:pStyle w:val="3"/>
        <w:widowControl/>
        <w:spacing w:before="48" w:beforeAutospacing="0" w:after="48" w:afterAutospacing="0"/>
        <w:ind w:left="0" w:right="0" w:firstLine="420"/>
        <w:rPr>
          <w:rFonts w:eastAsia="宋体"/>
          <w:b w:val="0"/>
          <w:lang w:val="en-US"/>
        </w:rPr>
      </w:pPr>
      <w:bookmarkStart w:id="67" w:name="_Toc474603925"/>
      <w:bookmarkStart w:id="68" w:name="_Toc16691"/>
      <w:r>
        <w:rPr>
          <w:rFonts w:eastAsia="宋体"/>
          <w:b w:val="0"/>
          <w:lang w:eastAsia="zh-CN"/>
        </w:rPr>
        <w:t>一、比选程序及方法</w:t>
      </w:r>
      <w:bookmarkEnd w:id="67"/>
      <w:bookmarkEnd w:id="68"/>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（一）比选小组对各供应商的资格条件、响应文件的有效性、完整性和响应程度进行审查。各供应商只有在完全符合要求的前提下，才能参与正式比价。</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1、资格性审查。依据法律法规和竞争性比选文件的规定，对响应文件中的资格证明进行审查，以确定供应商是否具备比选资格。资格性审查资料表如下：</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60"/>
        <w:gridCol w:w="700"/>
        <w:gridCol w:w="3176"/>
        <w:gridCol w:w="4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1" w:hRule="atLeast"/>
          <w:jc w:val="center"/>
        </w:trPr>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序号</w:t>
            </w:r>
          </w:p>
        </w:tc>
        <w:tc>
          <w:tcPr>
            <w:tcW w:w="3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检查因素</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审查内容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cantSplit/>
          <w:trHeight w:val="1112"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1</w:t>
            </w:r>
          </w:p>
        </w:tc>
        <w:tc>
          <w:tcPr>
            <w:tcW w:w="7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zh-CN"/>
              </w:rPr>
            </w:pPr>
            <w:r>
              <w:rPr>
                <w:rFonts w:hint="eastAsia" w:ascii="宋体" w:hAnsi="宋体" w:eastAsia="宋体" w:cs="宋体"/>
                <w:kern w:val="2"/>
                <w:sz w:val="24"/>
                <w:szCs w:val="24"/>
                <w:lang w:val="zh-CN" w:eastAsia="zh-CN" w:bidi="ar"/>
              </w:rPr>
              <w:t>投标人应符合的基本资格条件</w:t>
            </w:r>
          </w:p>
        </w:tc>
        <w:tc>
          <w:tcPr>
            <w:tcW w:w="3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（1）具有独立承担民事责任的能力</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投标人法人营业执照（副本）或事业单位法人证书（副本）或个体工商户营业执照、组织机构代码证复印件（注②）； </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投标人法定代表人身份证明和法定代表人授权委托书。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cantSplit/>
          <w:trHeight w:val="374"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zh-CN" w:eastAsia="zh-CN" w:bidi="ar"/>
              </w:rPr>
              <w:t>（2）</w:t>
            </w:r>
            <w:r>
              <w:rPr>
                <w:rFonts w:hint="eastAsia" w:ascii="宋体" w:hAnsi="宋体" w:eastAsia="宋体" w:cs="宋体"/>
                <w:kern w:val="2"/>
                <w:sz w:val="24"/>
                <w:szCs w:val="24"/>
                <w:lang w:val="en-US" w:eastAsia="zh-CN" w:bidi="ar"/>
              </w:rPr>
              <w:t>具有良好的商业信誉和健全的财务会计制度</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1.投标人提供书面声明（见格式文件）；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cantSplit/>
          <w:trHeight w:val="421"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zh-CN"/>
              </w:rPr>
            </w:pPr>
            <w:r>
              <w:rPr>
                <w:rFonts w:hint="eastAsia" w:ascii="宋体" w:hAnsi="宋体" w:eastAsia="宋体" w:cs="宋体"/>
                <w:kern w:val="2"/>
                <w:sz w:val="24"/>
                <w:szCs w:val="24"/>
                <w:lang w:val="zh-CN" w:eastAsia="zh-CN" w:bidi="ar"/>
              </w:rPr>
              <w:t>（3）具有履行合同所必需的设备和专业技术能力</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1.投标人提供书面声明或相关证明材料（见格式文件）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cantSplit/>
          <w:trHeight w:val="371"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zh-CN"/>
              </w:rPr>
            </w:pPr>
            <w:r>
              <w:rPr>
                <w:rFonts w:hint="eastAsia" w:ascii="宋体" w:hAnsi="宋体" w:eastAsia="宋体" w:cs="宋体"/>
                <w:kern w:val="2"/>
                <w:sz w:val="24"/>
                <w:szCs w:val="24"/>
                <w:lang w:val="zh-CN" w:eastAsia="zh-CN" w:bidi="ar"/>
              </w:rPr>
              <w:t>（4）有依法缴纳税收和社会保障金的良好记录</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1.投标人提供书面声明（见格式文件）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1"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zh-CN"/>
              </w:rPr>
            </w:pPr>
            <w:r>
              <w:rPr>
                <w:rFonts w:hint="eastAsia" w:ascii="宋体" w:hAnsi="宋体" w:eastAsia="宋体" w:cs="宋体"/>
                <w:kern w:val="2"/>
                <w:sz w:val="24"/>
                <w:szCs w:val="24"/>
                <w:lang w:val="en-US" w:eastAsia="zh-CN" w:bidi="ar"/>
              </w:rPr>
              <w:t>（5）参加政府采购活动前三年内，在经营活动中没有重大违法记录</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1.投标人提供书面声明（见格式文件）；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1"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1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（6）法律、行政法规规定的其他条件</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1.投标人提供书面声明（见格式文件）；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4" w:hRule="atLeast"/>
          <w:jc w:val="center"/>
        </w:trPr>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2</w:t>
            </w:r>
          </w:p>
        </w:tc>
        <w:tc>
          <w:tcPr>
            <w:tcW w:w="3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特定资格条件</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按第一篇“（二）特定资格条件”的要求提交（如果有）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5" w:hRule="atLeast"/>
          <w:jc w:val="center"/>
        </w:trPr>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3</w:t>
            </w:r>
          </w:p>
        </w:tc>
        <w:tc>
          <w:tcPr>
            <w:tcW w:w="38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投标保证金</w:t>
            </w:r>
          </w:p>
        </w:tc>
        <w:tc>
          <w:tcPr>
            <w:tcW w:w="497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按照采购文件的规定提交投标保证金</w:t>
            </w:r>
          </w:p>
        </w:tc>
      </w:tr>
    </w:tbl>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注：</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eq \o\ac(○,1)</w:instrTex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本项目不接受联合体投标。</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eq \o\ac(○,2)</w:instrTex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供应商按“三证合一”登记制度办理营业执照的，组织机构代码证和税务登记证（副本）以供应商所提供的营业执照（副本）复印件为准。</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2、符合性审查。依据竞争性比选文件的规定，从响应文件的有效性、完整性和对竞争性比选文件的响应程度进行审查，以确定是否对竞争性比选文件的实质性要求作出响应。符合性审查资料表如下：</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804"/>
        <w:gridCol w:w="1527"/>
        <w:gridCol w:w="1940"/>
        <w:gridCol w:w="5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1" w:hRule="atLeast"/>
          <w:jc w:val="center"/>
        </w:trPr>
        <w:tc>
          <w:tcPr>
            <w:tcW w:w="8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序号</w:t>
            </w:r>
          </w:p>
        </w:tc>
        <w:tc>
          <w:tcPr>
            <w:tcW w:w="346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评审因素</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84" w:hRule="atLeast"/>
          <w:jc w:val="center"/>
        </w:trPr>
        <w:tc>
          <w:tcPr>
            <w:tcW w:w="8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1</w:t>
            </w:r>
          </w:p>
        </w:tc>
        <w:tc>
          <w:tcPr>
            <w:tcW w:w="152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有效性审查</w:t>
            </w: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投标文件签署</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投标文件上法定代表人或其授权代表人的签字齐全。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89" w:hRule="atLeast"/>
          <w:jc w:val="center"/>
        </w:trPr>
        <w:tc>
          <w:tcPr>
            <w:tcW w:w="8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2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法定代表人身份证明及授权委托书</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法定代表人身份证明及授权委托书有效，符合招标文件规定的格式，签字或盖章齐全。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86" w:hRule="atLeast"/>
          <w:jc w:val="center"/>
        </w:trPr>
        <w:tc>
          <w:tcPr>
            <w:tcW w:w="8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2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zh-CN"/>
              </w:rPr>
            </w:pPr>
            <w:r>
              <w:rPr>
                <w:rFonts w:hint="eastAsia" w:ascii="宋体" w:hAnsi="宋体" w:eastAsia="宋体" w:cs="宋体"/>
                <w:kern w:val="2"/>
                <w:sz w:val="24"/>
                <w:szCs w:val="24"/>
                <w:lang w:val="zh-CN" w:eastAsia="zh-CN" w:bidi="ar"/>
              </w:rPr>
              <w:t>投标方案</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zh-CN" w:eastAsia="zh-CN" w:bidi="ar"/>
              </w:rPr>
              <w:t>每个分包只能有一个方案投标。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8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2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zh-CN"/>
              </w:rPr>
            </w:pPr>
            <w:r>
              <w:rPr>
                <w:rFonts w:hint="eastAsia" w:ascii="宋体" w:hAnsi="宋体" w:eastAsia="宋体" w:cs="宋体"/>
                <w:kern w:val="2"/>
                <w:sz w:val="24"/>
                <w:szCs w:val="24"/>
                <w:lang w:val="en-US" w:eastAsia="zh-CN" w:bidi="ar"/>
              </w:rPr>
              <w:t>报价唯一</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zh-CN" w:eastAsia="zh-CN" w:bidi="ar"/>
              </w:rPr>
              <w:t>只能在采购限价范围内报价，</w:t>
            </w:r>
            <w:r>
              <w:rPr>
                <w:rFonts w:hint="eastAsia" w:ascii="宋体" w:hAnsi="宋体" w:eastAsia="宋体" w:cs="宋体"/>
                <w:kern w:val="2"/>
                <w:sz w:val="24"/>
                <w:szCs w:val="24"/>
                <w:lang w:val="en-US" w:eastAsia="zh-CN" w:bidi="ar"/>
              </w:rPr>
              <w:t>只能有一个有效报价，不得提交选择性报价。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8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2</w:t>
            </w:r>
          </w:p>
        </w:tc>
        <w:tc>
          <w:tcPr>
            <w:tcW w:w="152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完整性审查</w:t>
            </w: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zh-CN" w:eastAsia="zh-CN" w:bidi="ar"/>
              </w:rPr>
              <w:t>投标文件份数</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zh-CN" w:eastAsia="zh-CN" w:bidi="ar"/>
              </w:rPr>
              <w:t>投标文件正、副本数量符合招标文件要求。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jc w:val="center"/>
        </w:trPr>
        <w:tc>
          <w:tcPr>
            <w:tcW w:w="8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2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zh-CN"/>
              </w:rPr>
            </w:pPr>
            <w:r>
              <w:rPr>
                <w:rFonts w:hint="eastAsia" w:ascii="宋体" w:hAnsi="宋体" w:eastAsia="宋体" w:cs="宋体"/>
                <w:kern w:val="2"/>
                <w:sz w:val="24"/>
                <w:szCs w:val="24"/>
                <w:lang w:val="zh-CN" w:eastAsia="zh-CN" w:bidi="ar"/>
              </w:rPr>
              <w:t>投标文件内容</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zh-CN"/>
              </w:rPr>
            </w:pPr>
            <w:r>
              <w:rPr>
                <w:rFonts w:hint="eastAsia" w:ascii="宋体" w:hAnsi="宋体" w:eastAsia="宋体" w:cs="宋体"/>
                <w:kern w:val="2"/>
                <w:sz w:val="24"/>
                <w:szCs w:val="24"/>
                <w:lang w:val="zh-CN" w:eastAsia="zh-CN" w:bidi="ar"/>
              </w:rPr>
              <w:t>投标文件内容齐全、无遗漏。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3</w:t>
            </w:r>
          </w:p>
        </w:tc>
        <w:tc>
          <w:tcPr>
            <w:tcW w:w="152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zh-CN"/>
              </w:rPr>
            </w:pPr>
            <w:r>
              <w:rPr>
                <w:rFonts w:hint="eastAsia" w:ascii="宋体" w:hAnsi="宋体" w:eastAsia="宋体" w:cs="宋体"/>
                <w:kern w:val="2"/>
                <w:sz w:val="24"/>
                <w:szCs w:val="24"/>
                <w:lang w:val="en-US" w:eastAsia="zh-CN" w:bidi="ar"/>
              </w:rPr>
              <w:t>招标文件的响应程度审查</w:t>
            </w: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投标文件内容</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对招标文件第二篇规定的招标内容作出响应。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2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9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投标有效期</w:t>
            </w:r>
          </w:p>
        </w:tc>
        <w:tc>
          <w:tcPr>
            <w:tcW w:w="52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满足招标文件</w:t>
            </w:r>
            <w:r>
              <w:rPr>
                <w:rFonts w:hint="eastAsia" w:ascii="宋体" w:hAnsi="宋体" w:eastAsia="宋体" w:cs="宋体"/>
                <w:kern w:val="2"/>
                <w:sz w:val="24"/>
                <w:szCs w:val="24"/>
                <w:lang w:val="zh-CN" w:eastAsia="zh-CN" w:bidi="ar"/>
              </w:rPr>
              <w:t>规定。</w:t>
            </w:r>
          </w:p>
        </w:tc>
      </w:tr>
    </w:tbl>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（二）澄清有关问题。</w:t>
      </w:r>
      <w:bookmarkStart w:id="69" w:name="_Hlk56889792"/>
      <w:r>
        <w:rPr>
          <w:rFonts w:hint="eastAsia" w:ascii="宋体" w:hAnsi="宋体" w:eastAsia="宋体" w:cs="宋体"/>
          <w:kern w:val="2"/>
          <w:sz w:val="24"/>
          <w:szCs w:val="24"/>
          <w:lang w:val="en-US" w:eastAsia="zh-CN" w:bidi="ar"/>
        </w:rPr>
        <w:t>评标</w:t>
      </w:r>
      <w:bookmarkEnd w:id="69"/>
      <w:r>
        <w:rPr>
          <w:rFonts w:hint="eastAsia" w:ascii="宋体" w:hAnsi="宋体" w:eastAsia="宋体" w:cs="宋体"/>
          <w:kern w:val="2"/>
          <w:sz w:val="24"/>
          <w:szCs w:val="24"/>
          <w:lang w:val="en-US" w:eastAsia="zh-CN" w:bidi="ar"/>
        </w:rPr>
        <w:t>小组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评标小组要求供应商澄清、说明或者更正响应文件应当以书面形式作出。供应商的澄清、说明或者更正应当由法定代表人或其授权代表签字或者加盖公章（鲜章）。由授权代表签字的，应当附法定代表人授权书。</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（四）在</w:t>
      </w:r>
      <w:bookmarkStart w:id="70" w:name="_Hlk56889750"/>
      <w:r>
        <w:rPr>
          <w:rFonts w:hint="eastAsia" w:ascii="宋体" w:hAnsi="宋体" w:eastAsia="宋体" w:cs="宋体"/>
          <w:kern w:val="2"/>
          <w:sz w:val="24"/>
          <w:szCs w:val="24"/>
          <w:lang w:val="en-US" w:eastAsia="zh-CN" w:bidi="ar"/>
        </w:rPr>
        <w:t>比选</w:t>
      </w:r>
      <w:bookmarkEnd w:id="70"/>
      <w:r>
        <w:rPr>
          <w:rFonts w:hint="eastAsia" w:ascii="宋体" w:hAnsi="宋体" w:eastAsia="宋体" w:cs="宋体"/>
          <w:kern w:val="2"/>
          <w:sz w:val="24"/>
          <w:szCs w:val="24"/>
          <w:lang w:val="en-US" w:eastAsia="zh-CN" w:bidi="ar"/>
        </w:rPr>
        <w:t>过程中参与比选的任何一方不得向他人透露与比选项目有关的技术资料、价格或其他信息。</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（五）在</w:t>
      </w:r>
      <w:bookmarkStart w:id="71" w:name="_Hlk56889819"/>
      <w:r>
        <w:rPr>
          <w:rFonts w:hint="eastAsia" w:ascii="宋体" w:hAnsi="宋体" w:eastAsia="宋体" w:cs="宋体"/>
          <w:kern w:val="2"/>
          <w:sz w:val="24"/>
          <w:szCs w:val="24"/>
          <w:lang w:val="en-US" w:eastAsia="zh-CN" w:bidi="ar"/>
        </w:rPr>
        <w:t>比选</w:t>
      </w:r>
      <w:bookmarkEnd w:id="71"/>
      <w:r>
        <w:rPr>
          <w:rFonts w:hint="eastAsia" w:ascii="宋体" w:hAnsi="宋体" w:eastAsia="宋体" w:cs="宋体"/>
          <w:kern w:val="2"/>
          <w:sz w:val="24"/>
          <w:szCs w:val="24"/>
          <w:lang w:val="en-US" w:eastAsia="zh-CN" w:bidi="ar"/>
        </w:rPr>
        <w:t>过程中，评标小组可以根据竞争性比选文件和比选情况实质性变动采购需求中的技术、服务要求以及合同草案条款，但不得变动竞争性比选文件中的其他内容。实质性变动的内容，须经采购人代表确认。对竞争性比选文件作出的实质性变动是竞争性比选文件的有效组成部分，采购人应当及时以书面形式同时通知所有参加比选的供应商。</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（六）供应商在</w:t>
      </w:r>
      <w:bookmarkStart w:id="72" w:name="_Hlk56889884"/>
      <w:r>
        <w:rPr>
          <w:rFonts w:hint="eastAsia" w:ascii="宋体" w:hAnsi="宋体" w:eastAsia="宋体" w:cs="宋体"/>
          <w:kern w:val="2"/>
          <w:sz w:val="24"/>
          <w:szCs w:val="24"/>
          <w:lang w:val="en-US" w:eastAsia="zh-CN" w:bidi="ar"/>
        </w:rPr>
        <w:t>比选</w:t>
      </w:r>
      <w:bookmarkEnd w:id="72"/>
      <w:r>
        <w:rPr>
          <w:rFonts w:hint="eastAsia" w:ascii="宋体" w:hAnsi="宋体" w:eastAsia="宋体" w:cs="宋体"/>
          <w:kern w:val="2"/>
          <w:sz w:val="24"/>
          <w:szCs w:val="24"/>
          <w:lang w:val="en-US" w:eastAsia="zh-CN" w:bidi="ar"/>
        </w:rPr>
        <w:t>时作出的所有书面承诺必须加盖投标单位公章。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（七）评标小组采用综合评分法进行评标。</w:t>
      </w:r>
      <w:bookmarkStart w:id="73" w:name="_Toc474603926"/>
      <w:bookmarkStart w:id="74" w:name="_Toc21196"/>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（八）评审小组成员：7人；评审监督人员:3人。</w:t>
      </w:r>
    </w:p>
    <w:p>
      <w:pPr>
        <w:pStyle w:val="3"/>
        <w:widowControl/>
        <w:spacing w:before="48" w:beforeAutospacing="0" w:after="48" w:afterAutospacing="0"/>
        <w:ind w:left="0" w:right="0" w:firstLine="600" w:firstLineChars="200"/>
        <w:jc w:val="both"/>
        <w:rPr>
          <w:rFonts w:eastAsia="宋体"/>
          <w:b w:val="0"/>
          <w:lang w:val="en-US"/>
        </w:rPr>
      </w:pPr>
      <w:r>
        <w:rPr>
          <w:rFonts w:eastAsia="宋体"/>
          <w:b w:val="0"/>
          <w:lang w:eastAsia="zh-CN"/>
        </w:rPr>
        <w:t>二、</w:t>
      </w:r>
      <w:bookmarkStart w:id="75" w:name="_Toc342913394"/>
      <w:bookmarkStart w:id="76" w:name="_Toc102227320"/>
      <w:r>
        <w:rPr>
          <w:rFonts w:eastAsia="宋体"/>
          <w:b w:val="0"/>
          <w:lang w:eastAsia="zh-CN"/>
        </w:rPr>
        <w:t>评审标准</w:t>
      </w:r>
      <w:bookmarkEnd w:id="73"/>
      <w:bookmarkEnd w:id="74"/>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（一）评审因素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说明：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4"/>
        <w:widowControl/>
        <w:spacing w:before="48" w:beforeAutospacing="0" w:after="48" w:afterAutospacing="0"/>
        <w:ind w:left="0" w:right="0" w:firstLine="400" w:firstLineChars="167"/>
        <w:rPr>
          <w:rFonts w:hint="eastAsia" w:ascii="宋体" w:hAnsi="宋体" w:eastAsia="宋体" w:cs="宋体"/>
          <w:b w:val="0"/>
          <w:sz w:val="24"/>
          <w:szCs w:val="24"/>
          <w:lang w:val="en-US"/>
        </w:rPr>
      </w:pPr>
      <w:r>
        <w:rPr>
          <w:rFonts w:hint="eastAsia" w:ascii="宋体" w:hAnsi="宋体" w:eastAsia="宋体" w:cs="宋体"/>
          <w:b w:val="0"/>
          <w:sz w:val="24"/>
          <w:szCs w:val="24"/>
          <w:lang w:eastAsia="zh-CN"/>
        </w:rPr>
        <w:t>（二）评审标准</w:t>
      </w:r>
      <w:r>
        <w:rPr>
          <w:rFonts w:hint="eastAsia" w:ascii="宋体" w:hAnsi="宋体" w:eastAsia="宋体" w:cs="宋体"/>
          <w:b w:val="0"/>
          <w:sz w:val="24"/>
          <w:szCs w:val="24"/>
          <w:lang w:val="en-US"/>
        </w:rPr>
        <w:t>/</w:t>
      </w:r>
      <w:r>
        <w:rPr>
          <w:rFonts w:hint="eastAsia" w:ascii="宋体" w:hAnsi="宋体" w:eastAsia="宋体" w:cs="宋体"/>
          <w:b w:val="0"/>
          <w:sz w:val="24"/>
          <w:szCs w:val="24"/>
          <w:lang w:eastAsia="zh-CN"/>
        </w:rPr>
        <w:t>分值</w:t>
      </w:r>
    </w:p>
    <w:tbl>
      <w:tblPr>
        <w:tblStyle w:val="28"/>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440"/>
        <w:gridCol w:w="7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144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60" w:lineRule="auto"/>
              <w:ind w:left="0" w:right="0" w:firstLine="0" w:firstLineChars="0"/>
              <w:jc w:val="center"/>
              <w:rPr>
                <w:rFonts w:hint="eastAsia" w:ascii="宋体" w:hAnsi="宋体" w:eastAsia="宋体" w:cs="宋体"/>
                <w:lang w:val="en-US"/>
              </w:rPr>
            </w:pPr>
            <w:bookmarkStart w:id="77" w:name="_Toc520902475"/>
            <w:bookmarkStart w:id="78" w:name="_Toc531364671"/>
            <w:r>
              <w:rPr>
                <w:rFonts w:hint="eastAsia" w:ascii="宋体" w:hAnsi="宋体" w:eastAsia="宋体" w:cs="宋体"/>
                <w:kern w:val="2"/>
                <w:sz w:val="24"/>
                <w:szCs w:val="24"/>
                <w:lang w:val="en-US" w:eastAsia="zh-CN" w:bidi="ar"/>
              </w:rPr>
              <w:t>活动报价</w:t>
            </w:r>
          </w:p>
          <w:p>
            <w:pPr>
              <w:keepNext w:val="0"/>
              <w:keepLines w:val="0"/>
              <w:widowControl/>
              <w:suppressLineNumbers w:val="0"/>
              <w:spacing w:before="0" w:beforeAutospacing="0" w:after="0" w:afterAutospacing="0" w:line="360" w:lineRule="auto"/>
              <w:ind w:left="0" w:right="0" w:firstLine="0" w:firstLineChars="0"/>
              <w:jc w:val="left"/>
              <w:rPr>
                <w:rFonts w:hint="eastAsia" w:ascii="宋体" w:hAnsi="宋体" w:eastAsia="宋体" w:cs="宋体"/>
                <w:lang w:val="en-US"/>
              </w:rPr>
            </w:pPr>
            <w:r>
              <w:rPr>
                <w:rFonts w:hint="eastAsia" w:ascii="宋体" w:hAnsi="宋体" w:eastAsia="宋体" w:cs="宋体"/>
              </w:rPr>
              <w:t>（</w:t>
            </w:r>
            <w:r>
              <w:rPr>
                <w:rFonts w:hint="eastAsia" w:ascii="宋体" w:hAnsi="宋体" w:eastAsia="宋体" w:cs="宋体"/>
                <w:lang w:val="en-US"/>
              </w:rPr>
              <w:t>40</w:t>
            </w:r>
            <w:r>
              <w:rPr>
                <w:rFonts w:hint="eastAsia" w:ascii="宋体" w:hAnsi="宋体" w:eastAsia="宋体" w:cs="宋体"/>
              </w:rPr>
              <w:t>分）</w:t>
            </w:r>
          </w:p>
        </w:tc>
        <w:tc>
          <w:tcPr>
            <w:tcW w:w="7560"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标总报价的评标基准价：所有通过初步评审合格的投标人（招标人设有最高限价的，则投标总报价高于最高限价的除外）的投标总报价中去掉六分之一（不能整除的按小数点前整数取整，不足六家报价则不去掉）的最低价和相同家数的最高价后的算术平均值再与最高限价进行算数平均作为投标总报价的评标基准价。</w:t>
            </w:r>
          </w:p>
          <w:p>
            <w:pPr>
              <w:keepNext w:val="0"/>
              <w:keepLines w:val="0"/>
              <w:widowControl/>
              <w:suppressLineNumbers w:val="0"/>
              <w:spacing w:before="0" w:beforeAutospacing="0" w:after="0" w:afterAutospacing="0" w:line="320" w:lineRule="exact"/>
              <w:ind w:left="0" w:right="0" w:firstLine="420" w:firstLineChars="200"/>
              <w:jc w:val="both"/>
              <w:rPr>
                <w:rFonts w:hint="eastAsia" w:ascii="宋体" w:hAnsi="宋体" w:eastAsia="宋体" w:cs="宋体"/>
                <w:color w:val="FF0000"/>
                <w:lang w:val="en-US"/>
              </w:rPr>
            </w:pPr>
            <w:r>
              <w:rPr>
                <w:rFonts w:hint="eastAsia" w:ascii="宋体" w:hAnsi="宋体" w:eastAsia="宋体" w:cs="宋体"/>
              </w:rPr>
              <w:t>以上计算取小数点后两位，第三位四舍五入。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144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560"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line="480" w:lineRule="auto"/>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投标总报价的偏差率计算公式</w:t>
            </w:r>
          </w:p>
          <w:p>
            <w:pPr>
              <w:keepNext w:val="0"/>
              <w:keepLines w:val="0"/>
              <w:widowControl/>
              <w:suppressLineNumbers w:val="0"/>
              <w:spacing w:before="0" w:beforeAutospacing="0" w:after="0" w:afterAutospacing="0" w:line="480" w:lineRule="auto"/>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object>
                <v:shape id="_x0000_i1025" o:spt="75" type="#_x0000_t75" style="height:27.75pt;width:184.5pt;" o:ole="t" filled="f" o:preferrelative="t" stroked="f" coordsize="21600,21600">
                  <v:path/>
                  <v:fill on="f" focussize="0,0"/>
                  <v:stroke on="f" joinstyle="miter"/>
                  <v:imagedata r:id="rId5" embosscolor="#FFFFFF" o:title=""/>
                  <o:lock v:ext="edit" aspectratio="t"/>
                  <w10:wrap type="none"/>
                  <w10:anchorlock/>
                </v:shape>
                <o:OLEObject Type="Embed" ProgID="Equation.3" ShapeID="_x0000_i1025" DrawAspect="Content" ObjectID="_1468075725" r:id="rId4">
                  <o:LockedField>false</o:LockedField>
                </o:OLEObject>
              </w:objec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偏差率计算保留小数点后两位，小数点后第三位“四舍五入”。</w:t>
            </w:r>
          </w:p>
          <w:p>
            <w:pPr>
              <w:keepNext w:val="0"/>
              <w:keepLines w:val="0"/>
              <w:widowControl/>
              <w:suppressLineNumbers w:val="0"/>
              <w:spacing w:before="0" w:beforeAutospacing="0" w:after="0" w:afterAutospacing="0" w:line="320" w:lineRule="exact"/>
              <w:ind w:left="0" w:right="0" w:firstLine="420" w:firstLineChars="200"/>
              <w:jc w:val="both"/>
              <w:rPr>
                <w:rFonts w:hint="eastAsia" w:ascii="宋体" w:hAnsi="宋体" w:eastAsia="宋体" w:cs="宋体"/>
                <w:lang w:val="en-US"/>
              </w:rPr>
            </w:pPr>
            <w:r>
              <w:rPr>
                <w:rFonts w:hint="eastAsia" w:ascii="宋体" w:hAnsi="宋体" w:eastAsia="宋体" w:cs="宋体"/>
              </w:rPr>
              <w:t>本项目投标总报价不设偏差范围。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144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560"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所有通过初步评审合格的投标总报价（超出最高限价的除外）得规定分值的满分40分。在此基础上，投标总报价与评标基准价相比，每增加1%扣0.2分，每减少1%扣0.1分，扣完为止。按插入法计算得分。</w:t>
            </w:r>
          </w:p>
          <w:p>
            <w:pPr>
              <w:keepNext w:val="0"/>
              <w:keepLines w:val="0"/>
              <w:widowControl/>
              <w:suppressLineNumbers w:val="0"/>
              <w:spacing w:before="0" w:beforeAutospacing="0" w:after="0" w:afterAutospacing="0" w:line="320" w:lineRule="exact"/>
              <w:ind w:left="0" w:right="0" w:firstLine="420" w:firstLineChars="200"/>
              <w:jc w:val="both"/>
              <w:rPr>
                <w:rFonts w:hint="eastAsia" w:ascii="宋体" w:hAnsi="宋体" w:eastAsia="宋体" w:cs="宋体"/>
                <w:lang w:val="en-US"/>
              </w:rPr>
            </w:pPr>
            <w:r>
              <w:rPr>
                <w:rFonts w:hint="eastAsia" w:ascii="宋体" w:hAnsi="宋体" w:eastAsia="宋体" w:cs="宋体"/>
              </w:rPr>
              <w:t>投标总报价最终结果取小数点后两位，第三位四舍五入。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60" w:lineRule="auto"/>
              <w:ind w:left="0" w:right="0" w:firstLine="0" w:firstLineChars="0"/>
              <w:jc w:val="left"/>
              <w:rPr>
                <w:rFonts w:hint="eastAsia" w:ascii="宋体" w:hAnsi="宋体" w:eastAsia="宋体" w:cs="宋体"/>
                <w:kern w:val="0"/>
                <w:lang w:val="en-US"/>
              </w:rPr>
            </w:pPr>
            <w:r>
              <w:rPr>
                <w:rFonts w:hint="eastAsia" w:ascii="宋体" w:hAnsi="宋体" w:eastAsia="宋体" w:cs="宋体"/>
                <w:kern w:val="2"/>
                <w:sz w:val="24"/>
                <w:szCs w:val="24"/>
                <w:lang w:val="en-US" w:eastAsia="zh-CN" w:bidi="ar"/>
              </w:rPr>
              <w:t>策划</w:t>
            </w:r>
            <w:r>
              <w:rPr>
                <w:rFonts w:hint="eastAsia" w:ascii="宋体" w:hAnsi="宋体" w:eastAsia="宋体" w:cs="宋体"/>
                <w:kern w:val="0"/>
                <w:sz w:val="24"/>
                <w:szCs w:val="24"/>
                <w:lang w:val="en-US" w:eastAsia="zh-CN" w:bidi="ar"/>
              </w:rPr>
              <w:t>方案</w:t>
            </w:r>
          </w:p>
          <w:p>
            <w:pPr>
              <w:keepNext w:val="0"/>
              <w:keepLines w:val="0"/>
              <w:widowControl/>
              <w:suppressLineNumbers w:val="0"/>
              <w:spacing w:before="0" w:beforeAutospacing="0" w:after="0" w:afterAutospacing="0" w:line="360" w:lineRule="auto"/>
              <w:ind w:left="0" w:right="0" w:firstLine="0" w:firstLineChars="0"/>
              <w:jc w:val="left"/>
              <w:rPr>
                <w:rFonts w:hint="eastAsia" w:ascii="宋体" w:hAnsi="宋体" w:eastAsia="宋体" w:cs="宋体"/>
                <w:lang w:val="en-US"/>
              </w:rPr>
            </w:pPr>
            <w:r>
              <w:rPr>
                <w:rFonts w:hint="eastAsia" w:ascii="宋体" w:hAnsi="宋体" w:eastAsia="宋体" w:cs="宋体"/>
              </w:rPr>
              <w:t>（</w:t>
            </w:r>
            <w:r>
              <w:rPr>
                <w:rFonts w:hint="eastAsia" w:ascii="宋体" w:hAnsi="宋体" w:eastAsia="宋体" w:cs="宋体"/>
                <w:lang w:val="en-US"/>
              </w:rPr>
              <w:t>40</w:t>
            </w:r>
            <w:r>
              <w:rPr>
                <w:rFonts w:hint="eastAsia" w:ascii="宋体" w:hAnsi="宋体" w:eastAsia="宋体" w:cs="宋体"/>
              </w:rPr>
              <w:t>分）</w:t>
            </w:r>
          </w:p>
        </w:tc>
        <w:tc>
          <w:tcPr>
            <w:tcW w:w="75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numPr>
                <w:ilvl w:val="0"/>
                <w:numId w:val="4"/>
              </w:numPr>
              <w:suppressLineNumbers w:val="0"/>
              <w:spacing w:before="0" w:beforeAutospacing="0" w:after="0" w:afterAutospacing="0" w:line="320" w:lineRule="exact"/>
              <w:ind w:left="1200" w:right="0" w:hanging="72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方案合理性</w:t>
            </w:r>
          </w:p>
          <w:p>
            <w:pPr>
              <w:pStyle w:val="4"/>
              <w:widowControl/>
              <w:spacing w:before="48" w:beforeAutospacing="0" w:after="48" w:afterAutospacing="0"/>
              <w:ind w:left="0" w:right="0" w:firstLine="520" w:firstLineChars="217"/>
              <w:rPr>
                <w:rFonts w:hint="eastAsia" w:ascii="宋体" w:hAnsi="宋体" w:eastAsia="宋体" w:cs="宋体"/>
                <w:b w:val="0"/>
                <w:color w:val="auto"/>
                <w:sz w:val="24"/>
                <w:szCs w:val="24"/>
                <w:lang w:val="en-US"/>
              </w:rPr>
            </w:pPr>
            <w:r>
              <w:rPr>
                <w:rFonts w:hint="eastAsia" w:ascii="宋体" w:hAnsi="宋体" w:eastAsia="宋体" w:cs="宋体"/>
                <w:b w:val="0"/>
                <w:sz w:val="24"/>
                <w:szCs w:val="24"/>
              </w:rPr>
              <w:t>充分理解大足荷棠产业以及</w:t>
            </w:r>
            <w:r>
              <w:rPr>
                <w:rFonts w:hint="eastAsia" w:ascii="宋体" w:hAnsi="宋体" w:eastAsia="宋体" w:cs="宋体"/>
                <w:b w:val="0"/>
                <w:sz w:val="24"/>
                <w:szCs w:val="24"/>
                <w:lang w:eastAsia="zh-CN"/>
              </w:rPr>
              <w:t>如梦</w:t>
            </w:r>
            <w:r>
              <w:rPr>
                <w:rFonts w:hint="eastAsia" w:ascii="宋体" w:hAnsi="宋体" w:eastAsia="宋体" w:cs="宋体"/>
                <w:b w:val="0"/>
                <w:sz w:val="24"/>
                <w:szCs w:val="24"/>
              </w:rPr>
              <w:t>荷</w:t>
            </w:r>
            <w:r>
              <w:rPr>
                <w:rFonts w:hint="eastAsia" w:ascii="宋体" w:hAnsi="宋体" w:eastAsia="宋体" w:cs="宋体"/>
                <w:b w:val="0"/>
                <w:color w:val="auto"/>
                <w:sz w:val="24"/>
                <w:szCs w:val="24"/>
              </w:rPr>
              <w:t>棠·山湾时光</w:t>
            </w:r>
            <w:r>
              <w:rPr>
                <w:rFonts w:hint="eastAsia" w:ascii="宋体" w:hAnsi="宋体" w:eastAsia="宋体" w:cs="宋体"/>
                <w:b w:val="0"/>
                <w:color w:val="auto"/>
                <w:sz w:val="24"/>
                <w:szCs w:val="24"/>
                <w:lang w:val="en-US" w:eastAsia="zh-CN"/>
              </w:rPr>
              <w:t>乡村振兴</w:t>
            </w:r>
            <w:r>
              <w:rPr>
                <w:rFonts w:hint="eastAsia" w:ascii="宋体" w:hAnsi="宋体" w:eastAsia="宋体" w:cs="宋体"/>
                <w:b w:val="0"/>
                <w:color w:val="auto"/>
                <w:sz w:val="24"/>
                <w:szCs w:val="24"/>
              </w:rPr>
              <w:t>项目定位，设计方案科学合理。材质优良，舞台、展区、照明、宣传设计科学、合理、人性化；</w:t>
            </w:r>
          </w:p>
          <w:p>
            <w:pPr>
              <w:pStyle w:val="4"/>
              <w:widowControl/>
              <w:spacing w:before="48" w:beforeAutospacing="0" w:after="48" w:afterAutospacing="0"/>
              <w:ind w:left="0" w:right="0" w:firstLine="520" w:firstLineChars="217"/>
              <w:rPr>
                <w:rFonts w:hint="eastAsia" w:ascii="宋体" w:hAnsi="宋体" w:eastAsia="宋体" w:cs="宋体"/>
                <w:b w:val="0"/>
                <w:color w:val="auto"/>
                <w:sz w:val="24"/>
                <w:szCs w:val="24"/>
                <w:lang w:val="en-US"/>
              </w:rPr>
            </w:pPr>
            <w:r>
              <w:rPr>
                <w:rFonts w:hint="eastAsia" w:ascii="宋体" w:hAnsi="宋体" w:eastAsia="宋体" w:cs="宋体"/>
                <w:b w:val="0"/>
                <w:color w:val="auto"/>
                <w:sz w:val="24"/>
                <w:szCs w:val="24"/>
                <w:lang w:val="en-US"/>
              </w:rPr>
              <w:t>2</w:t>
            </w:r>
            <w:r>
              <w:rPr>
                <w:rFonts w:hint="eastAsia" w:ascii="宋体" w:hAnsi="宋体" w:eastAsia="宋体" w:cs="宋体"/>
                <w:b w:val="0"/>
                <w:color w:val="auto"/>
                <w:sz w:val="24"/>
                <w:szCs w:val="24"/>
              </w:rPr>
              <w:t>、方案创意性</w:t>
            </w:r>
            <w:bookmarkStart w:id="155" w:name="_GoBack"/>
            <w:bookmarkEnd w:id="155"/>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color w:val="auto"/>
                <w:lang w:val="en-US"/>
              </w:rPr>
            </w:pPr>
            <w:r>
              <w:rPr>
                <w:rFonts w:hint="eastAsia" w:ascii="宋体" w:hAnsi="宋体" w:eastAsia="宋体" w:cs="宋体"/>
                <w:color w:val="auto"/>
                <w:kern w:val="2"/>
                <w:sz w:val="24"/>
                <w:szCs w:val="24"/>
                <w:lang w:val="en-US" w:eastAsia="zh-CN" w:bidi="ar"/>
              </w:rPr>
              <w:t>形式设计理念新颖，风格独特；与主题协调统一，氛围营造突出主题；空间规划、动线设置合理，重点突出；氛围营造体现主题；</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color w:val="auto"/>
                <w:lang w:val="en-US"/>
              </w:rPr>
            </w:pPr>
            <w:r>
              <w:rPr>
                <w:rFonts w:hint="eastAsia" w:ascii="宋体" w:hAnsi="宋体" w:eastAsia="宋体" w:cs="宋体"/>
                <w:color w:val="auto"/>
                <w:kern w:val="2"/>
                <w:sz w:val="24"/>
                <w:szCs w:val="24"/>
                <w:lang w:val="en-US" w:eastAsia="zh-CN" w:bidi="ar"/>
              </w:rPr>
              <w:t>3、传播有效性</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b w:val="0"/>
                <w:color w:val="auto"/>
                <w:kern w:val="2"/>
                <w:sz w:val="24"/>
                <w:szCs w:val="24"/>
                <w:lang w:val="en-US" w:eastAsia="zh-CN" w:bidi="ar"/>
              </w:rPr>
              <w:t>传播方案完整，思路清晰，对大足荷棠产业发展及如梦荷棠·山湾时光乡村振兴示范项目的运营有正面引导和积极意义；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35" w:hRule="atLeast"/>
        </w:trPr>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60" w:lineRule="auto"/>
              <w:ind w:left="0" w:right="0" w:firstLine="0" w:firstLineChars="0"/>
              <w:jc w:val="left"/>
              <w:rPr>
                <w:rFonts w:hint="eastAsia" w:ascii="宋体" w:hAnsi="宋体" w:eastAsia="宋体" w:cs="宋体"/>
                <w:color w:val="auto"/>
                <w:lang w:val="en-US"/>
              </w:rPr>
            </w:pPr>
            <w:r>
              <w:rPr>
                <w:rFonts w:hint="eastAsia" w:ascii="宋体" w:hAnsi="宋体" w:eastAsia="宋体" w:cs="宋体"/>
                <w:color w:val="auto"/>
                <w:lang w:val="en-US" w:eastAsia="zh-CN"/>
              </w:rPr>
              <w:t>招商或</w:t>
            </w:r>
            <w:r>
              <w:rPr>
                <w:rFonts w:hint="eastAsia" w:ascii="宋体" w:hAnsi="宋体" w:eastAsia="宋体" w:cs="宋体"/>
                <w:color w:val="auto"/>
              </w:rPr>
              <w:t>资源嫁接（</w:t>
            </w:r>
            <w:r>
              <w:rPr>
                <w:rFonts w:hint="eastAsia" w:ascii="宋体" w:hAnsi="宋体" w:eastAsia="宋体" w:cs="宋体"/>
                <w:color w:val="auto"/>
                <w:lang w:val="en-US"/>
              </w:rPr>
              <w:t>10</w:t>
            </w:r>
            <w:r>
              <w:rPr>
                <w:rFonts w:hint="eastAsia" w:ascii="宋体" w:hAnsi="宋体" w:eastAsia="宋体" w:cs="宋体"/>
                <w:color w:val="auto"/>
              </w:rPr>
              <w:t>分）</w:t>
            </w:r>
          </w:p>
        </w:tc>
        <w:tc>
          <w:tcPr>
            <w:tcW w:w="7560"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spacing w:before="0" w:beforeAutospacing="0" w:after="0" w:afterAutospacing="0" w:line="320" w:lineRule="exact"/>
              <w:ind w:left="0" w:right="0" w:firstLine="420" w:firstLineChars="200"/>
              <w:jc w:val="both"/>
              <w:rPr>
                <w:rFonts w:hint="eastAsia" w:ascii="宋体" w:hAnsi="宋体" w:eastAsia="宋体" w:cs="宋体"/>
                <w:color w:val="auto"/>
                <w:lang w:val="en-US" w:eastAsia="zh-CN"/>
              </w:rPr>
            </w:pPr>
            <w:r>
              <w:rPr>
                <w:rFonts w:hint="eastAsia" w:ascii="宋体" w:hAnsi="宋体" w:eastAsia="宋体" w:cs="宋体"/>
                <w:color w:val="auto"/>
              </w:rPr>
              <w:t>结合活动本身，帮助主办方积极</w:t>
            </w:r>
            <w:r>
              <w:rPr>
                <w:rFonts w:hint="eastAsia" w:ascii="宋体" w:hAnsi="宋体" w:eastAsia="宋体" w:cs="宋体"/>
                <w:color w:val="auto"/>
                <w:lang w:val="en-US" w:eastAsia="zh-CN"/>
              </w:rPr>
              <w:t>招商或</w:t>
            </w:r>
            <w:r>
              <w:rPr>
                <w:rFonts w:hint="eastAsia" w:ascii="宋体" w:hAnsi="宋体" w:eastAsia="宋体" w:cs="宋体"/>
                <w:color w:val="auto"/>
              </w:rPr>
              <w:t>嫁接各类资源，</w:t>
            </w:r>
            <w:r>
              <w:rPr>
                <w:rFonts w:hint="eastAsia" w:ascii="宋体" w:hAnsi="宋体" w:eastAsia="宋体" w:cs="宋体"/>
                <w:color w:val="auto"/>
                <w:lang w:val="en-US" w:eastAsia="zh-CN"/>
              </w:rPr>
              <w:t>实现活动</w:t>
            </w:r>
            <w:r>
              <w:rPr>
                <w:rFonts w:hint="eastAsia" w:ascii="宋体" w:hAnsi="宋体" w:eastAsia="宋体" w:cs="宋体"/>
                <w:color w:val="auto"/>
              </w:rPr>
              <w:t>效</w:t>
            </w:r>
            <w:r>
              <w:rPr>
                <w:rFonts w:hint="eastAsia" w:ascii="宋体" w:hAnsi="宋体" w:eastAsia="宋体" w:cs="宋体"/>
                <w:color w:val="auto"/>
                <w:lang w:val="en-US" w:eastAsia="zh-CN"/>
              </w:rPr>
              <w:t>果</w:t>
            </w:r>
            <w:r>
              <w:rPr>
                <w:rFonts w:hint="eastAsia" w:ascii="宋体" w:hAnsi="宋体" w:eastAsia="宋体" w:cs="宋体"/>
                <w:color w:val="auto"/>
              </w:rPr>
              <w:t>提升的目标，结合资源包括但不限于赞助资源、渠道资源、招商资源等，并对所提供资源</w:t>
            </w:r>
            <w:r>
              <w:rPr>
                <w:rFonts w:hint="eastAsia" w:ascii="宋体" w:hAnsi="宋体" w:eastAsia="宋体" w:cs="宋体"/>
                <w:color w:val="auto"/>
                <w:lang w:val="en-US" w:eastAsia="zh-CN"/>
              </w:rPr>
              <w:t>或赞助金额</w:t>
            </w:r>
            <w:r>
              <w:rPr>
                <w:rFonts w:hint="eastAsia" w:ascii="宋体" w:hAnsi="宋体" w:eastAsia="宋体" w:cs="宋体"/>
                <w:color w:val="auto"/>
              </w:rPr>
              <w:t>进行承诺，根据资源嫁接的有效性，</w:t>
            </w:r>
            <w:r>
              <w:rPr>
                <w:rFonts w:hint="eastAsia" w:ascii="宋体" w:hAnsi="宋体" w:eastAsia="宋体" w:cs="宋体"/>
                <w:color w:val="auto"/>
                <w:lang w:val="en-US"/>
              </w:rPr>
              <w:t>1</w:t>
            </w:r>
            <w:r>
              <w:rPr>
                <w:rFonts w:hint="eastAsia" w:ascii="宋体" w:hAnsi="宋体" w:eastAsia="宋体" w:cs="宋体"/>
                <w:color w:val="auto"/>
              </w:rPr>
              <w:t>个资源</w:t>
            </w:r>
            <w:r>
              <w:rPr>
                <w:rFonts w:hint="eastAsia" w:ascii="宋体" w:hAnsi="宋体" w:eastAsia="宋体" w:cs="宋体"/>
                <w:color w:val="auto"/>
                <w:lang w:val="en-US"/>
              </w:rPr>
              <w:t>2</w:t>
            </w:r>
            <w:r>
              <w:rPr>
                <w:rFonts w:hint="eastAsia" w:ascii="宋体" w:hAnsi="宋体" w:eastAsia="宋体" w:cs="宋体"/>
                <w:color w:val="auto"/>
              </w:rPr>
              <w:t>分，</w:t>
            </w:r>
            <w:r>
              <w:rPr>
                <w:rFonts w:hint="eastAsia" w:ascii="宋体" w:hAnsi="宋体" w:eastAsia="宋体" w:cs="宋体"/>
                <w:color w:val="auto"/>
                <w:lang w:val="en-US" w:eastAsia="zh-CN"/>
              </w:rPr>
              <w:t>或赞助金额10万元以上，</w:t>
            </w:r>
            <w:r>
              <w:rPr>
                <w:rFonts w:hint="eastAsia" w:ascii="宋体" w:hAnsi="宋体" w:eastAsia="宋体" w:cs="宋体"/>
                <w:color w:val="auto"/>
              </w:rPr>
              <w:t>总分</w:t>
            </w:r>
            <w:r>
              <w:rPr>
                <w:rFonts w:hint="eastAsia" w:ascii="宋体" w:hAnsi="宋体" w:eastAsia="宋体" w:cs="宋体"/>
                <w:color w:val="auto"/>
                <w:lang w:val="en-US"/>
              </w:rPr>
              <w:t>10</w:t>
            </w:r>
            <w:r>
              <w:rPr>
                <w:rFonts w:hint="eastAsia" w:ascii="宋体" w:hAnsi="宋体" w:eastAsia="宋体" w:cs="宋体"/>
                <w:color w:val="auto"/>
              </w:rPr>
              <w:t>分。</w:t>
            </w:r>
            <w:r>
              <w:rPr>
                <w:rFonts w:hint="eastAsia" w:ascii="宋体" w:hAnsi="宋体" w:eastAsia="宋体" w:cs="宋体"/>
                <w:color w:val="auto"/>
                <w:lang w:eastAsia="zh-CN"/>
              </w:rPr>
              <w:t>（</w:t>
            </w:r>
            <w:r>
              <w:rPr>
                <w:rFonts w:hint="eastAsia" w:ascii="宋体" w:hAnsi="宋体" w:eastAsia="宋体" w:cs="宋体"/>
                <w:color w:val="auto"/>
                <w:lang w:val="en-US" w:eastAsia="zh-CN"/>
              </w:rPr>
              <w:t>如活动实施过程中中标方不能兑现承诺，业主方实际付款时将扣除承诺金额后付活动费用</w:t>
            </w:r>
            <w:r>
              <w:rPr>
                <w:rFonts w:hint="eastAsia" w:ascii="宋体" w:hAnsi="宋体" w:eastAsia="宋体" w:cs="宋体"/>
                <w:color w:val="auto"/>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99" w:hRule="atLeast"/>
        </w:trPr>
        <w:tc>
          <w:tcPr>
            <w:tcW w:w="1440"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kinsoku w:val="0"/>
              <w:spacing w:before="0" w:beforeAutospacing="0" w:after="0" w:afterAutospacing="0" w:line="500" w:lineRule="exact"/>
              <w:ind w:left="0" w:right="0" w:firstLine="0" w:firstLineChars="0"/>
              <w:jc w:val="left"/>
              <w:rPr>
                <w:rFonts w:hint="default" w:ascii="宋体" w:hAnsi="宋体" w:eastAsia="宋体" w:cs="宋体"/>
                <w:color w:val="auto"/>
                <w:lang w:val="en-US"/>
              </w:rPr>
            </w:pPr>
            <w:r>
              <w:rPr>
                <w:rFonts w:hint="eastAsia" w:ascii="宋体" w:hAnsi="宋体" w:eastAsia="宋体" w:cs="宋体"/>
                <w:color w:val="auto"/>
                <w:kern w:val="2"/>
                <w:sz w:val="24"/>
                <w:szCs w:val="24"/>
                <w:lang w:val="en-US" w:eastAsia="zh-CN" w:bidi="ar"/>
              </w:rPr>
              <w:t>执行能力保证</w:t>
            </w:r>
          </w:p>
          <w:p>
            <w:pPr>
              <w:keepNext w:val="0"/>
              <w:keepLines w:val="0"/>
              <w:widowControl/>
              <w:suppressLineNumbers w:val="0"/>
              <w:kinsoku w:val="0"/>
              <w:spacing w:before="0" w:beforeAutospacing="0" w:after="0" w:afterAutospacing="0" w:line="500" w:lineRule="exact"/>
              <w:ind w:left="0" w:right="0" w:firstLine="0" w:firstLineChars="0"/>
              <w:jc w:val="left"/>
              <w:rPr>
                <w:rFonts w:hint="eastAsia" w:ascii="宋体" w:hAnsi="宋体" w:eastAsia="宋体" w:cs="宋体"/>
                <w:color w:val="auto"/>
                <w:lang w:val="en-US"/>
              </w:rPr>
            </w:pPr>
            <w:r>
              <w:rPr>
                <w:rFonts w:hint="eastAsia" w:ascii="宋体" w:hAnsi="宋体" w:eastAsia="宋体" w:cs="宋体"/>
                <w:color w:val="auto"/>
              </w:rPr>
              <w:t>（</w:t>
            </w:r>
            <w:r>
              <w:rPr>
                <w:rFonts w:hint="eastAsia" w:ascii="宋体" w:hAnsi="宋体" w:eastAsia="宋体" w:cs="宋体"/>
                <w:color w:val="auto"/>
                <w:lang w:val="en-US"/>
              </w:rPr>
              <w:t>10</w:t>
            </w:r>
            <w:r>
              <w:rPr>
                <w:rFonts w:hint="eastAsia" w:ascii="宋体" w:hAnsi="宋体" w:eastAsia="宋体" w:cs="宋体"/>
                <w:color w:val="auto"/>
              </w:rPr>
              <w:t>分）</w:t>
            </w:r>
          </w:p>
        </w:tc>
        <w:tc>
          <w:tcPr>
            <w:tcW w:w="75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20" w:lineRule="exact"/>
              <w:ind w:left="0" w:right="0" w:firstLine="420" w:firstLineChars="200"/>
              <w:jc w:val="left"/>
              <w:rPr>
                <w:rFonts w:hint="default" w:ascii="宋体" w:hAnsi="宋体" w:eastAsia="宋体" w:cs="宋体"/>
                <w:color w:val="auto"/>
                <w:lang w:val="en-US" w:eastAsia="zh-CN" w:bidi="ar"/>
              </w:rPr>
            </w:pPr>
            <w:r>
              <w:rPr>
                <w:rFonts w:hint="eastAsia" w:ascii="宋体" w:hAnsi="宋体" w:eastAsia="宋体" w:cs="宋体"/>
                <w:color w:val="auto"/>
                <w:lang w:bidi="ar"/>
              </w:rPr>
              <w:t>执行能力强，单位配备专属执行团队服务本项目，项目成员经验丰富、执行力强，执行细节考虑周到。</w:t>
            </w:r>
            <w:r>
              <w:rPr>
                <w:rFonts w:hint="eastAsia" w:ascii="宋体" w:hAnsi="宋体" w:eastAsia="宋体" w:cs="宋体"/>
                <w:color w:val="auto"/>
                <w:lang w:val="en-US" w:eastAsia="zh-CN" w:bidi="ar"/>
              </w:rPr>
              <w:t>整个活动安全、有序、高效。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1440" w:type="dxa"/>
            <w:tcBorders>
              <w:top w:val="single" w:color="auto" w:sz="4" w:space="0"/>
              <w:left w:val="single" w:color="auto" w:sz="4" w:space="0"/>
              <w:bottom w:val="single" w:color="auto" w:sz="4" w:space="0"/>
              <w:right w:val="single" w:color="auto" w:sz="4" w:space="0"/>
            </w:tcBorders>
            <w:shd w:val="clear" w:color="auto" w:fill="auto"/>
            <w:vAlign w:val="top"/>
          </w:tcPr>
          <w:p>
            <w:pPr>
              <w:keepNext w:val="0"/>
              <w:keepLines w:val="0"/>
              <w:widowControl/>
              <w:suppressLineNumbers w:val="0"/>
              <w:kinsoku w:val="0"/>
              <w:spacing w:before="0" w:beforeAutospacing="0" w:after="0" w:afterAutospacing="0" w:line="500" w:lineRule="exact"/>
              <w:ind w:left="0" w:right="0" w:firstLine="0" w:firstLineChars="0"/>
              <w:jc w:val="left"/>
              <w:rPr>
                <w:rFonts w:hint="eastAsia" w:ascii="宋体" w:hAnsi="宋体" w:eastAsia="宋体" w:cs="宋体"/>
                <w:lang w:val="en-US"/>
              </w:rPr>
            </w:pPr>
            <w:r>
              <w:rPr>
                <w:rFonts w:hint="eastAsia" w:ascii="宋体" w:hAnsi="宋体" w:eastAsia="宋体" w:cs="宋体"/>
              </w:rPr>
              <w:t>投标人最终得分的计算方法</w:t>
            </w:r>
          </w:p>
        </w:tc>
        <w:tc>
          <w:tcPr>
            <w:tcW w:w="75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360" w:lineRule="auto"/>
              <w:ind w:left="0" w:right="0" w:firstLine="0" w:firstLineChars="0"/>
              <w:jc w:val="left"/>
              <w:rPr>
                <w:rFonts w:hint="eastAsia" w:ascii="宋体" w:hAnsi="宋体" w:eastAsia="宋体" w:cs="宋体"/>
                <w:lang w:val="en-US"/>
              </w:rPr>
            </w:pPr>
            <w:r>
              <w:rPr>
                <w:rFonts w:hint="eastAsia" w:ascii="宋体" w:hAnsi="宋体" w:eastAsia="宋体" w:cs="宋体"/>
              </w:rPr>
              <w:t>投标人最终得分</w:t>
            </w:r>
            <w:r>
              <w:rPr>
                <w:rFonts w:hint="eastAsia" w:ascii="宋体" w:hAnsi="宋体" w:eastAsia="宋体" w:cs="宋体"/>
                <w:lang w:val="en-US"/>
              </w:rPr>
              <w:t>=</w:t>
            </w:r>
            <w:r>
              <w:rPr>
                <w:rFonts w:hint="eastAsia" w:ascii="宋体" w:hAnsi="宋体" w:eastAsia="宋体" w:cs="宋体"/>
              </w:rPr>
              <w:t>活动报价得分</w:t>
            </w:r>
            <w:r>
              <w:rPr>
                <w:rFonts w:hint="eastAsia" w:ascii="宋体" w:hAnsi="宋体" w:eastAsia="宋体" w:cs="宋体"/>
                <w:lang w:val="en-US"/>
              </w:rPr>
              <w:t>+</w:t>
            </w:r>
            <w:r>
              <w:rPr>
                <w:rFonts w:hint="eastAsia" w:ascii="宋体" w:hAnsi="宋体" w:eastAsia="宋体" w:cs="宋体"/>
              </w:rPr>
              <w:t>策划方案得分</w:t>
            </w:r>
            <w:r>
              <w:rPr>
                <w:rFonts w:hint="eastAsia" w:ascii="宋体" w:hAnsi="宋体" w:eastAsia="宋体" w:cs="宋体"/>
                <w:lang w:val="en-US"/>
              </w:rPr>
              <w:t>+</w:t>
            </w:r>
            <w:r>
              <w:rPr>
                <w:rFonts w:hint="eastAsia" w:ascii="宋体" w:hAnsi="宋体" w:eastAsia="宋体" w:cs="宋体"/>
                <w:lang w:val="en-US" w:eastAsia="zh-CN"/>
              </w:rPr>
              <w:t>招商（</w:t>
            </w:r>
            <w:r>
              <w:rPr>
                <w:rFonts w:hint="eastAsia" w:ascii="宋体" w:hAnsi="宋体" w:eastAsia="宋体" w:cs="宋体"/>
              </w:rPr>
              <w:t>资源嫁接</w:t>
            </w:r>
            <w:r>
              <w:rPr>
                <w:rFonts w:hint="eastAsia" w:ascii="宋体" w:hAnsi="宋体" w:eastAsia="宋体" w:cs="宋体"/>
                <w:lang w:eastAsia="zh-CN"/>
              </w:rPr>
              <w:t>）</w:t>
            </w:r>
            <w:r>
              <w:rPr>
                <w:rFonts w:hint="eastAsia" w:ascii="宋体" w:hAnsi="宋体" w:eastAsia="宋体" w:cs="宋体"/>
              </w:rPr>
              <w:t>得分</w:t>
            </w:r>
            <w:r>
              <w:rPr>
                <w:rFonts w:hint="eastAsia" w:ascii="宋体" w:hAnsi="宋体" w:eastAsia="宋体" w:cs="宋体"/>
                <w:lang w:val="en-US"/>
              </w:rPr>
              <w:t>+</w:t>
            </w:r>
            <w:r>
              <w:rPr>
                <w:rFonts w:hint="eastAsia" w:ascii="宋体" w:hAnsi="宋体" w:eastAsia="宋体" w:cs="宋体"/>
              </w:rPr>
              <w:t>执行能力得分</w:t>
            </w:r>
          </w:p>
        </w:tc>
      </w:tr>
    </w:tbl>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w:t>
      </w:r>
      <w:bookmarkEnd w:id="77"/>
      <w:bookmarkEnd w:id="78"/>
      <w:r>
        <w:rPr>
          <w:rFonts w:hint="eastAsia" w:ascii="宋体" w:hAnsi="宋体" w:eastAsia="宋体" w:cs="宋体"/>
          <w:kern w:val="2"/>
          <w:sz w:val="24"/>
          <w:szCs w:val="24"/>
          <w:lang w:val="en-US" w:eastAsia="zh-CN" w:bidi="ar"/>
        </w:rPr>
        <w:t>）本次评标采用综合评估法。评标委员会对满足招标文件实质性要求的投标文件，按照本章规定的评分标准进行打分，并按得分由高到低顺序推荐中标候选人。综合评分相等时，以投标报价低的优先；投标报价也相等的，由招标人自行确定。</w:t>
      </w:r>
    </w:p>
    <w:p>
      <w:pPr>
        <w:pStyle w:val="3"/>
        <w:widowControl/>
        <w:spacing w:before="48" w:beforeAutospacing="0" w:after="48" w:afterAutospacing="0"/>
        <w:ind w:left="0" w:right="0" w:firstLine="420"/>
        <w:rPr>
          <w:rFonts w:eastAsia="宋体"/>
          <w:b w:val="0"/>
          <w:lang w:val="en-US"/>
        </w:rPr>
      </w:pPr>
      <w:bookmarkStart w:id="79" w:name="_Toc27490"/>
      <w:bookmarkStart w:id="80" w:name="_Toc474603927"/>
      <w:r>
        <w:rPr>
          <w:rFonts w:eastAsia="宋体"/>
          <w:b w:val="0"/>
          <w:lang w:eastAsia="zh-CN"/>
        </w:rPr>
        <w:t>三、无效响应</w:t>
      </w:r>
      <w:bookmarkEnd w:id="79"/>
      <w:bookmarkEnd w:id="80"/>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供应商发生以下条款情况之一者，视为无效响应，其响应文件将被拒绝：</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（一）供应商不符合规定的基本资格条件或特定资格条件的；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（二）供应商的法定代表人或其授权代表未参加比选；</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（三）供应商所提交的响应文件不按第七篇“响应文件编制要求”规定签字、盖章；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（四）供应商的最后报价超过采购限价的；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（五）法定代表人为同一个人的两个及两个以上法人，母公司、全资子公司及其控股公司，在同一分包采购中同时参与比选；</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（六）单位负责人为同一人或者存在直接控股、管理关系的不同供应商，参加同一合同项下的政府采购活动的；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（七）为采购项目提供整体设计、规范编制或者项目管理、监理、检测等服务的供应商，再参加该采购项目的其他采购活动；</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（八）供应商的服务期、质量保证期及比选有效期不满足竞争性比选文件要求的；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（九）供应商响应文件内容有与国家现行法律法规相违背的内容，或附有采购人无法接受的条件。</w:t>
      </w:r>
    </w:p>
    <w:bookmarkEnd w:id="75"/>
    <w:bookmarkEnd w:id="76"/>
    <w:p>
      <w:pPr>
        <w:pStyle w:val="3"/>
        <w:widowControl/>
        <w:spacing w:before="48" w:beforeAutospacing="0" w:after="48" w:afterAutospacing="0"/>
        <w:ind w:left="0" w:right="0" w:firstLine="420"/>
        <w:rPr>
          <w:rFonts w:eastAsia="宋体"/>
          <w:b w:val="0"/>
          <w:lang w:val="en-US"/>
        </w:rPr>
      </w:pPr>
      <w:bookmarkStart w:id="81" w:name="_Toc8634462"/>
      <w:bookmarkStart w:id="82" w:name="_Toc492721019"/>
      <w:bookmarkStart w:id="83" w:name="_Toc4427"/>
      <w:bookmarkStart w:id="84" w:name="_Toc102227313"/>
      <w:r>
        <w:rPr>
          <w:rFonts w:eastAsia="宋体"/>
          <w:b w:val="0"/>
          <w:lang w:eastAsia="zh-CN"/>
        </w:rPr>
        <w:t>四、废标条款</w:t>
      </w:r>
      <w:bookmarkEnd w:id="81"/>
      <w:bookmarkEnd w:id="82"/>
      <w:bookmarkEnd w:id="83"/>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评标委员会评审时出现以下情况之一的，应予废标：</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（一）符合专业条件的投标人或者对招标文件作实质响应的投标人不足三家的；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（二）投标人的报价均超过了采购预算，采购人不能支付的；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（三）出现影响采购公正的违法、违规行为的；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（四）因重大变故，采购任务取消的。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废标后，除采购任务取消情形外，应当重新组织采购。</w:t>
      </w:r>
    </w:p>
    <w:p>
      <w:pPr>
        <w:pStyle w:val="2"/>
        <w:widowControl/>
        <w:spacing w:before="120" w:beforeAutospacing="0" w:after="120" w:afterAutospacing="0"/>
        <w:ind w:left="0" w:right="0" w:firstLine="640"/>
        <w:rPr>
          <w:rFonts w:hint="eastAsia" w:ascii="宋体" w:hAnsi="宋体" w:eastAsia="宋体" w:cs="宋体"/>
          <w:b w:val="0"/>
          <w:lang w:val="en-US"/>
        </w:rPr>
      </w:pPr>
      <w:r>
        <w:rPr>
          <w:rFonts w:hint="eastAsia" w:ascii="宋体" w:hAnsi="宋体" w:eastAsia="宋体" w:cs="Times New Roman"/>
          <w:kern w:val="44"/>
          <w:sz w:val="32"/>
          <w:szCs w:val="44"/>
          <w:lang w:val="en-US" w:eastAsia="zh-CN" w:bidi="ar"/>
        </w:rPr>
        <w:br w:type="page"/>
      </w:r>
      <w:bookmarkStart w:id="85" w:name="_Toc474603929"/>
      <w:bookmarkStart w:id="86" w:name="_Toc17393"/>
      <w:r>
        <w:rPr>
          <w:rFonts w:hint="eastAsia" w:ascii="宋体" w:hAnsi="宋体" w:eastAsia="宋体" w:cs="宋体"/>
          <w:b w:val="0"/>
          <w:lang w:eastAsia="zh-CN"/>
        </w:rPr>
        <w:t>第五篇</w:t>
      </w:r>
      <w:r>
        <w:rPr>
          <w:rFonts w:hint="eastAsia" w:ascii="宋体" w:hAnsi="宋体" w:eastAsia="宋体" w:cs="宋体"/>
          <w:b w:val="0"/>
          <w:lang w:val="en-US"/>
        </w:rPr>
        <w:t xml:space="preserve">  </w:t>
      </w:r>
      <w:r>
        <w:rPr>
          <w:rFonts w:hint="eastAsia" w:ascii="宋体" w:hAnsi="宋体" w:eastAsia="宋体" w:cs="宋体"/>
          <w:b w:val="0"/>
          <w:lang w:eastAsia="zh-CN"/>
        </w:rPr>
        <w:t>供应商须知</w:t>
      </w:r>
      <w:bookmarkEnd w:id="84"/>
      <w:bookmarkEnd w:id="85"/>
      <w:bookmarkEnd w:id="86"/>
    </w:p>
    <w:p>
      <w:pPr>
        <w:pStyle w:val="3"/>
        <w:widowControl/>
        <w:spacing w:before="48" w:beforeAutospacing="0" w:after="48" w:afterAutospacing="0"/>
        <w:ind w:left="0" w:right="0" w:firstLine="420"/>
        <w:rPr>
          <w:rFonts w:eastAsia="宋体"/>
          <w:b w:val="0"/>
          <w:lang w:val="en-US"/>
        </w:rPr>
      </w:pPr>
      <w:bookmarkStart w:id="87" w:name="_Toc474603930"/>
      <w:bookmarkStart w:id="88" w:name="_Toc29697"/>
      <w:bookmarkStart w:id="89" w:name="_Toc342913389"/>
      <w:r>
        <w:rPr>
          <w:rFonts w:eastAsia="宋体"/>
          <w:b w:val="0"/>
          <w:lang w:eastAsia="zh-CN"/>
        </w:rPr>
        <w:t>一、比选费用</w:t>
      </w:r>
      <w:bookmarkEnd w:id="87"/>
      <w:bookmarkEnd w:id="88"/>
      <w:bookmarkEnd w:id="89"/>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参与比选的供应商应承担其编制响应文件与递交响应文件所涉及的一切费用，不论比选结果如何，采购人在任何情况下无义务也无责任承担这些费用。</w:t>
      </w:r>
    </w:p>
    <w:p>
      <w:pPr>
        <w:pStyle w:val="3"/>
        <w:widowControl/>
        <w:spacing w:before="48" w:beforeAutospacing="0" w:after="48" w:afterAutospacing="0"/>
        <w:ind w:left="0" w:right="0" w:firstLine="420"/>
        <w:rPr>
          <w:rFonts w:eastAsia="宋体"/>
          <w:b w:val="0"/>
          <w:lang w:val="en-US"/>
        </w:rPr>
      </w:pPr>
      <w:bookmarkStart w:id="90" w:name="_Toc474603931"/>
      <w:bookmarkStart w:id="91" w:name="_Toc342913391"/>
      <w:bookmarkStart w:id="92" w:name="_Toc5253"/>
      <w:r>
        <w:rPr>
          <w:rFonts w:eastAsia="宋体"/>
          <w:b w:val="0"/>
          <w:lang w:eastAsia="zh-CN"/>
        </w:rPr>
        <w:t>二、竞争性比选文件</w:t>
      </w:r>
      <w:bookmarkEnd w:id="90"/>
      <w:bookmarkEnd w:id="91"/>
      <w:bookmarkEnd w:id="92"/>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（一）竞争性比选文件由采购邀请书、供应商须知、采购服务需求、采购商务需求、合同草案条款、响应文件编制要求六部分组成。</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（二）采购人（或采购代理机构）所作的一切有效的书面通知、修改及补充，都是竞争性比选文件不可分割的部分。</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93" w:name="_Toc318166429"/>
      <w:bookmarkStart w:id="94" w:name="_Toc318159160"/>
      <w:bookmarkStart w:id="95" w:name="_Toc318159780"/>
      <w:bookmarkStart w:id="96" w:name="_Toc318159349"/>
      <w:r>
        <w:rPr>
          <w:rFonts w:hint="eastAsia" w:ascii="宋体" w:hAnsi="宋体" w:eastAsia="宋体" w:cs="宋体"/>
          <w:kern w:val="2"/>
          <w:sz w:val="24"/>
          <w:szCs w:val="24"/>
          <w:lang w:val="en-US" w:eastAsia="zh-CN" w:bidi="ar"/>
        </w:rPr>
        <w:t>（三）评审的依据为竞争性比选文件和响应文件（含有效的书面承诺）。评标小组判断响应文件对竞争性比选文件的响应，仅基于响应文件本身而不靠外部证据。</w:t>
      </w:r>
    </w:p>
    <w:bookmarkEnd w:id="93"/>
    <w:bookmarkEnd w:id="94"/>
    <w:bookmarkEnd w:id="95"/>
    <w:bookmarkEnd w:id="96"/>
    <w:p>
      <w:pPr>
        <w:pStyle w:val="3"/>
        <w:widowControl/>
        <w:spacing w:before="48" w:beforeAutospacing="0" w:after="48" w:afterAutospacing="0"/>
        <w:ind w:left="0" w:right="0" w:firstLine="420"/>
        <w:rPr>
          <w:rFonts w:eastAsia="宋体"/>
          <w:b w:val="0"/>
          <w:lang w:val="en-US"/>
        </w:rPr>
      </w:pPr>
      <w:bookmarkStart w:id="97" w:name="_Toc179714297"/>
      <w:bookmarkStart w:id="98" w:name="_Toc342913392"/>
      <w:bookmarkStart w:id="99" w:name="_Toc18191"/>
      <w:bookmarkStart w:id="100" w:name="_Toc102227318"/>
      <w:bookmarkStart w:id="101" w:name="_Toc474603932"/>
      <w:r>
        <w:rPr>
          <w:rFonts w:eastAsia="宋体"/>
          <w:b w:val="0"/>
          <w:lang w:eastAsia="zh-CN"/>
        </w:rPr>
        <w:t>三、比选要求</w:t>
      </w:r>
      <w:bookmarkEnd w:id="97"/>
      <w:bookmarkEnd w:id="98"/>
      <w:bookmarkEnd w:id="99"/>
      <w:bookmarkEnd w:id="100"/>
      <w:bookmarkEnd w:id="101"/>
    </w:p>
    <w:p>
      <w:pPr>
        <w:pStyle w:val="4"/>
        <w:widowControl/>
        <w:spacing w:before="48" w:beforeAutospacing="0" w:after="48" w:afterAutospacing="0"/>
        <w:ind w:left="0" w:right="0" w:firstLine="640"/>
        <w:rPr>
          <w:rFonts w:hint="eastAsia" w:ascii="宋体" w:hAnsi="宋体" w:eastAsia="宋体" w:cs="宋体"/>
          <w:b w:val="0"/>
          <w:lang w:val="en-US"/>
        </w:rPr>
      </w:pPr>
      <w:bookmarkStart w:id="102" w:name="_Toc474603933"/>
      <w:r>
        <w:rPr>
          <w:rFonts w:hint="eastAsia" w:ascii="宋体" w:hAnsi="宋体" w:eastAsia="宋体" w:cs="宋体"/>
          <w:b w:val="0"/>
          <w:lang w:eastAsia="zh-CN"/>
        </w:rPr>
        <w:t>（一）响应文件</w:t>
      </w:r>
      <w:bookmarkEnd w:id="102"/>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1、供应商应当按照竞争性比选文件的要求编制响应文件，并对竞争性比选文件提出的要求和条件作出实质性响应，响应文件原则上采用软面订本，同时应编制完整的页码、目录。</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2、响应文件组成</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响应文件由第六篇“响应文件编制要求”规定的部分和供应商所作的一切有效补充、修改和承诺等文件组成，供应商应按照第六篇“响应文件编制要求”规定的目录顺序组织编写和装订，也可在基本格式基础上对表格进行扩展，未规定格式的由供应商自定格式。</w:t>
      </w:r>
    </w:p>
    <w:p>
      <w:pPr>
        <w:pStyle w:val="4"/>
        <w:widowControl/>
        <w:spacing w:before="48" w:beforeAutospacing="0" w:after="48" w:afterAutospacing="0"/>
        <w:ind w:left="0" w:right="0" w:firstLine="640"/>
        <w:rPr>
          <w:rFonts w:hint="eastAsia" w:ascii="宋体" w:hAnsi="宋体" w:eastAsia="宋体" w:cs="宋体"/>
          <w:b w:val="0"/>
          <w:lang w:val="en-US"/>
        </w:rPr>
      </w:pPr>
      <w:bookmarkStart w:id="103" w:name="_Toc474603935"/>
      <w:r>
        <w:rPr>
          <w:rFonts w:hint="eastAsia" w:ascii="宋体" w:hAnsi="宋体" w:eastAsia="宋体" w:cs="宋体"/>
          <w:b w:val="0"/>
          <w:lang w:eastAsia="zh-CN"/>
        </w:rPr>
        <w:t>（二）比选有效期</w:t>
      </w:r>
      <w:bookmarkEnd w:id="103"/>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响应文件及有关承诺文件有效期为提交响应文件截止时间起90天。</w:t>
      </w:r>
    </w:p>
    <w:p>
      <w:pPr>
        <w:pStyle w:val="4"/>
        <w:widowControl/>
        <w:spacing w:before="48" w:beforeAutospacing="0" w:after="48" w:afterAutospacing="0"/>
        <w:ind w:left="0" w:right="0" w:firstLine="640"/>
        <w:rPr>
          <w:rFonts w:hint="eastAsia" w:ascii="宋体" w:hAnsi="宋体" w:eastAsia="宋体" w:cs="宋体"/>
          <w:b w:val="0"/>
          <w:lang w:val="en-US"/>
        </w:rPr>
      </w:pPr>
      <w:bookmarkStart w:id="104" w:name="_Toc474603936"/>
      <w:bookmarkStart w:id="105" w:name="_Toc474603937"/>
      <w:r>
        <w:rPr>
          <w:rFonts w:hint="eastAsia" w:ascii="宋体" w:hAnsi="宋体" w:eastAsia="宋体" w:cs="宋体"/>
          <w:b w:val="0"/>
          <w:lang w:eastAsia="zh-CN"/>
        </w:rPr>
        <w:t>（三）投标保证金：</w:t>
      </w:r>
      <w:bookmarkEnd w:id="104"/>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1、供应商提交保证金金额和方式详见“第一篇  四、投标、比选有关说明（三）投标保证金缴纳”； </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2、发生以下情况之一者，投标保证金不予退还：</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2.1供应商在提交响应文件截止时间后撤回响应文件的；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2.2供应商在响应文件中提供虚假材料的；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2.3除因不可抗力或竞争性比选文件认可的情形以外，成交供应商不与采购人签订合同的；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2.4供应商与采购人、其他供应商或者采购人恶意串通的；</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2.5成交供应商不按规定的时间或拒绝按成交状态签订合同（即不按照采购文件确定的合同文本以及采购标的、规格型号、采购金额、采购数量、技术和服务要求等事项签订政府采购合同的）。</w:t>
      </w:r>
    </w:p>
    <w:p>
      <w:pPr>
        <w:pStyle w:val="4"/>
        <w:widowControl/>
        <w:spacing w:before="48" w:beforeAutospacing="0" w:after="48" w:afterAutospacing="0"/>
        <w:ind w:left="0" w:right="0" w:firstLine="640"/>
        <w:rPr>
          <w:rFonts w:hint="eastAsia" w:ascii="宋体" w:hAnsi="宋体" w:eastAsia="宋体" w:cs="宋体"/>
          <w:b w:val="0"/>
          <w:lang w:val="en-US"/>
        </w:rPr>
      </w:pPr>
      <w:r>
        <w:rPr>
          <w:rFonts w:hint="eastAsia" w:ascii="宋体" w:hAnsi="宋体" w:eastAsia="宋体" w:cs="宋体"/>
          <w:b w:val="0"/>
          <w:lang w:eastAsia="zh-CN"/>
        </w:rPr>
        <w:t>（四）修正错误</w:t>
      </w:r>
      <w:bookmarkEnd w:id="105"/>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1、若供应商所递交的响应文件报价中的价格出现大写金额和小写金额不一致的错误，以大写金额修正为准。</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2、评标小组按上述修正错误的原则及方法修正供应商的报价，供应商同意并签字确认后，修正后的报价对供应商具有约束作用。如果供应商不接受修正后的价格，将失去成为成交供应商的资格。</w:t>
      </w:r>
    </w:p>
    <w:p>
      <w:pPr>
        <w:pStyle w:val="4"/>
        <w:widowControl/>
        <w:spacing w:before="48" w:beforeAutospacing="0" w:after="48" w:afterAutospacing="0"/>
        <w:ind w:left="0" w:right="0" w:firstLine="640"/>
        <w:rPr>
          <w:rFonts w:hint="eastAsia" w:ascii="宋体" w:hAnsi="宋体" w:eastAsia="宋体" w:cs="宋体"/>
          <w:b w:val="0"/>
          <w:lang w:val="en-US"/>
        </w:rPr>
      </w:pPr>
      <w:bookmarkStart w:id="106" w:name="_Toc474603938"/>
      <w:r>
        <w:rPr>
          <w:rFonts w:hint="eastAsia" w:ascii="宋体" w:hAnsi="宋体" w:eastAsia="宋体" w:cs="宋体"/>
          <w:b w:val="0"/>
          <w:lang w:eastAsia="zh-CN"/>
        </w:rPr>
        <w:t>（五）提交响应文件的份数和签署</w:t>
      </w:r>
      <w:bookmarkEnd w:id="106"/>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107" w:name="_Toc474603939"/>
      <w:r>
        <w:rPr>
          <w:rFonts w:hint="eastAsia" w:ascii="宋体" w:hAnsi="宋体" w:eastAsia="宋体" w:cs="宋体"/>
          <w:kern w:val="2"/>
          <w:sz w:val="24"/>
          <w:szCs w:val="24"/>
          <w:lang w:val="en-US" w:eastAsia="zh-CN" w:bidi="ar"/>
        </w:rPr>
        <w:t>（1）投标文件一式3份，其中正本1份，副本2份。副本与正本不一致时以正本为准。</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（2）投标文件正、副本按投标文件格式中规定要求签字，逐页加盖公章。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（3）若投标人对投标文件的错处作必要修改，则应在修改处加盖投标人公章或由法人或法人授权代表签字确认。</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（4）电报、电话、传真形式的投标文件概不接受。</w:t>
      </w:r>
    </w:p>
    <w:p>
      <w:pPr>
        <w:pStyle w:val="4"/>
        <w:widowControl/>
        <w:spacing w:before="48" w:beforeAutospacing="0" w:after="48" w:afterAutospacing="0"/>
        <w:ind w:left="0" w:right="0" w:firstLine="640"/>
        <w:rPr>
          <w:rFonts w:hint="eastAsia" w:ascii="宋体" w:hAnsi="宋体" w:eastAsia="宋体" w:cs="宋体"/>
          <w:b w:val="0"/>
          <w:lang w:val="en-US"/>
        </w:rPr>
      </w:pPr>
      <w:r>
        <w:rPr>
          <w:rFonts w:hint="eastAsia" w:ascii="宋体" w:hAnsi="宋体" w:eastAsia="宋体" w:cs="宋体"/>
          <w:b w:val="0"/>
          <w:lang w:eastAsia="zh-CN"/>
        </w:rPr>
        <w:t>（六）响应文件的递交</w:t>
      </w:r>
      <w:bookmarkEnd w:id="107"/>
    </w:p>
    <w:p>
      <w:pPr>
        <w:pStyle w:val="5"/>
        <w:widowControl/>
        <w:spacing w:before="24" w:beforeAutospacing="0" w:after="24" w:afterAutospacing="0"/>
        <w:ind w:left="0" w:right="0" w:firstLine="525"/>
        <w:rPr>
          <w:rFonts w:hint="eastAsia" w:ascii="宋体" w:hAnsi="宋体" w:eastAsia="宋体" w:cs="宋体"/>
          <w:b w:val="0"/>
          <w:lang w:val="en-US"/>
        </w:rPr>
      </w:pPr>
      <w:r>
        <w:rPr>
          <w:rFonts w:hint="eastAsia" w:ascii="宋体" w:hAnsi="宋体" w:eastAsia="宋体" w:cs="宋体"/>
          <w:b w:val="0"/>
          <w:lang w:val="en-US"/>
        </w:rPr>
        <w:t>1.</w:t>
      </w:r>
      <w:r>
        <w:rPr>
          <w:rFonts w:hint="eastAsia" w:ascii="宋体" w:hAnsi="宋体" w:eastAsia="宋体" w:cs="宋体"/>
          <w:b w:val="0"/>
          <w:lang w:eastAsia="zh-CN"/>
        </w:rPr>
        <w:t>投标文件的编制、标记及包装要求</w:t>
      </w:r>
    </w:p>
    <w:p>
      <w:pPr>
        <w:pStyle w:val="93"/>
        <w:widowControl/>
        <w:spacing w:before="24" w:beforeLines="10" w:beforeAutospacing="0" w:after="24" w:afterLines="10" w:afterAutospacing="0" w:line="0" w:lineRule="atLeast"/>
        <w:ind w:left="0" w:right="0" w:firstLine="300"/>
        <w:rPr>
          <w:rFonts w:hint="eastAsia" w:ascii="宋体" w:hAnsi="宋体" w:eastAsia="宋体" w:cs="宋体"/>
          <w:b w:val="0"/>
          <w:lang w:val="en-US"/>
        </w:rPr>
      </w:pPr>
      <w:r>
        <w:rPr>
          <w:rFonts w:hint="eastAsia" w:ascii="宋体" w:hAnsi="宋体" w:eastAsia="宋体" w:cs="宋体"/>
          <w:b w:val="0"/>
          <w:lang w:eastAsia="zh-CN"/>
        </w:rPr>
        <w:t>（</w:t>
      </w:r>
      <w:r>
        <w:rPr>
          <w:rFonts w:hint="eastAsia" w:ascii="宋体" w:hAnsi="宋体" w:eastAsia="宋体" w:cs="宋体"/>
          <w:b w:val="0"/>
          <w:lang w:val="en-US"/>
        </w:rPr>
        <w:t>1</w:t>
      </w:r>
      <w:r>
        <w:rPr>
          <w:rFonts w:hint="eastAsia" w:ascii="宋体" w:hAnsi="宋体" w:eastAsia="宋体" w:cs="宋体"/>
          <w:b w:val="0"/>
          <w:lang w:eastAsia="zh-CN"/>
        </w:rPr>
        <w:t>）投标文件内容的编制装订要求</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投标文件应将投标文件等内容按采购文件规定的编排顺序装订成一册（不分开装订），按规定加盖投标人公章（鲜章）。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所有文件资料（宣传资料、图幅等除外）统一用A4纸进行编制。</w:t>
      </w:r>
    </w:p>
    <w:p>
      <w:pPr>
        <w:pStyle w:val="93"/>
        <w:widowControl/>
        <w:spacing w:before="24" w:beforeLines="10" w:beforeAutospacing="0" w:after="24" w:afterLines="10" w:afterAutospacing="0" w:line="0" w:lineRule="atLeast"/>
        <w:ind w:left="0" w:right="0" w:firstLine="300"/>
        <w:rPr>
          <w:rFonts w:hint="eastAsia" w:ascii="宋体" w:hAnsi="宋体" w:eastAsia="宋体" w:cs="宋体"/>
          <w:b w:val="0"/>
          <w:lang w:val="en-US"/>
        </w:rPr>
      </w:pPr>
      <w:r>
        <w:rPr>
          <w:rFonts w:hint="eastAsia" w:ascii="宋体" w:hAnsi="宋体" w:eastAsia="宋体" w:cs="宋体"/>
          <w:b w:val="0"/>
          <w:lang w:eastAsia="zh-CN"/>
        </w:rPr>
        <w:t>（</w:t>
      </w:r>
      <w:r>
        <w:rPr>
          <w:rFonts w:hint="eastAsia" w:ascii="宋体" w:hAnsi="宋体" w:eastAsia="宋体" w:cs="宋体"/>
          <w:b w:val="0"/>
          <w:lang w:val="en-US"/>
        </w:rPr>
        <w:t>2</w:t>
      </w:r>
      <w:r>
        <w:rPr>
          <w:rFonts w:hint="eastAsia" w:ascii="宋体" w:hAnsi="宋体" w:eastAsia="宋体" w:cs="宋体"/>
          <w:b w:val="0"/>
          <w:lang w:eastAsia="zh-CN"/>
        </w:rPr>
        <w:t>）投标文件正副本封面标记要求</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投标文件的正本、副本的封面上均应注明项目名称、项目编号、投标人名称、投标时间、“正本”、“副本”“投标文件”字样，并在封面上加盖投标人公章（鲜章）。</w:t>
      </w:r>
    </w:p>
    <w:p>
      <w:pPr>
        <w:pStyle w:val="93"/>
        <w:widowControl/>
        <w:spacing w:before="24" w:beforeLines="10" w:beforeAutospacing="0" w:after="24" w:afterLines="10" w:afterAutospacing="0" w:line="0" w:lineRule="atLeast"/>
        <w:ind w:left="0" w:right="0" w:firstLine="300"/>
        <w:rPr>
          <w:rFonts w:hint="eastAsia" w:ascii="宋体" w:hAnsi="宋体" w:eastAsia="宋体" w:cs="宋体"/>
          <w:b w:val="0"/>
          <w:lang w:val="en-US"/>
        </w:rPr>
      </w:pPr>
      <w:r>
        <w:rPr>
          <w:rFonts w:hint="eastAsia" w:ascii="宋体" w:hAnsi="宋体" w:eastAsia="宋体" w:cs="宋体"/>
          <w:b w:val="0"/>
          <w:lang w:eastAsia="zh-CN"/>
        </w:rPr>
        <w:t>（</w:t>
      </w:r>
      <w:r>
        <w:rPr>
          <w:rFonts w:hint="eastAsia" w:ascii="宋体" w:hAnsi="宋体" w:eastAsia="宋体" w:cs="宋体"/>
          <w:b w:val="0"/>
          <w:lang w:val="en-US"/>
        </w:rPr>
        <w:t>3</w:t>
      </w:r>
      <w:r>
        <w:rPr>
          <w:rFonts w:hint="eastAsia" w:ascii="宋体" w:hAnsi="宋体" w:eastAsia="宋体" w:cs="宋体"/>
          <w:b w:val="0"/>
          <w:lang w:eastAsia="zh-CN"/>
        </w:rPr>
        <w:t>）投标文件的包装（装袋）及包装（装袋）封面要求</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①全部装入一个投标文件袋中，密封并在密封口处加盖投标人单位公章；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②并在投标文件袋封面标注项目名称、公司名称，加盖公章；</w:t>
      </w:r>
    </w:p>
    <w:p>
      <w:pPr>
        <w:pStyle w:val="5"/>
        <w:widowControl/>
        <w:spacing w:before="24" w:beforeAutospacing="0" w:after="24" w:afterAutospacing="0"/>
        <w:ind w:left="0" w:right="0" w:firstLine="525"/>
        <w:rPr>
          <w:rFonts w:hint="eastAsia" w:ascii="宋体" w:hAnsi="宋体" w:eastAsia="宋体" w:cs="宋体"/>
          <w:b w:val="0"/>
          <w:lang w:val="en-US"/>
        </w:rPr>
      </w:pPr>
      <w:r>
        <w:rPr>
          <w:rFonts w:hint="eastAsia" w:ascii="宋体" w:hAnsi="宋体" w:eastAsia="宋体" w:cs="宋体"/>
          <w:b w:val="0"/>
          <w:lang w:val="en-US"/>
        </w:rPr>
        <w:t>2.</w:t>
      </w:r>
      <w:r>
        <w:rPr>
          <w:rFonts w:hint="eastAsia" w:ascii="宋体" w:hAnsi="宋体" w:eastAsia="宋体" w:cs="宋体"/>
          <w:b w:val="0"/>
          <w:lang w:eastAsia="zh-CN"/>
        </w:rPr>
        <w:t>本项目不接受邮递投标。</w:t>
      </w:r>
    </w:p>
    <w:p>
      <w:pPr>
        <w:pStyle w:val="5"/>
        <w:widowControl/>
        <w:spacing w:before="24" w:beforeAutospacing="0" w:after="24" w:afterAutospacing="0"/>
        <w:ind w:left="0" w:right="0" w:firstLine="525"/>
        <w:rPr>
          <w:rFonts w:hint="eastAsia" w:ascii="宋体" w:hAnsi="宋体" w:eastAsia="宋体" w:cs="宋体"/>
          <w:b w:val="0"/>
          <w:lang w:val="en-US"/>
        </w:rPr>
      </w:pPr>
      <w:r>
        <w:rPr>
          <w:rFonts w:hint="eastAsia" w:ascii="宋体" w:hAnsi="宋体" w:eastAsia="宋体" w:cs="宋体"/>
          <w:b w:val="0"/>
          <w:lang w:val="en-US"/>
        </w:rPr>
        <w:t>3.</w:t>
      </w:r>
      <w:r>
        <w:rPr>
          <w:rFonts w:hint="eastAsia" w:ascii="宋体" w:hAnsi="宋体" w:eastAsia="宋体" w:cs="宋体"/>
          <w:b w:val="0"/>
          <w:lang w:eastAsia="zh-CN"/>
        </w:rPr>
        <w:t>如果未按上述规定进行密封和标记，采购人对投标文件误投、丢失或提前拆封不负责任。</w:t>
      </w:r>
    </w:p>
    <w:p>
      <w:pPr>
        <w:pStyle w:val="4"/>
        <w:widowControl/>
        <w:spacing w:before="48" w:beforeAutospacing="0" w:after="48" w:afterAutospacing="0"/>
        <w:ind w:left="0" w:right="0" w:firstLine="640"/>
        <w:rPr>
          <w:rFonts w:hint="eastAsia" w:ascii="宋体" w:hAnsi="宋体" w:eastAsia="宋体" w:cs="宋体"/>
          <w:b w:val="0"/>
          <w:lang w:val="en-US"/>
        </w:rPr>
      </w:pPr>
      <w:bookmarkStart w:id="108" w:name="_Toc474603940"/>
      <w:r>
        <w:rPr>
          <w:rFonts w:hint="eastAsia" w:ascii="宋体" w:hAnsi="宋体" w:eastAsia="宋体" w:cs="宋体"/>
          <w:b w:val="0"/>
          <w:lang w:eastAsia="zh-CN"/>
        </w:rPr>
        <w:t>（七）供应商参与人员</w:t>
      </w:r>
      <w:bookmarkEnd w:id="108"/>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各个供应商应当派1-2名代表参与比选，至少1人应为法定代表人或具有法定代表人授权委托书的授权代表。</w:t>
      </w:r>
    </w:p>
    <w:p>
      <w:pPr>
        <w:pStyle w:val="3"/>
        <w:widowControl/>
        <w:spacing w:before="48" w:beforeAutospacing="0" w:after="48" w:afterAutospacing="0"/>
        <w:ind w:left="0" w:right="0" w:firstLine="420"/>
        <w:rPr>
          <w:rFonts w:eastAsia="宋体"/>
          <w:b w:val="0"/>
          <w:lang w:val="en-US"/>
        </w:rPr>
      </w:pPr>
      <w:bookmarkStart w:id="109" w:name="_Toc474603941"/>
      <w:bookmarkStart w:id="110" w:name="_Toc16546"/>
      <w:r>
        <w:rPr>
          <w:rFonts w:eastAsia="宋体"/>
          <w:b w:val="0"/>
          <w:lang w:eastAsia="zh-CN"/>
        </w:rPr>
        <w:t>四、成交供应商的确认和变更</w:t>
      </w:r>
      <w:bookmarkEnd w:id="109"/>
      <w:bookmarkEnd w:id="110"/>
    </w:p>
    <w:p>
      <w:pPr>
        <w:pStyle w:val="4"/>
        <w:widowControl/>
        <w:spacing w:before="48" w:beforeAutospacing="0" w:after="48" w:afterAutospacing="0"/>
        <w:ind w:left="0" w:leftChars="0" w:right="0" w:firstLine="0" w:firstLineChars="0"/>
        <w:rPr>
          <w:rFonts w:hint="eastAsia" w:ascii="宋体" w:hAnsi="宋体" w:eastAsia="宋体" w:cs="宋体"/>
          <w:b w:val="0"/>
          <w:lang w:val="en-US"/>
        </w:rPr>
      </w:pPr>
      <w:bookmarkStart w:id="111" w:name="_Toc474603942"/>
      <w:r>
        <w:rPr>
          <w:rFonts w:hint="eastAsia" w:ascii="宋体" w:hAnsi="宋体" w:eastAsia="宋体" w:cs="宋体"/>
          <w:b w:val="0"/>
          <w:lang w:eastAsia="zh-CN"/>
        </w:rPr>
        <w:t>（一）成交供应商的确认</w:t>
      </w:r>
      <w:bookmarkEnd w:id="111"/>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采购人应当在评审结束后1个工作日内将从评审报告提出的成交候选供应商中，确定评审报告提出的排序第一的供应商为成交供应商。</w:t>
      </w:r>
    </w:p>
    <w:p>
      <w:pPr>
        <w:pStyle w:val="4"/>
        <w:widowControl/>
        <w:numPr>
          <w:ilvl w:val="0"/>
          <w:numId w:val="5"/>
        </w:numPr>
        <w:spacing w:before="48" w:beforeLines="20" w:beforeAutospacing="0" w:after="48" w:afterLines="20" w:afterAutospacing="0" w:line="380" w:lineRule="exact"/>
        <w:ind w:left="1037" w:right="0" w:hanging="855" w:firstLineChars="0"/>
        <w:rPr>
          <w:rFonts w:hint="eastAsia" w:ascii="宋体" w:hAnsi="宋体" w:eastAsia="宋体" w:cs="宋体"/>
          <w:b w:val="0"/>
          <w:lang w:val="en-US"/>
        </w:rPr>
      </w:pPr>
      <w:bookmarkStart w:id="112" w:name="_Toc474603943"/>
      <w:r>
        <w:rPr>
          <w:rFonts w:hint="eastAsia" w:ascii="宋体" w:hAnsi="宋体" w:eastAsia="宋体" w:cs="宋体"/>
          <w:b w:val="0"/>
          <w:lang w:eastAsia="zh-CN"/>
        </w:rPr>
        <w:t>成交供应商的变更</w:t>
      </w:r>
      <w:bookmarkEnd w:id="112"/>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成交供应商无充分理由放弃成交的，采购人将会把相关情况报财政部门，财政部门</w:t>
      </w:r>
    </w:p>
    <w:p>
      <w:pPr>
        <w:keepNext w:val="0"/>
        <w:keepLines w:val="0"/>
        <w:widowControl/>
        <w:suppressLineNumbers w:val="0"/>
        <w:spacing w:before="0" w:beforeAutospacing="0" w:after="0" w:afterAutospacing="0" w:line="320" w:lineRule="exact"/>
        <w:ind w:left="0" w:right="0" w:firstLine="0" w:firstLineChars="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将根据财政部十八号令第七十五条的规定对违规供应商进行处罚。</w:t>
      </w:r>
    </w:p>
    <w:p>
      <w:pPr>
        <w:pStyle w:val="3"/>
        <w:widowControl/>
        <w:spacing w:before="48" w:beforeAutospacing="0" w:after="48" w:afterAutospacing="0"/>
        <w:ind w:left="0" w:right="0" w:firstLine="420"/>
        <w:rPr>
          <w:rFonts w:eastAsia="宋体"/>
          <w:b w:val="0"/>
          <w:lang w:val="en-US"/>
        </w:rPr>
      </w:pPr>
      <w:bookmarkStart w:id="113" w:name="_Toc342913395"/>
      <w:bookmarkStart w:id="114" w:name="_Toc102227321"/>
      <w:bookmarkStart w:id="115" w:name="_Toc16683582"/>
      <w:bookmarkStart w:id="116" w:name="_Toc30723"/>
      <w:r>
        <w:rPr>
          <w:rFonts w:eastAsia="宋体"/>
          <w:b w:val="0"/>
          <w:lang w:eastAsia="zh-CN"/>
        </w:rPr>
        <w:t>五、成交通知</w:t>
      </w:r>
      <w:bookmarkEnd w:id="113"/>
      <w:bookmarkEnd w:id="114"/>
      <w:bookmarkEnd w:id="115"/>
      <w:bookmarkEnd w:id="116"/>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bookmarkStart w:id="117" w:name="_Toc16683583"/>
      <w:r>
        <w:rPr>
          <w:rFonts w:hint="eastAsia" w:ascii="宋体" w:hAnsi="宋体" w:eastAsia="宋体" w:cs="宋体"/>
          <w:kern w:val="2"/>
          <w:sz w:val="24"/>
          <w:szCs w:val="24"/>
          <w:lang w:val="en-US" w:eastAsia="zh-CN" w:bidi="ar"/>
        </w:rPr>
        <w:t>（一）成交供应商确定后，采购人将通知成交结果。</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（二）结果公告发出同时，采购人将以书面形式发出《成交通知书》。《成交通知书》一经发出即发生法律效力。</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（三）《成交通知书》将作为签订合同的依据。</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（四）如有供应商对成交结果提出质疑的，在质疑处理完毕后发出成交通知书。</w:t>
      </w:r>
    </w:p>
    <w:p>
      <w:pPr>
        <w:pStyle w:val="3"/>
        <w:widowControl/>
        <w:spacing w:before="48" w:beforeAutospacing="0" w:after="48" w:afterAutospacing="0"/>
        <w:ind w:left="0" w:right="0" w:firstLine="420"/>
        <w:rPr>
          <w:rFonts w:eastAsia="宋体"/>
          <w:b w:val="0"/>
          <w:lang w:val="en-US"/>
        </w:rPr>
      </w:pPr>
      <w:bookmarkStart w:id="118" w:name="_Toc7812"/>
      <w:r>
        <w:rPr>
          <w:rFonts w:eastAsia="宋体"/>
          <w:b w:val="0"/>
          <w:lang w:eastAsia="zh-CN"/>
        </w:rPr>
        <w:t>六 、关于质疑和投诉</w:t>
      </w:r>
      <w:bookmarkEnd w:id="117"/>
      <w:bookmarkEnd w:id="118"/>
    </w:p>
    <w:p>
      <w:pPr>
        <w:keepNext w:val="0"/>
        <w:keepLines w:val="0"/>
        <w:widowControl/>
        <w:suppressLineNumbers w:val="0"/>
        <w:spacing w:before="0" w:beforeAutospacing="0" w:after="0" w:afterAutospacing="0" w:line="400" w:lineRule="exact"/>
        <w:ind w:left="0" w:right="0" w:firstLine="540" w:firstLineChars="200"/>
        <w:jc w:val="left"/>
        <w:rPr>
          <w:rFonts w:hint="eastAsia" w:ascii="宋体" w:hAnsi="宋体" w:eastAsia="宋体" w:cs="宋体"/>
          <w:sz w:val="27"/>
          <w:szCs w:val="32"/>
          <w:lang w:val="en-US"/>
        </w:rPr>
      </w:pPr>
      <w:r>
        <w:rPr>
          <w:rFonts w:hint="eastAsia" w:ascii="宋体" w:hAnsi="宋体" w:eastAsia="宋体" w:cs="宋体"/>
          <w:kern w:val="2"/>
          <w:sz w:val="27"/>
          <w:szCs w:val="32"/>
          <w:lang w:val="en-US" w:eastAsia="zh-CN" w:bidi="ar"/>
        </w:rPr>
        <w:t>（一）质疑</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供应商认为采购文件、采购过程和成交结果使自己的权益收到伤害的，可向采购人以书面形式提出质疑。</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提出质疑的应当是参与所质疑项目采购活动的供应商。 </w:t>
      </w:r>
    </w:p>
    <w:p>
      <w:pPr>
        <w:pStyle w:val="5"/>
        <w:widowControl/>
        <w:spacing w:before="24" w:beforeAutospacing="0" w:after="24" w:afterAutospacing="0"/>
        <w:ind w:left="0" w:right="0" w:firstLine="525"/>
        <w:rPr>
          <w:rFonts w:hint="eastAsia" w:ascii="宋体" w:hAnsi="宋体" w:eastAsia="宋体" w:cs="宋体"/>
          <w:b w:val="0"/>
          <w:lang w:val="en-US"/>
        </w:rPr>
      </w:pPr>
      <w:r>
        <w:rPr>
          <w:rFonts w:hint="eastAsia" w:ascii="宋体" w:hAnsi="宋体" w:eastAsia="宋体" w:cs="宋体"/>
          <w:b w:val="0"/>
          <w:lang w:val="en-US"/>
        </w:rPr>
        <w:t>1.</w:t>
      </w:r>
      <w:r>
        <w:rPr>
          <w:rFonts w:hint="eastAsia" w:ascii="宋体" w:hAnsi="宋体" w:eastAsia="宋体" w:cs="宋体"/>
          <w:b w:val="0"/>
          <w:lang w:eastAsia="zh-CN"/>
        </w:rPr>
        <w:t>质疑时限、内容</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供应商认为采购文件、采购过程、成交结果使自己的权益受到损害的，可以在知道或者应知其权益受到损害之日起5个工作日内，以书面形式向采购人提出质疑。</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1.2供应商提出质疑应当提交质疑函和必要的证明材料，质疑函应当包括下列内容：</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1.2.1供应商的姓名或者名称、地址、邮编、联系人及联系电话；</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1.2.2质疑项目的名称、项目号以及比选项目编号；</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1.2.3具体、明确的质疑事项和与质疑事项相关的请求；</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1.2.4事实依据；</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1.2.5必要的法律依据；</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1.2.6提出质疑的日期；</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1.2.7营业执照（或事业单位法人证书，或个体工商户营业执照或有效的自然人身份证明、组织机构代码证）复印件；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1.2.8法定代表人授权委托书原件、法定代表人身份证复印件和其授权代表的身份证复印件（供应商为自然人的提供自然人身份证复印件）；</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1.3供应商为自然人的，质疑函应当由本人签字；供应商为法人或者其他组织的，质疑函应当由法定代表人、主要负责人，或者其授权代表签字或者盖章，并加盖公章。</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1.4供应商对采购文件中供应商特定资格条件评审标准及评审细则有异议的，应向采购人提出质疑，其他问题可向采购人提出质疑。</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1.5供应商的质疑书原则由法定代表人或其授权代表直接递交，以复印件、传真件等方式递交的质疑书不予受理。</w:t>
      </w:r>
    </w:p>
    <w:p>
      <w:pPr>
        <w:pStyle w:val="5"/>
        <w:widowControl/>
        <w:spacing w:before="24" w:beforeAutospacing="0" w:after="24" w:afterAutospacing="0"/>
        <w:ind w:left="0" w:right="0" w:firstLine="525"/>
        <w:rPr>
          <w:rFonts w:hint="eastAsia" w:ascii="宋体" w:hAnsi="宋体" w:eastAsia="宋体" w:cs="宋体"/>
          <w:b w:val="0"/>
          <w:lang w:val="en-US"/>
        </w:rPr>
      </w:pPr>
      <w:r>
        <w:rPr>
          <w:rFonts w:hint="eastAsia" w:ascii="宋体" w:hAnsi="宋体" w:eastAsia="宋体" w:cs="宋体"/>
          <w:b w:val="0"/>
          <w:lang w:val="en-US"/>
        </w:rPr>
        <w:t>2.</w:t>
      </w:r>
      <w:r>
        <w:rPr>
          <w:rFonts w:hint="eastAsia" w:ascii="宋体" w:hAnsi="宋体" w:eastAsia="宋体" w:cs="宋体"/>
          <w:b w:val="0"/>
          <w:lang w:eastAsia="zh-CN"/>
        </w:rPr>
        <w:t>质疑答复</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采购人应当在收到供应商的书面质疑后1个工作日内作出答复，并以书面形式通知质疑供应商和其他有关供应商。</w:t>
      </w:r>
    </w:p>
    <w:p>
      <w:pPr>
        <w:pStyle w:val="5"/>
        <w:widowControl/>
        <w:spacing w:before="24" w:beforeAutospacing="0" w:after="24" w:afterAutospacing="0"/>
        <w:ind w:left="0" w:right="0" w:firstLine="525"/>
        <w:rPr>
          <w:rFonts w:hint="eastAsia" w:ascii="宋体" w:hAnsi="宋体" w:eastAsia="宋体" w:cs="宋体"/>
          <w:b w:val="0"/>
          <w:lang w:val="en-US"/>
        </w:rPr>
      </w:pPr>
      <w:r>
        <w:rPr>
          <w:rFonts w:hint="eastAsia" w:ascii="宋体" w:hAnsi="宋体" w:eastAsia="宋体" w:cs="宋体"/>
          <w:b w:val="0"/>
          <w:lang w:val="en-US"/>
        </w:rPr>
        <w:t>3.</w:t>
      </w:r>
      <w:r>
        <w:rPr>
          <w:rFonts w:hint="eastAsia" w:ascii="宋体" w:hAnsi="宋体" w:eastAsia="宋体" w:cs="宋体"/>
          <w:b w:val="0"/>
          <w:lang w:eastAsia="zh-CN"/>
        </w:rPr>
        <w:t>其他</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3.1供应商应按照《政府采购质疑和投诉办法》（财政部令第94号）及相关法律法规要求，在法定质疑期内一次性提出针对同一采购程序环节的质疑。</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3.2质疑函范本可在财政部门户网站和中国政府采购网下载。</w:t>
      </w:r>
    </w:p>
    <w:p>
      <w:pPr>
        <w:keepNext w:val="0"/>
        <w:keepLines w:val="0"/>
        <w:widowControl/>
        <w:suppressLineNumbers w:val="0"/>
        <w:spacing w:before="0" w:beforeAutospacing="0" w:after="0" w:afterAutospacing="0" w:line="400" w:lineRule="exact"/>
        <w:ind w:left="0" w:right="0" w:firstLine="540" w:firstLineChars="200"/>
        <w:jc w:val="left"/>
        <w:rPr>
          <w:rFonts w:hint="eastAsia" w:ascii="宋体" w:hAnsi="宋体" w:eastAsia="宋体" w:cs="宋体"/>
          <w:sz w:val="27"/>
          <w:szCs w:val="32"/>
          <w:lang w:val="en-US"/>
        </w:rPr>
      </w:pPr>
      <w:r>
        <w:rPr>
          <w:rFonts w:hint="eastAsia" w:ascii="宋体" w:hAnsi="宋体" w:eastAsia="宋体" w:cs="宋体"/>
          <w:kern w:val="2"/>
          <w:sz w:val="27"/>
          <w:szCs w:val="32"/>
          <w:lang w:val="en-US" w:eastAsia="zh-CN" w:bidi="ar"/>
        </w:rPr>
        <w:t>（二）投诉</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1.供应商对采购人的答复不满意，或者采购人未在规定时间内作出答复的，可以在答复期满后2个工作日内按照相关法律法规向财政部门提起投诉。</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2.供应商应按照《政府采购质疑和投诉办法》（财政部令第94号）及相关法律法规要求递交投诉书和必要的证明材料。投诉书范本可在财政部门户网站和中国政府采购网下载。</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3.投诉书应当使用中文，相关当事人提供外文书证或者外国语视听资料的，应当附有中文译本，由翻译机构盖章或者翻译人员签名；相关当事人向财政部门提供的在中华人民共和国领域外形成的证据，应当说明来源，经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4.在确定受理投诉后，财政部门自受理投诉之日起3日内（需要检验、检测、鉴定、专家评审以及需要投诉人补正材料的，所需时间不计算在投诉处理期限内）对投诉事项做出处理决定。</w:t>
      </w:r>
    </w:p>
    <w:p>
      <w:pPr>
        <w:pStyle w:val="3"/>
        <w:widowControl/>
        <w:spacing w:before="48" w:beforeAutospacing="0" w:after="48" w:afterAutospacing="0"/>
        <w:ind w:left="0" w:right="0" w:firstLine="420"/>
        <w:rPr>
          <w:rFonts w:eastAsia="宋体"/>
          <w:b w:val="0"/>
          <w:lang w:val="en-US"/>
        </w:rPr>
      </w:pPr>
      <w:bookmarkStart w:id="119" w:name="_Toc102227322"/>
      <w:bookmarkStart w:id="120" w:name="_Toc474603954"/>
      <w:bookmarkStart w:id="121" w:name="_Toc342913396"/>
      <w:bookmarkStart w:id="122" w:name="_Toc23110"/>
      <w:bookmarkStart w:id="123" w:name="_Toc11641055"/>
      <w:bookmarkStart w:id="124" w:name="_Toc12789059"/>
      <w:r>
        <w:rPr>
          <w:rFonts w:eastAsia="宋体"/>
          <w:b w:val="0"/>
          <w:lang w:eastAsia="zh-CN"/>
        </w:rPr>
        <w:t>七、签订</w:t>
      </w:r>
      <w:bookmarkEnd w:id="119"/>
      <w:r>
        <w:rPr>
          <w:rFonts w:eastAsia="宋体"/>
          <w:b w:val="0"/>
          <w:lang w:eastAsia="zh-CN"/>
        </w:rPr>
        <w:t>合同</w:t>
      </w:r>
      <w:bookmarkEnd w:id="120"/>
      <w:bookmarkEnd w:id="121"/>
      <w:bookmarkEnd w:id="122"/>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（一）采购人应当自成交通知书发出之日起三日内，按照竞争性</w:t>
      </w:r>
      <w:bookmarkStart w:id="125" w:name="_Hlk56890710"/>
      <w:r>
        <w:rPr>
          <w:rFonts w:hint="eastAsia" w:ascii="宋体" w:hAnsi="宋体" w:eastAsia="宋体" w:cs="宋体"/>
          <w:kern w:val="2"/>
          <w:sz w:val="24"/>
          <w:szCs w:val="24"/>
          <w:lang w:val="en-US" w:eastAsia="zh-CN" w:bidi="ar"/>
        </w:rPr>
        <w:t>比选</w:t>
      </w:r>
      <w:bookmarkEnd w:id="125"/>
      <w:r>
        <w:rPr>
          <w:rFonts w:hint="eastAsia" w:ascii="宋体" w:hAnsi="宋体" w:eastAsia="宋体" w:cs="宋体"/>
          <w:kern w:val="2"/>
          <w:sz w:val="24"/>
          <w:szCs w:val="24"/>
          <w:lang w:val="en-US" w:eastAsia="zh-CN" w:bidi="ar"/>
        </w:rPr>
        <w:t>文件和成交供应商响应文件的约定，与成交供应商签订书面合同。所签订的合同不得对竞争性比选文件和供应商的响应文件作实质性修改。</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（二）竞争性比选文件、供应商的响应文件及澄清文件等，均为签订合同的依据。</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（三）合同生效条款由供需双方约定，法律、行政法规规定应当办理批准、登记等手续后生效的合同，依照其规定。</w:t>
      </w:r>
    </w:p>
    <w:p>
      <w:pPr>
        <w:keepNext w:val="0"/>
        <w:keepLines w:val="0"/>
        <w:widowControl/>
        <w:suppressLineNumbers w:val="0"/>
        <w:spacing w:before="0" w:beforeAutospacing="0" w:after="0" w:afterAutospacing="0" w:line="320" w:lineRule="exact"/>
        <w:ind w:left="0" w:right="0" w:firstLine="480" w:firstLineChars="200"/>
        <w:jc w:val="both"/>
        <w:rPr>
          <w:rFonts w:hint="eastAsia" w:ascii="宋体" w:hAnsi="宋体" w:eastAsia="宋体" w:cs="宋体"/>
          <w:lang w:val="en-US"/>
        </w:rPr>
      </w:pPr>
      <w:r>
        <w:rPr>
          <w:rFonts w:hint="eastAsia" w:ascii="宋体" w:hAnsi="宋体" w:eastAsia="宋体" w:cs="宋体"/>
          <w:kern w:val="2"/>
          <w:sz w:val="24"/>
          <w:szCs w:val="24"/>
          <w:lang w:val="en-US" w:eastAsia="zh-CN" w:bidi="ar"/>
        </w:rPr>
        <w:t>（四）合同原则上应按照《重庆市政府采购合同》签订，相关单位要求适用合同通用格式版本的，应按其要求另行签订其他合同。</w:t>
      </w:r>
    </w:p>
    <w:p>
      <w:pPr>
        <w:pStyle w:val="2"/>
        <w:widowControl/>
        <w:spacing w:before="120" w:beforeAutospacing="0" w:after="120" w:afterAutospacing="0"/>
        <w:ind w:left="0" w:right="0" w:firstLine="480"/>
        <w:jc w:val="both"/>
        <w:rPr>
          <w:rFonts w:hint="eastAsia" w:ascii="宋体" w:hAnsi="宋体" w:eastAsia="宋体" w:cs="宋体"/>
          <w:b w:val="0"/>
          <w:lang w:val="en-US"/>
        </w:rPr>
      </w:pPr>
      <w:r>
        <w:rPr>
          <w:rFonts w:hint="eastAsia" w:ascii="宋体" w:hAnsi="宋体" w:eastAsia="宋体" w:cs="宋体"/>
          <w:b w:val="0"/>
          <w:kern w:val="2"/>
          <w:sz w:val="24"/>
          <w:szCs w:val="24"/>
          <w:lang w:eastAsia="zh-CN"/>
        </w:rPr>
        <w:t>（五）采购人要求成交供应商提供履约保证金的，应当在竞争性比选文件中予以约定。成交供应商履约完毕后，采购人应按比选文件及合同的约定无息退还其履约保证金。</w:t>
      </w:r>
      <w:r>
        <w:rPr>
          <w:rFonts w:hint="eastAsia" w:ascii="宋体" w:hAnsi="宋体" w:eastAsia="宋体" w:cs="宋体"/>
          <w:b w:val="0"/>
          <w:lang w:val="en-US"/>
        </w:rPr>
        <w:br w:type="page"/>
      </w:r>
      <w:bookmarkStart w:id="126" w:name="_Toc474603955"/>
      <w:bookmarkStart w:id="127" w:name="_Toc6559"/>
      <w:r>
        <w:rPr>
          <w:rFonts w:hint="eastAsia" w:ascii="宋体" w:hAnsi="宋体" w:eastAsia="宋体" w:cs="宋体"/>
          <w:b w:val="0"/>
          <w:lang w:eastAsia="zh-CN"/>
        </w:rPr>
        <w:t>第六篇</w:t>
      </w:r>
      <w:r>
        <w:rPr>
          <w:rFonts w:hint="eastAsia" w:ascii="宋体" w:hAnsi="宋体" w:eastAsia="宋体" w:cs="宋体"/>
          <w:b w:val="0"/>
          <w:lang w:val="en-US"/>
        </w:rPr>
        <w:t xml:space="preserve">  </w:t>
      </w:r>
      <w:bookmarkEnd w:id="123"/>
      <w:bookmarkEnd w:id="124"/>
      <w:r>
        <w:rPr>
          <w:rFonts w:hint="eastAsia" w:ascii="宋体" w:hAnsi="宋体" w:eastAsia="宋体" w:cs="宋体"/>
          <w:b w:val="0"/>
          <w:lang w:eastAsia="zh-CN"/>
        </w:rPr>
        <w:t>合同草案条款</w:t>
      </w:r>
      <w:bookmarkEnd w:id="126"/>
      <w:bookmarkEnd w:id="127"/>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640" w:firstLineChars="200"/>
        <w:jc w:val="center"/>
        <w:rPr>
          <w:rFonts w:hint="eastAsia" w:ascii="宋体" w:hAnsi="宋体" w:eastAsia="宋体" w:cs="宋体"/>
          <w:sz w:val="21"/>
          <w:szCs w:val="21"/>
          <w:lang w:val="en-US"/>
        </w:rPr>
      </w:pPr>
      <w:bookmarkStart w:id="128" w:name="_Toc303945820"/>
      <w:bookmarkStart w:id="129" w:name="_Toc148265480"/>
      <w:bookmarkStart w:id="130" w:name="_Toc474603956"/>
      <w:r>
        <w:rPr>
          <w:rFonts w:hint="eastAsia" w:ascii="宋体" w:hAnsi="宋体" w:eastAsia="宋体" w:cs="宋体"/>
          <w:kern w:val="2"/>
          <w:sz w:val="32"/>
          <w:szCs w:val="32"/>
          <w:lang w:val="en-US" w:eastAsia="zh-CN" w:bidi="ar"/>
        </w:rPr>
        <w:t>合同格式</w:t>
      </w:r>
      <w:bookmarkEnd w:id="128"/>
      <w:bookmarkEnd w:id="129"/>
      <w:r>
        <w:rPr>
          <w:rFonts w:hint="eastAsia" w:ascii="宋体" w:hAnsi="宋体" w:eastAsia="宋体" w:cs="宋体"/>
          <w:kern w:val="2"/>
          <w:sz w:val="32"/>
          <w:szCs w:val="32"/>
          <w:lang w:val="en-US" w:eastAsia="zh-CN" w:bidi="ar"/>
        </w:rPr>
        <w:t>（根据项目情况自拟）</w:t>
      </w:r>
      <w:bookmarkEnd w:id="130"/>
    </w:p>
    <w:p>
      <w:pPr>
        <w:rPr>
          <w:rFonts w:hint="eastAsia" w:ascii="宋体" w:hAnsi="宋体" w:eastAsia="宋体" w:cs="Times New Roman"/>
          <w:kern w:val="2"/>
          <w:sz w:val="21"/>
          <w:szCs w:val="21"/>
          <w:lang w:val="en-US" w:eastAsia="zh-CN" w:bidi="ar"/>
        </w:rPr>
        <w:sectPr>
          <w:pgSz w:w="11915" w:h="16840"/>
          <w:pgMar w:top="1135" w:right="1304" w:bottom="1135" w:left="1191" w:header="964" w:footer="992" w:gutter="0"/>
          <w:pgNumType w:fmt="numberInDash"/>
          <w:cols w:space="425" w:num="1"/>
          <w:docGrid w:type="lines" w:linePitch="312" w:charSpace="0"/>
        </w:sectPr>
      </w:pPr>
    </w:p>
    <w:p>
      <w:pPr>
        <w:pStyle w:val="2"/>
        <w:widowControl/>
        <w:numPr>
          <w:ilvl w:val="0"/>
          <w:numId w:val="6"/>
        </w:numPr>
        <w:spacing w:before="120" w:beforeAutospacing="0" w:after="120" w:afterAutospacing="0"/>
        <w:ind w:left="0" w:right="0" w:firstLine="640"/>
        <w:rPr>
          <w:rFonts w:hint="eastAsia" w:ascii="宋体" w:hAnsi="宋体" w:eastAsia="宋体" w:cs="宋体"/>
          <w:b w:val="0"/>
          <w:lang w:val="en-US"/>
        </w:rPr>
      </w:pPr>
      <w:bookmarkStart w:id="131" w:name="_Hlt41879464"/>
      <w:bookmarkEnd w:id="131"/>
      <w:bookmarkStart w:id="132" w:name="_Toc12789072"/>
      <w:bookmarkStart w:id="133" w:name="_Toc16997"/>
      <w:bookmarkStart w:id="134" w:name="_Toc474603957"/>
      <w:r>
        <w:rPr>
          <w:rFonts w:hint="eastAsia" w:ascii="宋体" w:hAnsi="宋体" w:eastAsia="宋体" w:cs="宋体"/>
          <w:b w:val="0"/>
          <w:lang w:val="en-US"/>
        </w:rPr>
        <w:t xml:space="preserve"> </w:t>
      </w:r>
      <w:bookmarkEnd w:id="132"/>
      <w:r>
        <w:rPr>
          <w:rFonts w:hint="eastAsia" w:ascii="宋体" w:hAnsi="宋体" w:eastAsia="宋体" w:cs="宋体"/>
          <w:b w:val="0"/>
          <w:lang w:eastAsia="zh-CN"/>
        </w:rPr>
        <w:t>响应文件编制要求</w:t>
      </w:r>
      <w:bookmarkEnd w:id="133"/>
      <w:bookmarkEnd w:id="134"/>
      <w:bookmarkStart w:id="135" w:name="_Toc313008356"/>
      <w:bookmarkStart w:id="136" w:name="_Toc12789073"/>
      <w:bookmarkStart w:id="137" w:name="_Toc283382454"/>
      <w:bookmarkStart w:id="138" w:name="_Toc342913419"/>
      <w:bookmarkStart w:id="139" w:name="_Toc313888360"/>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pStyle w:val="172"/>
        <w:widowControl/>
        <w:ind w:left="0" w:firstLine="640"/>
        <w:rPr>
          <w:rFonts w:hint="eastAsia" w:ascii="宋体" w:hAnsi="宋体" w:eastAsia="宋体" w:cs="宋体"/>
          <w:lang w:val="en-US"/>
        </w:rPr>
      </w:pPr>
    </w:p>
    <w:p>
      <w:pPr>
        <w:keepNext w:val="0"/>
        <w:keepLines w:val="0"/>
        <w:widowControl/>
        <w:suppressLineNumbers w:val="0"/>
        <w:spacing w:before="0" w:beforeAutospacing="0" w:after="0" w:afterAutospacing="0" w:line="480" w:lineRule="auto"/>
        <w:ind w:left="0" w:right="0" w:firstLine="640" w:firstLineChars="200"/>
        <w:jc w:val="right"/>
        <w:rPr>
          <w:rFonts w:hint="eastAsia" w:ascii="宋体" w:hAnsi="宋体" w:eastAsia="宋体" w:cs="宋体"/>
          <w:kern w:val="2"/>
          <w:sz w:val="32"/>
          <w:szCs w:val="32"/>
          <w:lang w:val="en-US" w:eastAsia="zh-CN" w:bidi="ar"/>
        </w:rPr>
      </w:pPr>
      <w:r>
        <w:rPr>
          <w:rFonts w:hint="eastAsia" w:ascii="宋体" w:hAnsi="宋体" w:eastAsia="宋体" w:cs="宋体"/>
          <w:kern w:val="2"/>
          <w:sz w:val="32"/>
          <w:szCs w:val="32"/>
          <w:lang w:val="en-US" w:eastAsia="zh-CN" w:bidi="ar"/>
        </w:rPr>
        <w:t>正本（或副本）</w:t>
      </w:r>
    </w:p>
    <w:p>
      <w:pPr>
        <w:keepNext w:val="0"/>
        <w:keepLines w:val="0"/>
        <w:widowControl/>
        <w:suppressLineNumbers w:val="0"/>
        <w:spacing w:before="0" w:beforeAutospacing="0" w:after="0" w:afterAutospacing="0" w:line="480" w:lineRule="auto"/>
        <w:ind w:left="0" w:right="0" w:firstLine="640" w:firstLineChars="200"/>
        <w:jc w:val="right"/>
        <w:rPr>
          <w:rFonts w:hint="eastAsia" w:ascii="宋体" w:hAnsi="宋体" w:eastAsia="宋体" w:cs="宋体"/>
          <w:kern w:val="2"/>
          <w:sz w:val="32"/>
          <w:szCs w:val="32"/>
          <w:lang w:val="en-US" w:eastAsia="zh-CN" w:bidi="ar"/>
        </w:rPr>
      </w:pPr>
    </w:p>
    <w:p>
      <w:pPr>
        <w:keepNext w:val="0"/>
        <w:keepLines w:val="0"/>
        <w:widowControl/>
        <w:suppressLineNumbers w:val="0"/>
        <w:spacing w:before="0" w:beforeAutospacing="0" w:after="0" w:afterAutospacing="0" w:line="480" w:lineRule="auto"/>
        <w:ind w:left="0" w:right="0" w:firstLine="640" w:firstLineChars="200"/>
        <w:jc w:val="left"/>
        <w:rPr>
          <w:rFonts w:hint="eastAsia" w:ascii="宋体" w:hAnsi="宋体" w:eastAsia="宋体" w:cs="宋体"/>
          <w:sz w:val="32"/>
          <w:szCs w:val="32"/>
          <w:u w:val="single"/>
          <w:lang w:val="en-US"/>
        </w:rPr>
      </w:pPr>
      <w:r>
        <w:rPr>
          <w:rFonts w:hint="eastAsia" w:ascii="宋体" w:hAnsi="宋体" w:eastAsia="宋体" w:cs="宋体"/>
          <w:kern w:val="2"/>
          <w:sz w:val="32"/>
          <w:szCs w:val="32"/>
          <w:lang w:val="en-US" w:eastAsia="zh-CN" w:bidi="ar"/>
        </w:rPr>
        <w:t>项目名称：</w:t>
      </w:r>
      <w:r>
        <w:rPr>
          <w:rFonts w:hint="eastAsia" w:ascii="宋体" w:hAnsi="宋体" w:eastAsia="宋体" w:cs="宋体"/>
          <w:kern w:val="2"/>
          <w:sz w:val="32"/>
          <w:szCs w:val="32"/>
          <w:u w:val="single"/>
          <w:lang w:val="en-US" w:eastAsia="zh-CN" w:bidi="ar"/>
        </w:rPr>
        <w:tab/>
      </w:r>
      <w:r>
        <w:rPr>
          <w:rFonts w:hint="eastAsia" w:ascii="宋体" w:hAnsi="宋体" w:eastAsia="宋体" w:cs="宋体"/>
          <w:kern w:val="2"/>
          <w:sz w:val="32"/>
          <w:szCs w:val="32"/>
          <w:u w:val="single"/>
          <w:lang w:val="en-US" w:eastAsia="zh-CN" w:bidi="ar"/>
        </w:rPr>
        <w:t xml:space="preserve">                                         </w:t>
      </w:r>
    </w:p>
    <w:p>
      <w:pPr>
        <w:keepNext w:val="0"/>
        <w:keepLines w:val="0"/>
        <w:widowControl/>
        <w:suppressLineNumbers w:val="0"/>
        <w:spacing w:before="0" w:beforeAutospacing="0" w:after="0" w:afterAutospacing="0" w:line="480" w:lineRule="auto"/>
        <w:ind w:left="0" w:right="0" w:firstLine="640" w:firstLineChars="200"/>
        <w:jc w:val="left"/>
        <w:rPr>
          <w:rFonts w:hint="eastAsia" w:ascii="宋体" w:hAnsi="宋体" w:eastAsia="宋体" w:cs="宋体"/>
          <w:sz w:val="32"/>
          <w:szCs w:val="32"/>
          <w:lang w:val="en-US"/>
        </w:rPr>
      </w:pPr>
    </w:p>
    <w:p>
      <w:pPr>
        <w:keepNext w:val="0"/>
        <w:keepLines w:val="0"/>
        <w:widowControl/>
        <w:suppressLineNumbers w:val="0"/>
        <w:spacing w:before="0" w:beforeAutospacing="0" w:after="0" w:afterAutospacing="0" w:line="480" w:lineRule="auto"/>
        <w:ind w:left="0" w:right="0" w:firstLine="0" w:firstLineChars="0"/>
        <w:jc w:val="both"/>
        <w:rPr>
          <w:rFonts w:hint="eastAsia" w:ascii="宋体" w:hAnsi="宋体" w:eastAsia="宋体" w:cs="宋体"/>
          <w:sz w:val="84"/>
          <w:szCs w:val="84"/>
          <w:lang w:val="en-US"/>
        </w:rPr>
      </w:pPr>
    </w:p>
    <w:p>
      <w:pPr>
        <w:keepNext w:val="0"/>
        <w:keepLines w:val="0"/>
        <w:widowControl/>
        <w:suppressLineNumbers w:val="0"/>
        <w:spacing w:before="0" w:beforeAutospacing="0" w:after="0" w:afterAutospacing="0" w:line="480" w:lineRule="auto"/>
        <w:ind w:left="0" w:right="0" w:firstLine="0" w:firstLineChars="0"/>
        <w:jc w:val="center"/>
        <w:rPr>
          <w:rFonts w:hint="eastAsia" w:ascii="宋体" w:hAnsi="宋体" w:eastAsia="宋体" w:cs="宋体"/>
          <w:sz w:val="44"/>
          <w:szCs w:val="44"/>
          <w:lang w:val="en-US"/>
        </w:rPr>
      </w:pPr>
      <w:r>
        <w:rPr>
          <w:rFonts w:hint="eastAsia" w:ascii="宋体" w:hAnsi="宋体" w:eastAsia="宋体" w:cs="宋体"/>
          <w:kern w:val="2"/>
          <w:sz w:val="84"/>
          <w:szCs w:val="84"/>
          <w:lang w:val="en-US" w:eastAsia="zh-CN" w:bidi="ar"/>
        </w:rPr>
        <w:t>投  标  文  件</w:t>
      </w:r>
    </w:p>
    <w:p>
      <w:pPr>
        <w:keepNext w:val="0"/>
        <w:keepLines w:val="0"/>
        <w:widowControl/>
        <w:suppressLineNumbers w:val="0"/>
        <w:spacing w:before="0" w:beforeAutospacing="0" w:after="0" w:afterAutospacing="0" w:line="480" w:lineRule="auto"/>
        <w:ind w:left="0" w:right="0" w:firstLine="880" w:firstLineChars="200"/>
        <w:jc w:val="center"/>
        <w:rPr>
          <w:rFonts w:hint="eastAsia" w:ascii="宋体" w:hAnsi="宋体" w:eastAsia="宋体" w:cs="宋体"/>
          <w:sz w:val="44"/>
          <w:szCs w:val="44"/>
          <w:lang w:val="en-US"/>
        </w:rPr>
      </w:pPr>
    </w:p>
    <w:p>
      <w:pPr>
        <w:keepNext w:val="0"/>
        <w:keepLines w:val="0"/>
        <w:widowControl/>
        <w:suppressLineNumbers w:val="0"/>
        <w:spacing w:before="0" w:beforeAutospacing="0" w:after="0" w:afterAutospacing="0" w:line="480" w:lineRule="auto"/>
        <w:ind w:left="0" w:right="0" w:firstLine="880" w:firstLineChars="200"/>
        <w:jc w:val="center"/>
        <w:rPr>
          <w:rFonts w:hint="eastAsia" w:ascii="宋体" w:hAnsi="宋体" w:eastAsia="宋体" w:cs="宋体"/>
          <w:sz w:val="44"/>
          <w:szCs w:val="44"/>
          <w:lang w:val="en-US"/>
        </w:rPr>
      </w:pPr>
    </w:p>
    <w:p>
      <w:pPr>
        <w:keepNext w:val="0"/>
        <w:keepLines w:val="0"/>
        <w:widowControl/>
        <w:suppressLineNumbers w:val="0"/>
        <w:spacing w:before="0" w:beforeAutospacing="0" w:after="0" w:afterAutospacing="0" w:line="480" w:lineRule="auto"/>
        <w:ind w:left="0" w:right="0" w:firstLine="640" w:firstLineChars="200"/>
        <w:jc w:val="center"/>
        <w:rPr>
          <w:rFonts w:hint="eastAsia" w:ascii="宋体" w:hAnsi="宋体" w:eastAsia="宋体" w:cs="宋体"/>
          <w:sz w:val="32"/>
          <w:szCs w:val="32"/>
          <w:u w:val="single"/>
          <w:lang w:val="en-US"/>
        </w:rPr>
      </w:pPr>
    </w:p>
    <w:p>
      <w:pPr>
        <w:keepNext w:val="0"/>
        <w:keepLines w:val="0"/>
        <w:widowControl/>
        <w:suppressLineNumbers w:val="0"/>
        <w:spacing w:before="0" w:beforeAutospacing="0" w:after="0" w:afterAutospacing="0" w:line="480" w:lineRule="auto"/>
        <w:ind w:left="0" w:right="0" w:firstLine="640" w:firstLineChars="200"/>
        <w:jc w:val="center"/>
        <w:rPr>
          <w:rFonts w:hint="eastAsia" w:ascii="宋体" w:hAnsi="宋体" w:eastAsia="宋体" w:cs="宋体"/>
          <w:sz w:val="32"/>
          <w:szCs w:val="32"/>
          <w:u w:val="single"/>
          <w:lang w:val="en-US"/>
        </w:rPr>
      </w:pPr>
    </w:p>
    <w:p>
      <w:pPr>
        <w:keepNext w:val="0"/>
        <w:keepLines w:val="0"/>
        <w:widowControl/>
        <w:suppressLineNumbers w:val="0"/>
        <w:spacing w:before="0" w:beforeAutospacing="0" w:after="0" w:afterAutospacing="0" w:line="480" w:lineRule="auto"/>
        <w:ind w:left="0" w:right="0" w:firstLine="640" w:firstLineChars="200"/>
        <w:jc w:val="both"/>
        <w:rPr>
          <w:rFonts w:hint="eastAsia" w:ascii="宋体" w:hAnsi="宋体" w:eastAsia="宋体" w:cs="宋体"/>
          <w:sz w:val="32"/>
          <w:szCs w:val="32"/>
          <w:lang w:val="en-US"/>
        </w:rPr>
      </w:pPr>
      <w:r>
        <w:rPr>
          <w:rFonts w:hint="eastAsia" w:ascii="宋体" w:hAnsi="宋体" w:eastAsia="宋体" w:cs="宋体"/>
          <w:kern w:val="2"/>
          <w:sz w:val="32"/>
          <w:szCs w:val="32"/>
          <w:lang w:val="en-US" w:eastAsia="zh-CN" w:bidi="ar"/>
        </w:rPr>
        <w:t xml:space="preserve">  </w:t>
      </w:r>
    </w:p>
    <w:p>
      <w:pPr>
        <w:keepNext w:val="0"/>
        <w:keepLines w:val="0"/>
        <w:widowControl/>
        <w:suppressLineNumbers w:val="0"/>
        <w:spacing w:before="0" w:beforeAutospacing="0" w:after="0" w:afterAutospacing="0" w:line="480" w:lineRule="auto"/>
        <w:ind w:left="0" w:right="0" w:firstLine="640" w:firstLineChars="200"/>
        <w:jc w:val="center"/>
        <w:rPr>
          <w:rFonts w:hint="eastAsia" w:ascii="宋体" w:hAnsi="宋体" w:eastAsia="宋体" w:cs="宋体"/>
          <w:sz w:val="32"/>
          <w:szCs w:val="32"/>
          <w:u w:val="single"/>
          <w:lang w:val="en-US"/>
        </w:rPr>
      </w:pPr>
      <w:r>
        <w:rPr>
          <w:rFonts w:hint="eastAsia" w:ascii="宋体" w:hAnsi="宋体" w:eastAsia="宋体" w:cs="宋体"/>
          <w:kern w:val="2"/>
          <w:sz w:val="32"/>
          <w:szCs w:val="32"/>
          <w:lang w:val="en-US" w:eastAsia="zh-CN" w:bidi="ar"/>
        </w:rPr>
        <w:t>投标人名称：</w:t>
      </w:r>
      <w:r>
        <w:rPr>
          <w:rFonts w:hint="eastAsia" w:ascii="宋体" w:hAnsi="宋体" w:eastAsia="宋体" w:cs="宋体"/>
          <w:kern w:val="2"/>
          <w:sz w:val="32"/>
          <w:szCs w:val="32"/>
          <w:u w:val="single"/>
          <w:lang w:val="en-US" w:eastAsia="zh-CN" w:bidi="ar"/>
        </w:rPr>
        <w:t>　                　   　　</w:t>
      </w:r>
      <w:r>
        <w:rPr>
          <w:rFonts w:hint="eastAsia" w:ascii="宋体" w:hAnsi="宋体" w:eastAsia="宋体" w:cs="宋体"/>
          <w:kern w:val="2"/>
          <w:sz w:val="32"/>
          <w:szCs w:val="32"/>
          <w:lang w:val="en-US" w:eastAsia="zh-CN" w:bidi="ar"/>
        </w:rPr>
        <w:t>（盖单位公章）</w:t>
      </w:r>
    </w:p>
    <w:p>
      <w:pPr>
        <w:keepNext w:val="0"/>
        <w:keepLines w:val="0"/>
        <w:widowControl/>
        <w:suppressLineNumbers w:val="0"/>
        <w:spacing w:before="0" w:beforeAutospacing="0" w:after="0" w:afterAutospacing="0" w:line="480" w:lineRule="auto"/>
        <w:ind w:left="0" w:right="0" w:firstLine="640" w:firstLineChars="200"/>
        <w:jc w:val="center"/>
        <w:rPr>
          <w:rFonts w:hint="eastAsia" w:ascii="宋体" w:hAnsi="宋体" w:eastAsia="宋体" w:cs="宋体"/>
          <w:sz w:val="32"/>
          <w:szCs w:val="32"/>
          <w:u w:val="single"/>
          <w:lang w:val="en-US"/>
        </w:rPr>
      </w:pPr>
    </w:p>
    <w:p>
      <w:pPr>
        <w:keepNext w:val="0"/>
        <w:keepLines w:val="0"/>
        <w:widowControl/>
        <w:suppressLineNumbers w:val="0"/>
        <w:spacing w:before="0" w:beforeAutospacing="0" w:after="0" w:afterAutospacing="0" w:line="480" w:lineRule="auto"/>
        <w:ind w:left="0" w:right="0" w:firstLine="640" w:firstLineChars="200"/>
        <w:jc w:val="center"/>
        <w:rPr>
          <w:rFonts w:hint="eastAsia" w:ascii="宋体" w:hAnsi="宋体" w:eastAsia="宋体" w:cs="宋体"/>
          <w:lang w:val="en-US"/>
        </w:rPr>
      </w:pPr>
      <w:r>
        <w:rPr>
          <w:rFonts w:hint="eastAsia" w:ascii="宋体" w:hAnsi="宋体" w:eastAsia="宋体" w:cs="宋体"/>
          <w:kern w:val="2"/>
          <w:sz w:val="32"/>
          <w:szCs w:val="32"/>
          <w:u w:val="single"/>
          <w:lang w:val="en-US" w:eastAsia="zh-CN" w:bidi="ar"/>
        </w:rPr>
        <w:t xml:space="preserve">　   </w:t>
      </w:r>
      <w:r>
        <w:rPr>
          <w:rFonts w:hint="eastAsia" w:ascii="宋体" w:hAnsi="宋体" w:eastAsia="宋体" w:cs="宋体"/>
          <w:kern w:val="2"/>
          <w:sz w:val="32"/>
          <w:szCs w:val="32"/>
          <w:lang w:val="en-US" w:eastAsia="zh-CN" w:bidi="ar"/>
        </w:rPr>
        <w:t>年</w:t>
      </w:r>
      <w:r>
        <w:rPr>
          <w:rFonts w:hint="eastAsia" w:ascii="宋体" w:hAnsi="宋体" w:eastAsia="宋体" w:cs="宋体"/>
          <w:kern w:val="2"/>
          <w:sz w:val="32"/>
          <w:szCs w:val="32"/>
          <w:u w:val="single"/>
          <w:lang w:val="en-US" w:eastAsia="zh-CN" w:bidi="ar"/>
        </w:rPr>
        <w:t xml:space="preserve">    </w:t>
      </w:r>
      <w:r>
        <w:rPr>
          <w:rFonts w:hint="eastAsia" w:ascii="宋体" w:hAnsi="宋体" w:eastAsia="宋体" w:cs="宋体"/>
          <w:kern w:val="2"/>
          <w:sz w:val="32"/>
          <w:szCs w:val="32"/>
          <w:lang w:val="en-US" w:eastAsia="zh-CN" w:bidi="ar"/>
        </w:rPr>
        <w:t>月</w:t>
      </w:r>
      <w:r>
        <w:rPr>
          <w:rFonts w:hint="eastAsia" w:ascii="宋体" w:hAnsi="宋体" w:eastAsia="宋体" w:cs="宋体"/>
          <w:kern w:val="2"/>
          <w:sz w:val="32"/>
          <w:szCs w:val="32"/>
          <w:u w:val="single"/>
          <w:lang w:val="en-US" w:eastAsia="zh-CN" w:bidi="ar"/>
        </w:rPr>
        <w:t xml:space="preserve">    </w:t>
      </w:r>
      <w:r>
        <w:rPr>
          <w:rFonts w:hint="eastAsia" w:ascii="宋体" w:hAnsi="宋体" w:eastAsia="宋体" w:cs="宋体"/>
          <w:kern w:val="2"/>
          <w:sz w:val="32"/>
          <w:szCs w:val="32"/>
          <w:lang w:val="en-US" w:eastAsia="zh-CN" w:bidi="ar"/>
        </w:rPr>
        <w:t>日</w:t>
      </w:r>
    </w:p>
    <w:bookmarkEnd w:id="135"/>
    <w:bookmarkEnd w:id="136"/>
    <w:bookmarkEnd w:id="137"/>
    <w:bookmarkEnd w:id="138"/>
    <w:bookmarkEnd w:id="139"/>
    <w:p>
      <w:pPr>
        <w:pStyle w:val="4"/>
        <w:widowControl/>
        <w:spacing w:before="48" w:beforeAutospacing="0" w:after="48" w:afterAutospacing="0"/>
        <w:ind w:left="0" w:right="0" w:firstLine="640"/>
        <w:rPr>
          <w:rFonts w:hint="eastAsia" w:ascii="宋体" w:hAnsi="宋体" w:eastAsia="宋体" w:cs="宋体"/>
          <w:b w:val="0"/>
          <w:lang w:eastAsia="zh-CN"/>
        </w:rPr>
      </w:pPr>
      <w:bookmarkStart w:id="140" w:name="_Toc474603959"/>
    </w:p>
    <w:p>
      <w:pPr>
        <w:pStyle w:val="4"/>
        <w:widowControl/>
        <w:spacing w:before="48" w:beforeAutospacing="0" w:after="48" w:afterAutospacing="0"/>
        <w:ind w:left="0" w:right="0" w:firstLine="640"/>
        <w:rPr>
          <w:rFonts w:hint="eastAsia" w:ascii="宋体" w:hAnsi="宋体" w:eastAsia="宋体" w:cs="宋体"/>
          <w:b w:val="0"/>
          <w:lang w:eastAsia="zh-CN"/>
        </w:rPr>
      </w:pPr>
    </w:p>
    <w:p>
      <w:pPr>
        <w:pStyle w:val="4"/>
        <w:widowControl/>
        <w:spacing w:before="48" w:beforeAutospacing="0" w:after="48" w:afterAutospacing="0"/>
        <w:ind w:left="0" w:right="0" w:firstLine="640"/>
        <w:rPr>
          <w:rFonts w:hint="eastAsia" w:ascii="宋体" w:hAnsi="宋体" w:eastAsia="宋体" w:cs="宋体"/>
          <w:b w:val="0"/>
          <w:lang w:eastAsia="zh-CN"/>
        </w:rPr>
      </w:pPr>
    </w:p>
    <w:p>
      <w:pPr>
        <w:pStyle w:val="4"/>
        <w:widowControl/>
        <w:spacing w:before="48" w:beforeAutospacing="0" w:after="48" w:afterAutospacing="0"/>
        <w:ind w:left="0" w:right="0" w:firstLine="640"/>
        <w:rPr>
          <w:rFonts w:hint="eastAsia" w:ascii="宋体" w:hAnsi="宋体" w:eastAsia="宋体" w:cs="宋体"/>
          <w:b w:val="0"/>
          <w:lang w:eastAsia="zh-CN"/>
        </w:rPr>
      </w:pPr>
    </w:p>
    <w:p>
      <w:pPr>
        <w:rPr>
          <w:rFonts w:hint="eastAsia"/>
          <w:lang w:eastAsia="zh-CN"/>
        </w:rPr>
      </w:pPr>
    </w:p>
    <w:p>
      <w:pPr>
        <w:pStyle w:val="4"/>
        <w:widowControl/>
        <w:spacing w:before="48" w:beforeAutospacing="0" w:after="48" w:afterAutospacing="0"/>
        <w:ind w:left="0" w:leftChars="0" w:right="0" w:firstLine="0" w:firstLineChars="0"/>
        <w:rPr>
          <w:rFonts w:hint="eastAsia" w:ascii="宋体" w:hAnsi="宋体" w:eastAsia="宋体" w:cs="宋体"/>
          <w:b w:val="0"/>
          <w:lang w:eastAsia="zh-CN"/>
        </w:rPr>
      </w:pPr>
    </w:p>
    <w:p>
      <w:pPr>
        <w:pStyle w:val="4"/>
        <w:widowControl/>
        <w:spacing w:before="48" w:beforeAutospacing="0" w:after="48" w:afterAutospacing="0"/>
        <w:ind w:left="0" w:leftChars="0" w:right="0" w:firstLine="0" w:firstLineChars="0"/>
        <w:jc w:val="center"/>
        <w:rPr>
          <w:rFonts w:hint="eastAsia" w:ascii="宋体" w:hAnsi="宋体" w:eastAsia="宋体" w:cs="宋体"/>
          <w:b w:val="0"/>
          <w:lang w:val="en-US"/>
        </w:rPr>
      </w:pPr>
      <w:r>
        <w:rPr>
          <w:rFonts w:hint="eastAsia" w:ascii="宋体" w:hAnsi="宋体" w:eastAsia="宋体" w:cs="宋体"/>
          <w:b w:val="0"/>
          <w:lang w:eastAsia="zh-CN"/>
        </w:rPr>
        <w:t>（一）竞争性</w:t>
      </w:r>
      <w:bookmarkStart w:id="141" w:name="_Hlk56890885"/>
      <w:r>
        <w:rPr>
          <w:rFonts w:hint="eastAsia" w:ascii="宋体" w:hAnsi="宋体" w:eastAsia="宋体" w:cs="宋体"/>
          <w:b w:val="0"/>
          <w:lang w:eastAsia="zh-CN"/>
        </w:rPr>
        <w:t>比选</w:t>
      </w:r>
      <w:bookmarkEnd w:id="141"/>
      <w:r>
        <w:rPr>
          <w:rFonts w:hint="eastAsia" w:ascii="宋体" w:hAnsi="宋体" w:eastAsia="宋体" w:cs="宋体"/>
          <w:b w:val="0"/>
          <w:lang w:eastAsia="zh-CN"/>
        </w:rPr>
        <w:t>报价函</w:t>
      </w:r>
      <w:bookmarkEnd w:id="140"/>
    </w:p>
    <w:p>
      <w:pPr>
        <w:keepNext w:val="0"/>
        <w:keepLines w:val="0"/>
        <w:widowControl/>
        <w:suppressLineNumbers w:val="0"/>
        <w:spacing w:before="0" w:beforeAutospacing="0" w:after="0" w:afterAutospacing="0" w:line="320" w:lineRule="exact"/>
        <w:ind w:left="0" w:right="0" w:firstLine="480" w:firstLineChars="200"/>
        <w:jc w:val="center"/>
        <w:rPr>
          <w:rFonts w:hint="eastAsia" w:ascii="宋体" w:hAnsi="宋体" w:eastAsia="宋体" w:cs="宋体"/>
          <w:lang w:val="en-US"/>
        </w:rPr>
      </w:pPr>
      <w:r>
        <w:rPr>
          <w:rFonts w:hint="eastAsia" w:ascii="宋体" w:hAnsi="宋体" w:eastAsia="宋体" w:cs="宋体"/>
          <w:kern w:val="2"/>
          <w:sz w:val="24"/>
          <w:szCs w:val="24"/>
          <w:lang w:val="en-US" w:eastAsia="zh-CN" w:bidi="ar"/>
        </w:rPr>
        <w:t>竞争性</w:t>
      </w:r>
      <w:bookmarkStart w:id="142" w:name="_Hlk56890916"/>
      <w:r>
        <w:rPr>
          <w:rFonts w:hint="eastAsia" w:ascii="宋体" w:hAnsi="宋体" w:eastAsia="宋体" w:cs="宋体"/>
          <w:kern w:val="2"/>
          <w:sz w:val="24"/>
          <w:szCs w:val="24"/>
          <w:lang w:val="en-US" w:eastAsia="zh-CN" w:bidi="ar"/>
        </w:rPr>
        <w:t>比选</w:t>
      </w:r>
      <w:bookmarkEnd w:id="142"/>
      <w:r>
        <w:rPr>
          <w:rFonts w:hint="eastAsia" w:ascii="宋体" w:hAnsi="宋体" w:eastAsia="宋体" w:cs="宋体"/>
          <w:kern w:val="2"/>
          <w:sz w:val="24"/>
          <w:szCs w:val="24"/>
          <w:lang w:val="en-US" w:eastAsia="zh-CN" w:bidi="ar"/>
        </w:rPr>
        <w:t>报价函</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u w:val="single"/>
          <w:lang w:val="en-US" w:eastAsia="zh-CN" w:bidi="ar"/>
        </w:rPr>
        <w:t xml:space="preserve">                           （采购人名称）</w:t>
      </w:r>
      <w:r>
        <w:rPr>
          <w:rFonts w:hint="eastAsia" w:ascii="宋体" w:hAnsi="宋体" w:eastAsia="宋体" w:cs="宋体"/>
          <w:kern w:val="2"/>
          <w:sz w:val="24"/>
          <w:szCs w:val="24"/>
          <w:lang w:val="en-US" w:eastAsia="zh-CN" w:bidi="ar"/>
        </w:rPr>
        <w:t>：</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我方收到____________________________（项目名称）的竞争性比选文件，经详细研究，决定参加该项目的比选。</w:t>
      </w:r>
    </w:p>
    <w:p>
      <w:pPr>
        <w:keepNext w:val="0"/>
        <w:keepLines w:val="0"/>
        <w:widowControl/>
        <w:numPr>
          <w:ilvl w:val="0"/>
          <w:numId w:val="7"/>
        </w:numPr>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我方愿意按照竞争性比选文件中的一切要求，提供本项目的技术服务，活动报价为人民币大写 </w:t>
      </w:r>
      <w:r>
        <w:rPr>
          <w:rFonts w:hint="eastAsia" w:ascii="宋体" w:hAnsi="宋体" w:eastAsia="宋体" w:cs="宋体"/>
          <w:kern w:val="2"/>
          <w:sz w:val="24"/>
          <w:szCs w:val="24"/>
          <w:u w:val="single"/>
          <w:lang w:val="en-US" w:eastAsia="zh-CN" w:bidi="ar"/>
        </w:rPr>
        <w:t xml:space="preserve">             </w:t>
      </w:r>
      <w:r>
        <w:rPr>
          <w:rFonts w:hint="eastAsia" w:ascii="宋体" w:hAnsi="宋体" w:eastAsia="宋体" w:cs="宋体"/>
          <w:kern w:val="2"/>
          <w:sz w:val="24"/>
          <w:szCs w:val="24"/>
          <w:lang w:val="en-US" w:eastAsia="zh-CN" w:bidi="ar"/>
        </w:rPr>
        <w:t>元整；人民币小写：</w:t>
      </w:r>
      <w:r>
        <w:rPr>
          <w:rFonts w:hint="eastAsia" w:ascii="宋体" w:hAnsi="宋体" w:eastAsia="宋体" w:cs="宋体"/>
          <w:kern w:val="2"/>
          <w:sz w:val="24"/>
          <w:szCs w:val="24"/>
          <w:u w:val="single"/>
          <w:lang w:val="en-US" w:eastAsia="zh-CN" w:bidi="ar"/>
        </w:rPr>
        <w:t xml:space="preserve">          </w:t>
      </w:r>
      <w:r>
        <w:rPr>
          <w:rFonts w:hint="eastAsia" w:ascii="宋体" w:hAnsi="宋体" w:eastAsia="宋体" w:cs="宋体"/>
          <w:kern w:val="2"/>
          <w:sz w:val="24"/>
          <w:szCs w:val="24"/>
          <w:lang w:val="en-US" w:eastAsia="zh-CN" w:bidi="ar"/>
        </w:rPr>
        <w:t>元。</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2、我方现提交的响应文件为：响应文件正本1 份，副本2 份。</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3、我方承诺：本次比选的有效期为30天。</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4、我方完全理解和接受贵方竞争性比选文件的一切规定和要求及评审办法。</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5、在整个竞争性比选过程中，我方若有违规行为，接受按照《中华人民共和国政府采购法》及其实施条例等规定给予惩罚。</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6、我方若成为成交供应商，将按照比选结果签订合同，并且严格履行合同义务。本承诺函将成为合同不可分割的一部分，与合同具有同等的法律效力。</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7、我方理解，最低报价不是成交的唯一条件。</w:t>
      </w:r>
    </w:p>
    <w:p>
      <w:pPr>
        <w:keepNext w:val="0"/>
        <w:keepLines w:val="0"/>
        <w:widowControl/>
        <w:suppressLineNumbers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8、如果我方成为成交供应商，保证在接到成交通知书后，愿意按有关规定及比选文件要求缴纳履约保证金。</w:t>
      </w:r>
    </w:p>
    <w:p>
      <w:pPr>
        <w:keepNext w:val="0"/>
        <w:keepLines w:val="0"/>
        <w:widowControl/>
        <w:suppressLineNumbers w:val="0"/>
        <w:spacing w:before="0" w:beforeAutospacing="0" w:after="0" w:afterAutospacing="0" w:line="480" w:lineRule="atLeas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480" w:lineRule="atLeas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480" w:lineRule="atLeas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480" w:lineRule="atLeas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供应商（公章）：</w:t>
      </w:r>
    </w:p>
    <w:p>
      <w:pPr>
        <w:keepNext w:val="0"/>
        <w:keepLines w:val="0"/>
        <w:widowControl/>
        <w:suppressLineNumbers w:val="0"/>
        <w:snapToGrid w:val="0"/>
        <w:spacing w:before="0" w:beforeAutospacing="0" w:after="0" w:afterAutospacing="0" w:line="480" w:lineRule="atLeas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年   月   日</w:t>
      </w:r>
    </w:p>
    <w:p>
      <w:pPr>
        <w:rPr>
          <w:rFonts w:hint="eastAsia" w:ascii="宋体" w:hAnsi="宋体" w:eastAsia="宋体" w:cs="Times New Roman"/>
          <w:kern w:val="2"/>
          <w:sz w:val="24"/>
          <w:szCs w:val="24"/>
          <w:lang w:val="en-US" w:eastAsia="zh-CN" w:bidi="ar"/>
        </w:rPr>
        <w:sectPr>
          <w:pgSz w:w="11915" w:h="16840"/>
          <w:pgMar w:top="1135" w:right="1304" w:bottom="1135" w:left="1191" w:header="851" w:footer="992" w:gutter="0"/>
          <w:pgNumType w:fmt="numberInDash"/>
          <w:cols w:space="425" w:num="1"/>
          <w:docGrid w:type="lines" w:linePitch="312" w:charSpace="0"/>
        </w:sectPr>
      </w:pPr>
    </w:p>
    <w:p>
      <w:pPr>
        <w:pStyle w:val="4"/>
        <w:widowControl/>
        <w:spacing w:before="48" w:beforeAutospacing="0" w:after="48" w:afterAutospacing="0"/>
        <w:ind w:left="0" w:right="0" w:firstLine="640"/>
        <w:jc w:val="center"/>
        <w:rPr>
          <w:rFonts w:hint="eastAsia" w:ascii="宋体" w:hAnsi="宋体" w:eastAsia="宋体" w:cs="宋体"/>
          <w:b w:val="0"/>
          <w:sz w:val="44"/>
          <w:szCs w:val="44"/>
          <w:lang w:eastAsia="zh-CN"/>
        </w:rPr>
      </w:pPr>
      <w:bookmarkStart w:id="143" w:name="_Toc474603969"/>
      <w:bookmarkStart w:id="144" w:name="_Toc342913420"/>
      <w:bookmarkStart w:id="145" w:name="_Toc313888361"/>
      <w:bookmarkStart w:id="146" w:name="_Toc313008357"/>
      <w:bookmarkStart w:id="147" w:name="_Toc474603961"/>
      <w:r>
        <w:rPr>
          <w:rFonts w:hint="eastAsia" w:ascii="宋体" w:hAnsi="宋体" w:eastAsia="宋体" w:cs="宋体"/>
          <w:b w:val="0"/>
          <w:sz w:val="44"/>
          <w:szCs w:val="44"/>
          <w:lang w:eastAsia="zh-CN"/>
        </w:rPr>
        <w:t>报价明细表</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6"/>
        <w:gridCol w:w="4020"/>
        <w:gridCol w:w="2490"/>
        <w:gridCol w:w="2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1036" w:type="dxa"/>
          </w:tcPr>
          <w:p>
            <w:pPr>
              <w:keepNext w:val="0"/>
              <w:keepLines w:val="0"/>
              <w:suppressLineNumbers w:val="0"/>
              <w:spacing w:before="0" w:beforeAutospacing="0" w:after="0" w:afterAutospacing="0"/>
              <w:ind w:left="0" w:right="0"/>
              <w:jc w:val="center"/>
              <w:rPr>
                <w:rFonts w:hint="eastAsia"/>
                <w:sz w:val="32"/>
                <w:szCs w:val="32"/>
                <w:vertAlign w:val="baseline"/>
                <w:lang w:eastAsia="zh-CN"/>
              </w:rPr>
            </w:pPr>
            <w:r>
              <w:rPr>
                <w:rFonts w:hint="eastAsia"/>
                <w:sz w:val="32"/>
                <w:szCs w:val="32"/>
                <w:vertAlign w:val="baseline"/>
                <w:lang w:eastAsia="zh-CN"/>
              </w:rPr>
              <w:t>序号</w:t>
            </w:r>
          </w:p>
        </w:tc>
        <w:tc>
          <w:tcPr>
            <w:tcW w:w="4020" w:type="dxa"/>
          </w:tcPr>
          <w:p>
            <w:pPr>
              <w:keepNext w:val="0"/>
              <w:keepLines w:val="0"/>
              <w:suppressLineNumbers w:val="0"/>
              <w:spacing w:before="0" w:beforeAutospacing="0" w:after="0" w:afterAutospacing="0"/>
              <w:ind w:left="0" w:right="0"/>
              <w:jc w:val="center"/>
              <w:rPr>
                <w:rFonts w:hint="eastAsia"/>
                <w:sz w:val="32"/>
                <w:szCs w:val="32"/>
                <w:vertAlign w:val="baseline"/>
                <w:lang w:eastAsia="zh-CN"/>
              </w:rPr>
            </w:pPr>
            <w:r>
              <w:rPr>
                <w:rFonts w:hint="eastAsia"/>
                <w:sz w:val="32"/>
                <w:szCs w:val="32"/>
                <w:vertAlign w:val="baseline"/>
                <w:lang w:eastAsia="zh-CN"/>
              </w:rPr>
              <w:t>名称</w:t>
            </w:r>
          </w:p>
        </w:tc>
        <w:tc>
          <w:tcPr>
            <w:tcW w:w="2490" w:type="dxa"/>
          </w:tcPr>
          <w:p>
            <w:pPr>
              <w:keepNext w:val="0"/>
              <w:keepLines w:val="0"/>
              <w:suppressLineNumbers w:val="0"/>
              <w:spacing w:before="0" w:beforeAutospacing="0" w:after="0" w:afterAutospacing="0"/>
              <w:ind w:left="0" w:right="0"/>
              <w:jc w:val="center"/>
              <w:rPr>
                <w:rFonts w:hint="eastAsia"/>
                <w:sz w:val="32"/>
                <w:szCs w:val="32"/>
                <w:vertAlign w:val="baseline"/>
                <w:lang w:eastAsia="zh-CN"/>
              </w:rPr>
            </w:pPr>
            <w:r>
              <w:rPr>
                <w:rFonts w:hint="eastAsia"/>
                <w:sz w:val="32"/>
                <w:szCs w:val="32"/>
                <w:vertAlign w:val="baseline"/>
                <w:lang w:eastAsia="zh-CN"/>
              </w:rPr>
              <w:t>报价（元）</w:t>
            </w:r>
          </w:p>
        </w:tc>
        <w:tc>
          <w:tcPr>
            <w:tcW w:w="2090" w:type="dxa"/>
          </w:tcPr>
          <w:p>
            <w:pPr>
              <w:keepNext w:val="0"/>
              <w:keepLines w:val="0"/>
              <w:suppressLineNumbers w:val="0"/>
              <w:spacing w:before="0" w:beforeAutospacing="0" w:after="0" w:afterAutospacing="0"/>
              <w:ind w:left="0" w:right="0"/>
              <w:jc w:val="center"/>
              <w:rPr>
                <w:rFonts w:hint="eastAsia"/>
                <w:sz w:val="32"/>
                <w:szCs w:val="32"/>
                <w:vertAlign w:val="baseline"/>
                <w:lang w:eastAsia="zh-CN"/>
              </w:rPr>
            </w:pPr>
            <w:r>
              <w:rPr>
                <w:rFonts w:hint="eastAsia"/>
                <w:sz w:val="32"/>
                <w:szCs w:val="32"/>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036"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1</w:t>
            </w:r>
          </w:p>
        </w:tc>
        <w:tc>
          <w:tcPr>
            <w:tcW w:w="4020"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线下实体活动内容覆盖2天</w:t>
            </w:r>
            <w:r>
              <w:rPr>
                <w:rFonts w:hint="default" w:ascii="宋体" w:hAnsi="宋体" w:eastAsia="宋体" w:cs="宋体"/>
                <w:kern w:val="2"/>
                <w:sz w:val="24"/>
                <w:szCs w:val="24"/>
                <w:lang w:val="en-US" w:eastAsia="zh-CN" w:bidi="ar"/>
              </w:rPr>
              <w:t>，线上活</w:t>
            </w:r>
          </w:p>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r>
              <w:rPr>
                <w:rFonts w:hint="default" w:ascii="宋体" w:hAnsi="宋体" w:eastAsia="宋体" w:cs="宋体"/>
                <w:kern w:val="2"/>
                <w:sz w:val="24"/>
                <w:szCs w:val="24"/>
                <w:lang w:val="en-US" w:eastAsia="zh-CN" w:bidi="ar"/>
              </w:rPr>
              <w:t>动宣传原则</w:t>
            </w:r>
            <w:r>
              <w:rPr>
                <w:rFonts w:hint="eastAsia" w:ascii="宋体" w:hAnsi="宋体" w:eastAsia="宋体" w:cs="宋体"/>
                <w:kern w:val="2"/>
                <w:sz w:val="24"/>
                <w:szCs w:val="24"/>
                <w:lang w:val="en-US" w:eastAsia="zh-CN" w:bidi="ar"/>
              </w:rPr>
              <w:t>10</w:t>
            </w:r>
            <w:r>
              <w:rPr>
                <w:rFonts w:hint="default" w:ascii="宋体" w:hAnsi="宋体" w:eastAsia="宋体" w:cs="宋体"/>
                <w:kern w:val="2"/>
                <w:sz w:val="24"/>
                <w:szCs w:val="24"/>
                <w:lang w:val="en-US" w:eastAsia="zh-CN" w:bidi="ar"/>
              </w:rPr>
              <w:t>天</w:t>
            </w: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1036"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2</w:t>
            </w:r>
          </w:p>
        </w:tc>
        <w:tc>
          <w:tcPr>
            <w:tcW w:w="4020" w:type="dxa"/>
            <w:vAlign w:val="center"/>
          </w:tcPr>
          <w:p>
            <w:pPr>
              <w:keepNext w:val="0"/>
              <w:keepLines w:val="0"/>
              <w:suppressLineNumbers w:val="0"/>
              <w:spacing w:before="0" w:beforeAutospacing="0" w:after="0" w:afterAutospacing="0"/>
              <w:ind w:left="0" w:right="0"/>
              <w:jc w:val="center"/>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大足区第十一届荷棠文化旅游节启</w:t>
            </w:r>
          </w:p>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动仪式</w:t>
            </w: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trPr>
        <w:tc>
          <w:tcPr>
            <w:tcW w:w="1036"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3</w:t>
            </w:r>
          </w:p>
        </w:tc>
        <w:tc>
          <w:tcPr>
            <w:tcW w:w="4020" w:type="dxa"/>
            <w:vAlign w:val="center"/>
          </w:tcPr>
          <w:p>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基于荷棠文化旅游节和大足荷棠乡</w:t>
            </w:r>
          </w:p>
          <w:p>
            <w:pPr>
              <w:keepNext w:val="0"/>
              <w:keepLines w:val="0"/>
              <w:suppressLineNumbers w:val="0"/>
              <w:spacing w:before="0" w:beforeAutospacing="0" w:after="0" w:afterAutospacing="0"/>
              <w:ind w:left="0" w:right="0"/>
              <w:jc w:val="left"/>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村振兴示范项目的央级、市级、区县和乡镇级线上传播</w:t>
            </w: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6" w:hRule="atLeast"/>
        </w:trPr>
        <w:tc>
          <w:tcPr>
            <w:tcW w:w="1036"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4</w:t>
            </w:r>
          </w:p>
        </w:tc>
        <w:tc>
          <w:tcPr>
            <w:tcW w:w="4020" w:type="dxa"/>
            <w:vAlign w:val="center"/>
          </w:tcPr>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r>
              <w:rPr>
                <w:rFonts w:hint="eastAsia" w:ascii="宋体" w:hAnsi="宋体" w:eastAsia="宋体" w:cs="宋体"/>
                <w:b w:val="0"/>
                <w:sz w:val="24"/>
                <w:szCs w:val="24"/>
                <w:lang w:val="en-US" w:eastAsia="zh-CN"/>
              </w:rPr>
              <w:t>各投标人自行策划与荷棠文化旅游节相应的农旅文商活动（2个以上）</w:t>
            </w:r>
          </w:p>
        </w:tc>
        <w:tc>
          <w:tcPr>
            <w:tcW w:w="2490" w:type="dxa"/>
            <w:vAlign w:val="center"/>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vAlign w:val="center"/>
          </w:tcPr>
          <w:p>
            <w:pPr>
              <w:keepNext w:val="0"/>
              <w:keepLines w:val="0"/>
              <w:suppressLineNumbers w:val="0"/>
              <w:tabs>
                <w:tab w:val="left" w:pos="318"/>
              </w:tabs>
              <w:spacing w:before="0" w:beforeAutospacing="0" w:after="0" w:afterAutospacing="0"/>
              <w:ind w:left="0" w:right="0"/>
              <w:jc w:val="left"/>
              <w:rPr>
                <w:rFonts w:hint="eastAsia"/>
                <w:sz w:val="44"/>
                <w:szCs w:val="44"/>
                <w:vertAlign w:val="baseline"/>
                <w:lang w:eastAsia="zh-CN"/>
              </w:rPr>
            </w:pPr>
            <w:r>
              <w:rPr>
                <w:rFonts w:hint="eastAsia" w:ascii="宋体" w:hAnsi="宋体" w:eastAsia="宋体" w:cs="宋体"/>
                <w:b w:val="0"/>
                <w:sz w:val="24"/>
                <w:szCs w:val="24"/>
                <w:lang w:val="en-US" w:eastAsia="zh-CN"/>
              </w:rPr>
              <w:t>该表可依次往下延伸填写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3" w:hRule="atLeast"/>
        </w:trPr>
        <w:tc>
          <w:tcPr>
            <w:tcW w:w="1036"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p>
        </w:tc>
        <w:tc>
          <w:tcPr>
            <w:tcW w:w="4020" w:type="dxa"/>
            <w:vAlign w:val="center"/>
          </w:tcPr>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trPr>
        <w:tc>
          <w:tcPr>
            <w:tcW w:w="1036" w:type="dxa"/>
            <w:vAlign w:val="center"/>
          </w:tcPr>
          <w:p>
            <w:pPr>
              <w:keepNext w:val="0"/>
              <w:keepLines w:val="0"/>
              <w:suppressLineNumbers w:val="0"/>
              <w:spacing w:before="0" w:beforeAutospacing="0" w:after="0" w:afterAutospacing="0"/>
              <w:ind w:left="0" w:right="0"/>
              <w:jc w:val="center"/>
              <w:rPr>
                <w:rFonts w:hint="default" w:ascii="宋体" w:hAnsi="宋体" w:eastAsia="宋体" w:cs="宋体"/>
                <w:kern w:val="2"/>
                <w:sz w:val="24"/>
                <w:szCs w:val="24"/>
                <w:lang w:val="en-US" w:eastAsia="zh-CN" w:bidi="ar"/>
              </w:rPr>
            </w:pPr>
          </w:p>
        </w:tc>
        <w:tc>
          <w:tcPr>
            <w:tcW w:w="4020" w:type="dxa"/>
            <w:vAlign w:val="center"/>
          </w:tcPr>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trPr>
        <w:tc>
          <w:tcPr>
            <w:tcW w:w="1036" w:type="dxa"/>
            <w:vAlign w:val="center"/>
          </w:tcPr>
          <w:p>
            <w:pPr>
              <w:keepNext w:val="0"/>
              <w:keepLines w:val="0"/>
              <w:suppressLineNumbers w:val="0"/>
              <w:spacing w:before="0" w:beforeAutospacing="0" w:after="0" w:afterAutospacing="0"/>
              <w:ind w:left="0" w:right="0"/>
              <w:jc w:val="center"/>
              <w:rPr>
                <w:rFonts w:hint="eastAsia" w:ascii="宋体" w:hAnsi="宋体" w:eastAsia="宋体" w:cs="宋体"/>
                <w:kern w:val="2"/>
                <w:sz w:val="24"/>
                <w:szCs w:val="24"/>
                <w:lang w:val="en-US" w:eastAsia="zh-CN" w:bidi="ar"/>
              </w:rPr>
            </w:pPr>
          </w:p>
        </w:tc>
        <w:tc>
          <w:tcPr>
            <w:tcW w:w="4020" w:type="dxa"/>
            <w:vAlign w:val="center"/>
          </w:tcPr>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trPr>
        <w:tc>
          <w:tcPr>
            <w:tcW w:w="1036" w:type="dxa"/>
            <w:vAlign w:val="center"/>
          </w:tcPr>
          <w:p>
            <w:pPr>
              <w:keepNext w:val="0"/>
              <w:keepLines w:val="0"/>
              <w:suppressLineNumbers w:val="0"/>
              <w:spacing w:before="0" w:beforeAutospacing="0" w:after="0" w:afterAutospacing="0"/>
              <w:ind w:left="0" w:right="0"/>
              <w:jc w:val="center"/>
              <w:rPr>
                <w:rFonts w:hint="eastAsia" w:ascii="宋体" w:hAnsi="宋体" w:eastAsia="宋体" w:cs="宋体"/>
                <w:kern w:val="2"/>
                <w:sz w:val="24"/>
                <w:szCs w:val="24"/>
                <w:lang w:val="en-US" w:eastAsia="zh-CN" w:bidi="ar"/>
              </w:rPr>
            </w:pPr>
          </w:p>
        </w:tc>
        <w:tc>
          <w:tcPr>
            <w:tcW w:w="4020" w:type="dxa"/>
            <w:vAlign w:val="center"/>
          </w:tcPr>
          <w:p>
            <w:pPr>
              <w:keepNext w:val="0"/>
              <w:keepLines w:val="0"/>
              <w:suppressLineNumbers w:val="0"/>
              <w:spacing w:before="0" w:beforeAutospacing="0" w:after="0" w:afterAutospacing="0"/>
              <w:ind w:left="0" w:right="0"/>
              <w:jc w:val="both"/>
              <w:rPr>
                <w:rFonts w:hint="eastAsia" w:ascii="宋体" w:hAnsi="宋体" w:eastAsia="宋体" w:cs="宋体"/>
                <w:kern w:val="2"/>
                <w:sz w:val="24"/>
                <w:szCs w:val="24"/>
                <w:lang w:val="en-US" w:eastAsia="zh-CN" w:bidi="ar"/>
              </w:rPr>
            </w:pPr>
          </w:p>
        </w:tc>
        <w:tc>
          <w:tcPr>
            <w:tcW w:w="24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c>
          <w:tcPr>
            <w:tcW w:w="2090" w:type="dxa"/>
          </w:tcPr>
          <w:p>
            <w:pPr>
              <w:keepNext w:val="0"/>
              <w:keepLines w:val="0"/>
              <w:suppressLineNumbers w:val="0"/>
              <w:spacing w:before="0" w:beforeAutospacing="0" w:after="0" w:afterAutospacing="0"/>
              <w:ind w:left="0" w:right="0"/>
              <w:jc w:val="center"/>
              <w:rPr>
                <w:rFonts w:hint="eastAsia"/>
                <w:sz w:val="44"/>
                <w:szCs w:val="44"/>
                <w:vertAlign w:val="baseline"/>
                <w:lang w:eastAsia="zh-CN"/>
              </w:rPr>
            </w:pPr>
          </w:p>
        </w:tc>
      </w:tr>
    </w:tbl>
    <w:p>
      <w:pPr>
        <w:rPr>
          <w:rFonts w:hint="eastAsia"/>
          <w:lang w:eastAsia="zh-CN"/>
        </w:rPr>
      </w:pPr>
      <w:r>
        <w:rPr>
          <w:rFonts w:hint="eastAsia"/>
          <w:lang w:eastAsia="zh-CN"/>
        </w:rPr>
        <w:t>注：此表可延伸，各投标根据自己策划的活动内容依次往下延伸表格报价。</w:t>
      </w:r>
    </w:p>
    <w:p>
      <w:pPr>
        <w:pStyle w:val="4"/>
        <w:widowControl/>
        <w:spacing w:before="48" w:beforeAutospacing="0" w:after="48" w:afterAutospacing="0"/>
        <w:ind w:left="0" w:right="0" w:firstLine="640"/>
        <w:rPr>
          <w:rFonts w:hint="eastAsia" w:ascii="宋体" w:hAnsi="宋体" w:eastAsia="宋体" w:cs="宋体"/>
          <w:b w:val="0"/>
          <w:lang w:eastAsia="zh-CN"/>
        </w:rPr>
      </w:pPr>
    </w:p>
    <w:p>
      <w:pPr>
        <w:pStyle w:val="4"/>
        <w:widowControl/>
        <w:spacing w:before="48" w:beforeAutospacing="0" w:after="48" w:afterAutospacing="0"/>
        <w:ind w:left="0" w:leftChars="0" w:right="0" w:firstLine="320" w:firstLineChars="100"/>
        <w:rPr>
          <w:rFonts w:hint="eastAsia" w:ascii="宋体" w:hAnsi="宋体" w:eastAsia="宋体" w:cs="宋体"/>
          <w:b w:val="0"/>
          <w:lang w:eastAsia="zh-CN"/>
        </w:rPr>
      </w:pPr>
    </w:p>
    <w:p>
      <w:pPr>
        <w:pStyle w:val="4"/>
        <w:widowControl/>
        <w:spacing w:before="48" w:beforeAutospacing="0" w:after="48" w:afterAutospacing="0"/>
        <w:ind w:left="0" w:leftChars="0" w:right="0" w:firstLine="320" w:firstLineChars="100"/>
        <w:rPr>
          <w:rFonts w:hint="eastAsia" w:ascii="宋体" w:hAnsi="宋体" w:eastAsia="宋体" w:cs="宋体"/>
          <w:b w:val="0"/>
          <w:lang w:eastAsia="zh-CN"/>
        </w:rPr>
      </w:pPr>
    </w:p>
    <w:p>
      <w:pPr>
        <w:rPr>
          <w:rFonts w:hint="eastAsia" w:ascii="宋体" w:hAnsi="宋体" w:eastAsia="宋体" w:cs="宋体"/>
          <w:b w:val="0"/>
          <w:lang w:eastAsia="zh-CN"/>
        </w:rPr>
      </w:pPr>
    </w:p>
    <w:p>
      <w:pPr>
        <w:rPr>
          <w:rFonts w:hint="eastAsia" w:ascii="宋体" w:hAnsi="宋体" w:eastAsia="宋体" w:cs="宋体"/>
          <w:b w:val="0"/>
          <w:lang w:eastAsia="zh-CN"/>
        </w:rPr>
      </w:pPr>
    </w:p>
    <w:p>
      <w:pPr>
        <w:rPr>
          <w:rFonts w:hint="eastAsia" w:ascii="宋体" w:hAnsi="宋体" w:eastAsia="宋体" w:cs="宋体"/>
          <w:b w:val="0"/>
          <w:lang w:eastAsia="zh-CN"/>
        </w:rPr>
      </w:pPr>
    </w:p>
    <w:p>
      <w:pPr>
        <w:pStyle w:val="4"/>
        <w:widowControl/>
        <w:spacing w:before="48" w:beforeAutospacing="0" w:after="48" w:afterAutospacing="0"/>
        <w:ind w:left="0" w:leftChars="0" w:right="0" w:firstLine="0" w:firstLineChars="0"/>
        <w:rPr>
          <w:rFonts w:hint="eastAsia" w:ascii="宋体" w:hAnsi="宋体" w:eastAsia="宋体" w:cs="宋体"/>
          <w:b w:val="0"/>
          <w:lang w:val="en-US"/>
        </w:rPr>
      </w:pPr>
      <w:r>
        <w:rPr>
          <w:rFonts w:hint="eastAsia" w:ascii="宋体" w:hAnsi="宋体" w:eastAsia="宋体" w:cs="宋体"/>
          <w:b w:val="0"/>
          <w:lang w:eastAsia="zh-CN"/>
        </w:rPr>
        <w:t>（二）营业执照</w:t>
      </w:r>
      <w:bookmarkEnd w:id="143"/>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r>
        <w:rPr>
          <w:rFonts w:hint="eastAsia" w:ascii="宋体" w:hAnsi="宋体" w:eastAsia="宋体" w:cs="Times New Roman"/>
          <w:kern w:val="2"/>
          <w:sz w:val="32"/>
          <w:szCs w:val="32"/>
          <w:lang w:val="en-US" w:eastAsia="zh-CN" w:bidi="ar"/>
        </w:rPr>
        <w:br w:type="page"/>
      </w:r>
      <w:bookmarkStart w:id="148" w:name="_Toc474603971"/>
      <w:r>
        <w:rPr>
          <w:rFonts w:hint="eastAsia" w:ascii="宋体" w:hAnsi="宋体" w:eastAsia="宋体" w:cs="宋体"/>
          <w:b w:val="0"/>
          <w:lang w:eastAsia="zh-CN"/>
        </w:rPr>
        <w:t>（三）法定代表人身份证明书（格式）</w:t>
      </w:r>
      <w:bookmarkEnd w:id="148"/>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项目名称：</w:t>
      </w:r>
      <w:r>
        <w:rPr>
          <w:rFonts w:hint="eastAsia" w:ascii="宋体" w:hAnsi="宋体" w:eastAsia="宋体" w:cs="宋体"/>
          <w:u w:val="single"/>
          <w:lang w:val="en-US"/>
        </w:rPr>
        <w:t xml:space="preserve">                                                </w:t>
      </w:r>
      <w:r>
        <w:rPr>
          <w:rFonts w:hint="eastAsia" w:ascii="宋体" w:hAnsi="宋体" w:eastAsia="宋体" w:cs="宋体"/>
          <w:lang w:val="en-US"/>
        </w:rPr>
        <w:t xml:space="preserve">                                                </w:t>
      </w:r>
    </w:p>
    <w:p>
      <w:pPr>
        <w:pStyle w:val="177"/>
        <w:widowControl/>
        <w:ind w:left="0" w:firstLine="480"/>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致：</w:t>
      </w:r>
      <w:r>
        <w:rPr>
          <w:rFonts w:hint="eastAsia" w:ascii="宋体" w:hAnsi="宋体" w:eastAsia="宋体" w:cs="宋体"/>
          <w:u w:val="single"/>
          <w:lang w:val="en-US"/>
        </w:rPr>
        <w:t xml:space="preserve">                     </w:t>
      </w:r>
      <w:r>
        <w:rPr>
          <w:rFonts w:hint="eastAsia" w:ascii="宋体" w:hAnsi="宋体" w:eastAsia="宋体" w:cs="宋体"/>
          <w:lang w:eastAsia="zh-CN"/>
        </w:rPr>
        <w:t>（采购人名称）：</w:t>
      </w:r>
    </w:p>
    <w:p>
      <w:pPr>
        <w:pStyle w:val="177"/>
        <w:widowControl/>
        <w:ind w:left="0" w:firstLine="480"/>
        <w:rPr>
          <w:rFonts w:hint="eastAsia" w:ascii="宋体" w:hAnsi="宋体" w:eastAsia="宋体" w:cs="宋体"/>
          <w:lang w:val="en-US"/>
        </w:rPr>
      </w:pPr>
      <w:r>
        <w:rPr>
          <w:rFonts w:hint="eastAsia" w:ascii="宋体" w:hAnsi="宋体" w:eastAsia="宋体" w:cs="宋体"/>
          <w:u w:val="single"/>
          <w:lang w:val="en-US"/>
        </w:rPr>
        <w:t xml:space="preserve">        </w:t>
      </w:r>
      <w:r>
        <w:rPr>
          <w:rFonts w:hint="eastAsia" w:ascii="宋体" w:hAnsi="宋体" w:eastAsia="宋体" w:cs="宋体"/>
          <w:lang w:eastAsia="zh-CN"/>
        </w:rPr>
        <w:t>（法定代表人姓名）在</w:t>
      </w:r>
      <w:r>
        <w:rPr>
          <w:rFonts w:hint="eastAsia" w:ascii="宋体" w:hAnsi="宋体" w:eastAsia="宋体" w:cs="宋体"/>
          <w:u w:val="single"/>
          <w:lang w:val="en-US"/>
        </w:rPr>
        <w:t xml:space="preserve">                       </w:t>
      </w:r>
      <w:r>
        <w:rPr>
          <w:rFonts w:hint="eastAsia" w:ascii="宋体" w:hAnsi="宋体" w:eastAsia="宋体" w:cs="宋体"/>
          <w:lang w:eastAsia="zh-CN"/>
        </w:rPr>
        <w:t>（供应商名称）任</w:t>
      </w:r>
      <w:r>
        <w:rPr>
          <w:rFonts w:hint="eastAsia" w:ascii="宋体" w:hAnsi="宋体" w:eastAsia="宋体" w:cs="宋体"/>
          <w:u w:val="single"/>
          <w:lang w:val="en-US"/>
        </w:rPr>
        <w:t xml:space="preserve">    </w:t>
      </w:r>
      <w:r>
        <w:rPr>
          <w:rFonts w:hint="eastAsia" w:ascii="宋体" w:hAnsi="宋体" w:eastAsia="宋体" w:cs="宋体"/>
          <w:lang w:eastAsia="zh-CN"/>
        </w:rPr>
        <w:t>（职务名称）职务，是（供应商名称）</w:t>
      </w:r>
      <w:r>
        <w:rPr>
          <w:rFonts w:hint="eastAsia" w:ascii="宋体" w:hAnsi="宋体" w:eastAsia="宋体" w:cs="宋体"/>
          <w:u w:val="single"/>
          <w:lang w:val="en-US"/>
        </w:rPr>
        <w:t xml:space="preserve">             </w:t>
      </w:r>
      <w:r>
        <w:rPr>
          <w:rFonts w:hint="eastAsia" w:ascii="宋体" w:hAnsi="宋体" w:eastAsia="宋体" w:cs="宋体"/>
          <w:lang w:val="en-US"/>
        </w:rPr>
        <w:t xml:space="preserve"> </w:t>
      </w:r>
      <w:r>
        <w:rPr>
          <w:rFonts w:hint="eastAsia" w:ascii="宋体" w:hAnsi="宋体" w:eastAsia="宋体" w:cs="宋体"/>
          <w:lang w:eastAsia="zh-CN"/>
        </w:rPr>
        <w:t>的法定代表人。</w:t>
      </w:r>
    </w:p>
    <w:p>
      <w:pPr>
        <w:pStyle w:val="177"/>
        <w:widowControl/>
        <w:ind w:left="0" w:firstLine="480"/>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特此证明。</w:t>
      </w: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（供应商公章）</w:t>
      </w: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年   月   日</w:t>
      </w: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（附：法定代表人身份证正反面复印件）</w:t>
      </w: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right="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480" w:firstLineChars="200"/>
        <w:jc w:val="left"/>
        <w:rPr>
          <w:rFonts w:hint="eastAsia" w:ascii="宋体" w:hAnsi="宋体" w:eastAsia="宋体" w:cs="MingLiU"/>
          <w:color w:val="000000"/>
          <w:kern w:val="0"/>
          <w:szCs w:val="21"/>
          <w:lang w:val="en-US"/>
        </w:rPr>
      </w:pPr>
      <w:r>
        <w:rPr>
          <w:rFonts w:hint="eastAsia" w:ascii="宋体" w:hAnsi="宋体" w:eastAsia="宋体" w:cs="MingLiU"/>
          <w:color w:val="000000"/>
          <w:kern w:val="0"/>
          <w:sz w:val="24"/>
          <w:szCs w:val="21"/>
          <w:lang w:val="en-US" w:eastAsia="zh-CN" w:bidi="ar"/>
        </w:rPr>
        <w:t>注：1.法定代表人参加投标活动并签署文件的不需要授权委托书，只需提供法定代表人身份证明；非法定代表人参加投标活动及签署文件的除提供法定代表人身份证明外还须提供授权委托书。</w:t>
      </w: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MingLiU"/>
          <w:color w:val="000000"/>
          <w:kern w:val="0"/>
          <w:sz w:val="24"/>
          <w:szCs w:val="21"/>
          <w:lang w:val="en-US" w:eastAsia="zh-CN" w:bidi="ar"/>
        </w:rPr>
        <w:t>2.法定代表人身份证明及授权委托书原件装入投标文件一并递交。另外还须准备一份在开标现场出具。</w:t>
      </w:r>
      <w:r>
        <w:rPr>
          <w:rFonts w:hint="eastAsia" w:ascii="宋体" w:hAnsi="宋体" w:eastAsia="宋体" w:cs="宋体"/>
          <w:kern w:val="2"/>
          <w:sz w:val="24"/>
          <w:szCs w:val="24"/>
          <w:lang w:val="en-US" w:eastAsia="zh-CN" w:bidi="ar"/>
        </w:rPr>
        <w:br w:type="column"/>
      </w:r>
      <w:bookmarkStart w:id="149" w:name="_Toc474603972"/>
      <w:r>
        <w:rPr>
          <w:rFonts w:hint="eastAsia" w:ascii="宋体" w:hAnsi="宋体" w:eastAsia="宋体" w:cs="宋体"/>
          <w:kern w:val="2"/>
          <w:sz w:val="27"/>
          <w:szCs w:val="32"/>
          <w:lang w:val="en-US" w:eastAsia="zh-CN" w:bidi="ar"/>
        </w:rPr>
        <w:t>（四）法定代表人授权委托书（格式）</w:t>
      </w:r>
      <w:bookmarkEnd w:id="149"/>
    </w:p>
    <w:p>
      <w:pPr>
        <w:keepNext w:val="0"/>
        <w:keepLines w:val="0"/>
        <w:widowControl/>
        <w:suppressLineNumbers w:val="0"/>
        <w:tabs>
          <w:tab w:val="left" w:pos="6300"/>
        </w:tabs>
        <w:snapToGrid w:val="0"/>
        <w:spacing w:before="0" w:beforeAutospacing="0" w:after="0" w:afterAutospacing="0" w:line="50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w:t>
      </w:r>
    </w:p>
    <w:p>
      <w:pPr>
        <w:keepNext w:val="0"/>
        <w:keepLines w:val="0"/>
        <w:widowControl/>
        <w:suppressLineNumbers w:val="0"/>
        <w:tabs>
          <w:tab w:val="left" w:pos="6300"/>
        </w:tabs>
        <w:snapToGrid w:val="0"/>
        <w:spacing w:before="0" w:beforeAutospacing="0" w:after="0" w:afterAutospacing="0" w:line="50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项目名称：</w:t>
      </w:r>
      <w:r>
        <w:rPr>
          <w:rFonts w:hint="eastAsia" w:ascii="宋体" w:hAnsi="宋体" w:eastAsia="宋体" w:cs="宋体"/>
          <w:kern w:val="2"/>
          <w:sz w:val="24"/>
          <w:szCs w:val="24"/>
          <w:u w:val="single"/>
          <w:lang w:val="en-US" w:eastAsia="zh-CN" w:bidi="ar"/>
        </w:rPr>
        <w:t xml:space="preserve">                                                </w:t>
      </w: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致：</w:t>
      </w:r>
      <w:r>
        <w:rPr>
          <w:rFonts w:hint="eastAsia" w:ascii="宋体" w:hAnsi="宋体" w:eastAsia="宋体" w:cs="宋体"/>
          <w:u w:val="single"/>
          <w:lang w:val="en-US"/>
        </w:rPr>
        <w:t xml:space="preserve">                     </w:t>
      </w:r>
      <w:r>
        <w:rPr>
          <w:rFonts w:hint="eastAsia" w:ascii="宋体" w:hAnsi="宋体" w:eastAsia="宋体" w:cs="宋体"/>
          <w:lang w:eastAsia="zh-CN"/>
        </w:rPr>
        <w:t>（采购人名称）：</w:t>
      </w:r>
    </w:p>
    <w:p>
      <w:pPr>
        <w:pStyle w:val="177"/>
        <w:widowControl/>
        <w:ind w:left="0" w:firstLine="480"/>
        <w:rPr>
          <w:rFonts w:hint="eastAsia" w:ascii="宋体" w:hAnsi="宋体" w:eastAsia="宋体" w:cs="宋体"/>
          <w:lang w:val="en-US"/>
        </w:rPr>
      </w:pPr>
      <w:r>
        <w:rPr>
          <w:rFonts w:hint="eastAsia" w:ascii="宋体" w:hAnsi="宋体" w:eastAsia="宋体" w:cs="宋体"/>
          <w:u w:val="single"/>
          <w:lang w:val="en-US"/>
        </w:rPr>
        <w:t xml:space="preserve">            </w:t>
      </w:r>
      <w:r>
        <w:rPr>
          <w:rFonts w:hint="eastAsia" w:ascii="宋体" w:hAnsi="宋体" w:eastAsia="宋体" w:cs="宋体"/>
          <w:lang w:eastAsia="zh-CN"/>
        </w:rPr>
        <w:t>（供应商法定代表人名称）是</w:t>
      </w:r>
      <w:r>
        <w:rPr>
          <w:rFonts w:hint="eastAsia" w:ascii="宋体" w:hAnsi="宋体" w:eastAsia="宋体" w:cs="宋体"/>
          <w:u w:val="single"/>
          <w:lang w:val="en-US"/>
        </w:rPr>
        <w:t xml:space="preserve">                    </w:t>
      </w:r>
      <w:r>
        <w:rPr>
          <w:rFonts w:hint="eastAsia" w:ascii="宋体" w:hAnsi="宋体" w:eastAsia="宋体" w:cs="宋体"/>
          <w:lang w:eastAsia="zh-CN"/>
        </w:rPr>
        <w:t>（供应商名称）的法定代表人，特授权</w:t>
      </w:r>
      <w:r>
        <w:rPr>
          <w:rFonts w:hint="eastAsia" w:ascii="宋体" w:hAnsi="宋体" w:eastAsia="宋体" w:cs="宋体"/>
          <w:u w:val="single"/>
          <w:lang w:val="en-US"/>
        </w:rPr>
        <w:t xml:space="preserve">          </w:t>
      </w:r>
      <w:r>
        <w:rPr>
          <w:rFonts w:hint="eastAsia" w:ascii="宋体" w:hAnsi="宋体" w:eastAsia="宋体" w:cs="宋体"/>
          <w:lang w:eastAsia="zh-CN"/>
        </w:rPr>
        <w:t>（被授权人姓名及身份证代码）代表我单位全权办理上述项目的比选、签约等具体工作，并签署全部有关文件、协议及合同。</w:t>
      </w: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我单位对被授权人的签字负全部责任。</w:t>
      </w: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在撤消授权的书面通知以前，本授权书一直有效。被授权人在授权书有效期内签署的所有文件不因授权的撤消而失效。</w:t>
      </w:r>
    </w:p>
    <w:p>
      <w:pPr>
        <w:keepNext w:val="0"/>
        <w:keepLines w:val="0"/>
        <w:widowControl/>
        <w:suppressLineNumbers w:val="0"/>
        <w:tabs>
          <w:tab w:val="left" w:pos="6300"/>
        </w:tabs>
        <w:snapToGrid w:val="0"/>
        <w:spacing w:before="0" w:beforeAutospacing="0" w:after="0" w:afterAutospacing="0" w:line="500" w:lineRule="exact"/>
        <w:ind w:left="0" w:right="0" w:firstLine="0" w:firstLineChars="0"/>
        <w:jc w:val="left"/>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被授权人：</w:t>
      </w:r>
      <w:r>
        <w:rPr>
          <w:rFonts w:hint="eastAsia" w:ascii="宋体" w:hAnsi="宋体" w:eastAsia="宋体" w:cs="宋体"/>
          <w:lang w:val="en-US"/>
        </w:rPr>
        <w:t xml:space="preserve">                                 </w:t>
      </w:r>
      <w:r>
        <w:rPr>
          <w:rFonts w:hint="eastAsia" w:ascii="宋体" w:hAnsi="宋体" w:eastAsia="宋体" w:cs="宋体"/>
          <w:lang w:eastAsia="zh-CN"/>
        </w:rPr>
        <w:t>供应商法定代表人：</w:t>
      </w:r>
    </w:p>
    <w:p>
      <w:pPr>
        <w:pStyle w:val="177"/>
        <w:widowControl/>
        <w:ind w:left="0" w:firstLine="480"/>
        <w:rPr>
          <w:rFonts w:hint="eastAsia" w:ascii="宋体" w:hAnsi="宋体" w:eastAsia="宋体" w:cs="宋体"/>
          <w:szCs w:val="28"/>
          <w:lang w:val="en-US"/>
        </w:rPr>
      </w:pPr>
      <w:r>
        <w:rPr>
          <w:rFonts w:hint="eastAsia" w:ascii="宋体" w:hAnsi="宋体" w:eastAsia="宋体" w:cs="宋体"/>
          <w:szCs w:val="28"/>
          <w:lang w:eastAsia="zh-CN"/>
        </w:rPr>
        <w:t>（签字或盖章）</w:t>
      </w:r>
      <w:r>
        <w:rPr>
          <w:rFonts w:hint="eastAsia" w:ascii="宋体" w:hAnsi="宋体" w:eastAsia="宋体" w:cs="宋体"/>
          <w:szCs w:val="28"/>
          <w:lang w:val="en-US"/>
        </w:rPr>
        <w:t xml:space="preserve">                                </w:t>
      </w:r>
      <w:r>
        <w:rPr>
          <w:rFonts w:hint="eastAsia" w:ascii="宋体" w:hAnsi="宋体" w:eastAsia="宋体" w:cs="宋体"/>
          <w:szCs w:val="28"/>
          <w:lang w:eastAsia="zh-CN"/>
        </w:rPr>
        <w:t>（签字或盖章）</w:t>
      </w: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szCs w:val="28"/>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（附：被授权人身份证正反面复印件）</w:t>
      </w: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w:t>
      </w: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val="en-US"/>
        </w:rPr>
        <w:t xml:space="preserve">                                        </w:t>
      </w:r>
      <w:r>
        <w:rPr>
          <w:rFonts w:hint="eastAsia" w:ascii="宋体" w:hAnsi="宋体" w:eastAsia="宋体" w:cs="宋体"/>
          <w:lang w:eastAsia="zh-CN"/>
        </w:rPr>
        <w:t>（供应商公章）</w:t>
      </w:r>
    </w:p>
    <w:p>
      <w:pPr>
        <w:pStyle w:val="177"/>
        <w:widowControl/>
        <w:ind w:left="0" w:firstLine="480"/>
        <w:rPr>
          <w:rFonts w:hint="eastAsia" w:ascii="宋体" w:hAnsi="宋体" w:eastAsia="宋体" w:cs="宋体"/>
          <w:lang w:val="en-US"/>
        </w:rPr>
      </w:pPr>
      <w:r>
        <w:rPr>
          <w:rFonts w:hint="eastAsia" w:ascii="宋体" w:hAnsi="宋体" w:eastAsia="宋体" w:cs="宋体"/>
          <w:lang w:val="en-US"/>
        </w:rPr>
        <w:t xml:space="preserve">                                         </w:t>
      </w:r>
      <w:r>
        <w:rPr>
          <w:rFonts w:hint="eastAsia" w:ascii="宋体" w:hAnsi="宋体" w:eastAsia="宋体" w:cs="宋体"/>
          <w:lang w:eastAsia="zh-CN"/>
        </w:rPr>
        <w:t>年</w:t>
      </w:r>
      <w:r>
        <w:rPr>
          <w:rFonts w:hint="eastAsia" w:ascii="宋体" w:hAnsi="宋体" w:eastAsia="宋体" w:cs="宋体"/>
          <w:lang w:val="en-US"/>
        </w:rPr>
        <w:t xml:space="preserve">   </w:t>
      </w:r>
      <w:r>
        <w:rPr>
          <w:rFonts w:hint="eastAsia" w:ascii="宋体" w:hAnsi="宋体" w:eastAsia="宋体" w:cs="宋体"/>
          <w:lang w:eastAsia="zh-CN"/>
        </w:rPr>
        <w:t>月</w:t>
      </w:r>
      <w:r>
        <w:rPr>
          <w:rFonts w:hint="eastAsia" w:ascii="宋体" w:hAnsi="宋体" w:eastAsia="宋体" w:cs="宋体"/>
          <w:lang w:val="en-US"/>
        </w:rPr>
        <w:t xml:space="preserve">   </w:t>
      </w:r>
      <w:r>
        <w:rPr>
          <w:rFonts w:hint="eastAsia" w:ascii="宋体" w:hAnsi="宋体" w:eastAsia="宋体" w:cs="宋体"/>
          <w:lang w:eastAsia="zh-CN"/>
        </w:rPr>
        <w:t>日</w:t>
      </w:r>
    </w:p>
    <w:p>
      <w:pPr>
        <w:pStyle w:val="177"/>
        <w:widowControl/>
        <w:ind w:left="0" w:firstLine="480"/>
        <w:rPr>
          <w:rFonts w:hint="eastAsia" w:ascii="宋体" w:hAnsi="宋体" w:eastAsia="宋体" w:cs="宋体"/>
          <w:lang w:val="en-US"/>
        </w:rPr>
      </w:pP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480" w:firstLineChars="200"/>
        <w:jc w:val="left"/>
        <w:rPr>
          <w:rFonts w:hint="eastAsia" w:ascii="宋体" w:hAnsi="宋体" w:eastAsia="宋体" w:cs="MingLiU"/>
          <w:color w:val="000000"/>
          <w:kern w:val="0"/>
          <w:szCs w:val="21"/>
          <w:lang w:val="en-US"/>
        </w:rPr>
      </w:pPr>
      <w:r>
        <w:rPr>
          <w:rFonts w:hint="eastAsia" w:ascii="宋体" w:hAnsi="宋体" w:eastAsia="宋体" w:cs="MingLiU"/>
          <w:color w:val="000000"/>
          <w:kern w:val="0"/>
          <w:sz w:val="24"/>
          <w:szCs w:val="21"/>
          <w:lang w:val="en-US" w:eastAsia="zh-CN" w:bidi="ar"/>
        </w:rPr>
        <w:t>注：1.法定代表人参加投标活动并签署文件的不需要授权委托书，只需提供法定代表人身份证明；非法定代表人参加投标活动及签署文件的除提供法定代表人身份证明外还须提供授权委托书。</w:t>
      </w: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MingLiU"/>
          <w:color w:val="000000"/>
          <w:kern w:val="0"/>
          <w:sz w:val="24"/>
          <w:szCs w:val="21"/>
          <w:lang w:val="en-US" w:eastAsia="zh-CN" w:bidi="ar"/>
        </w:rPr>
        <w:t>2.法定代表人身份证明及授权委托书原件装入投标文件一并递交。另外还须准备一份在开标现场出具。</w:t>
      </w:r>
      <w:r>
        <w:rPr>
          <w:rFonts w:hint="eastAsia" w:ascii="宋体" w:hAnsi="宋体" w:eastAsia="宋体" w:cs="宋体"/>
          <w:kern w:val="2"/>
          <w:sz w:val="24"/>
          <w:szCs w:val="24"/>
          <w:lang w:val="en-US" w:eastAsia="zh-CN" w:bidi="ar"/>
        </w:rPr>
        <w:br w:type="column"/>
      </w:r>
      <w:r>
        <w:rPr>
          <w:rFonts w:hint="eastAsia" w:ascii="宋体" w:hAnsi="宋体" w:eastAsia="宋体" w:cs="宋体"/>
          <w:kern w:val="2"/>
          <w:sz w:val="27"/>
          <w:szCs w:val="32"/>
          <w:lang w:val="en-US" w:eastAsia="zh-CN" w:bidi="ar"/>
        </w:rPr>
        <w:t>（五）书面声明</w:t>
      </w: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szCs w:val="28"/>
          <w:lang w:eastAsia="zh-CN"/>
        </w:rPr>
        <w:t>项目名称</w:t>
      </w:r>
      <w:r>
        <w:rPr>
          <w:rFonts w:hint="eastAsia" w:ascii="宋体" w:hAnsi="宋体" w:eastAsia="宋体" w:cs="宋体"/>
          <w:lang w:eastAsia="zh-CN"/>
        </w:rPr>
        <w:t>：</w:t>
      </w:r>
      <w:r>
        <w:rPr>
          <w:rFonts w:hint="eastAsia" w:ascii="宋体" w:hAnsi="宋体" w:eastAsia="宋体" w:cs="宋体"/>
          <w:u w:val="single"/>
          <w:lang w:val="en-US"/>
        </w:rPr>
        <w:t xml:space="preserve">                                             </w:t>
      </w:r>
      <w:r>
        <w:rPr>
          <w:rFonts w:hint="eastAsia" w:ascii="宋体" w:hAnsi="宋体" w:eastAsia="宋体" w:cs="宋体"/>
          <w:lang w:val="en-US"/>
        </w:rPr>
        <w:t xml:space="preserve">                                               </w:t>
      </w:r>
    </w:p>
    <w:p>
      <w:pPr>
        <w:pStyle w:val="177"/>
        <w:widowControl/>
        <w:ind w:left="0" w:firstLine="480"/>
        <w:rPr>
          <w:rFonts w:hint="eastAsia" w:ascii="宋体" w:hAnsi="宋体" w:eastAsia="宋体" w:cs="宋体"/>
          <w:u w:val="single"/>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致：</w:t>
      </w:r>
      <w:r>
        <w:rPr>
          <w:rFonts w:hint="eastAsia" w:ascii="宋体" w:hAnsi="宋体" w:eastAsia="宋体" w:cs="宋体"/>
          <w:u w:val="single"/>
          <w:lang w:eastAsia="zh-CN"/>
        </w:rPr>
        <w:t xml:space="preserve"> </w:t>
      </w:r>
      <w:r>
        <w:rPr>
          <w:rFonts w:hint="eastAsia" w:ascii="宋体" w:hAnsi="宋体" w:eastAsia="宋体" w:cs="宋体"/>
          <w:u w:val="single"/>
          <w:lang w:val="en-US"/>
        </w:rPr>
        <w:t xml:space="preserve">                  </w:t>
      </w:r>
      <w:r>
        <w:rPr>
          <w:rFonts w:hint="eastAsia" w:ascii="宋体" w:hAnsi="宋体" w:eastAsia="宋体" w:cs="宋体"/>
          <w:lang w:eastAsia="zh-CN"/>
        </w:rPr>
        <w:t>（采购人名称）：</w:t>
      </w:r>
    </w:p>
    <w:p>
      <w:pPr>
        <w:pStyle w:val="177"/>
        <w:widowControl/>
        <w:ind w:left="0" w:firstLine="480"/>
        <w:rPr>
          <w:rFonts w:hint="eastAsia" w:ascii="宋体" w:hAnsi="宋体" w:eastAsia="宋体" w:cs="宋体"/>
          <w:lang w:val="en-US"/>
        </w:rPr>
      </w:pPr>
      <w:r>
        <w:rPr>
          <w:rFonts w:hint="eastAsia" w:ascii="宋体" w:hAnsi="宋体" w:eastAsia="宋体" w:cs="宋体"/>
          <w:u w:val="single"/>
          <w:lang w:val="en-US"/>
        </w:rPr>
        <w:t xml:space="preserve">                      </w:t>
      </w:r>
      <w:r>
        <w:rPr>
          <w:rFonts w:hint="eastAsia" w:ascii="宋体" w:hAnsi="宋体" w:eastAsia="宋体" w:cs="宋体"/>
          <w:lang w:eastAsia="zh-CN"/>
        </w:rPr>
        <w:t>（投标人名称）郑重声明，我公司具有良好的商业信誉，具有履行合同所必需的设备和专业技术能力，具有良好的商业信誉和健全的财务会计制度，</w:t>
      </w:r>
      <w:r>
        <w:rPr>
          <w:rFonts w:hint="eastAsia" w:ascii="宋体" w:hAnsi="宋体" w:eastAsia="宋体" w:cs="宋体"/>
          <w:lang w:val="zh-CN" w:eastAsia="zh-CN"/>
        </w:rPr>
        <w:t>有依法缴纳税收和社会保障金的良好记录</w:t>
      </w:r>
      <w:r>
        <w:rPr>
          <w:rFonts w:hint="eastAsia" w:ascii="宋体" w:hAnsi="宋体" w:eastAsia="宋体" w:cs="宋体"/>
          <w:lang w:eastAsia="zh-CN"/>
        </w:rPr>
        <w:t>，参加本项目采购活动前三年内无重大违法活动记录，满足法律、行政法规规定的其他条件，在合同签订前后随时愿意提供相关证明材料；我公司还同时声明未列入在信用中国网站（</w:t>
      </w:r>
      <w:r>
        <w:rPr>
          <w:rFonts w:hint="eastAsia" w:ascii="宋体" w:hAnsi="宋体" w:eastAsia="宋体" w:cs="宋体"/>
          <w:lang w:val="en-US"/>
        </w:rPr>
        <w:t>www.creditchina.gov.cn</w:t>
      </w:r>
      <w:r>
        <w:rPr>
          <w:rFonts w:hint="eastAsia" w:ascii="宋体" w:hAnsi="宋体" w:eastAsia="宋体" w:cs="宋体"/>
          <w:lang w:eastAsia="zh-CN"/>
        </w:rPr>
        <w:t>）“失信被执行人”、“重大税收违法案件当事人名单”中，也未列入中国政府采购网（</w:t>
      </w:r>
      <w:r>
        <w:rPr>
          <w:rFonts w:hint="eastAsia" w:ascii="宋体" w:hAnsi="宋体" w:eastAsia="宋体" w:cs="宋体"/>
          <w:lang w:val="en-US"/>
        </w:rPr>
        <w:t>www.ccgp.gov.cn</w:t>
      </w:r>
      <w:r>
        <w:rPr>
          <w:rFonts w:hint="eastAsia" w:ascii="宋体" w:hAnsi="宋体" w:eastAsia="宋体" w:cs="宋体"/>
          <w:lang w:eastAsia="zh-CN"/>
        </w:rPr>
        <w:t>）“政府采购严重违法失信行为记录名单”中，并随时接受采购人、采购代理机构的检查验证，符合《政府采购法》规定的投标人资格条件。我方对以上声明负全部法律责任。</w:t>
      </w:r>
    </w:p>
    <w:p>
      <w:pPr>
        <w:pStyle w:val="177"/>
        <w:widowControl/>
        <w:ind w:left="0" w:firstLine="480"/>
        <w:rPr>
          <w:rFonts w:hint="eastAsia" w:ascii="宋体" w:hAnsi="宋体" w:eastAsia="宋体" w:cs="宋体"/>
          <w:lang w:val="en-US"/>
        </w:rPr>
      </w:pPr>
      <w:r>
        <w:rPr>
          <w:rFonts w:hint="eastAsia" w:ascii="宋体" w:hAnsi="宋体" w:eastAsia="宋体" w:cs="宋体"/>
          <w:lang w:eastAsia="zh-CN"/>
        </w:rPr>
        <w:t>特此声明。</w:t>
      </w: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6300"/>
        </w:tabs>
        <w:snapToGrid w:val="0"/>
        <w:spacing w:before="0" w:beforeAutospacing="0" w:after="0" w:afterAutospacing="0" w:line="500" w:lineRule="exact"/>
        <w:ind w:left="0" w:right="0" w:firstLine="420" w:firstLineChars="200"/>
        <w:jc w:val="left"/>
        <w:rPr>
          <w:rFonts w:hint="eastAsia" w:ascii="宋体" w:hAnsi="宋体" w:eastAsia="宋体" w:cs="宋体"/>
          <w:lang w:val="en-US"/>
        </w:rPr>
      </w:pPr>
    </w:p>
    <w:p>
      <w:pPr>
        <w:pStyle w:val="177"/>
        <w:widowControl/>
        <w:ind w:left="0" w:firstLine="480"/>
        <w:rPr>
          <w:rFonts w:hint="eastAsia" w:ascii="宋体" w:hAnsi="宋体" w:eastAsia="宋体" w:cs="宋体"/>
          <w:lang w:val="en-US"/>
        </w:rPr>
      </w:pPr>
      <w:r>
        <w:rPr>
          <w:rFonts w:hint="eastAsia" w:ascii="宋体" w:hAnsi="宋体" w:eastAsia="宋体" w:cs="宋体"/>
          <w:lang w:val="en-US"/>
        </w:rPr>
        <w:t xml:space="preserve">                                      </w:t>
      </w:r>
      <w:r>
        <w:rPr>
          <w:rFonts w:hint="eastAsia" w:ascii="宋体" w:hAnsi="宋体" w:eastAsia="宋体" w:cs="宋体"/>
          <w:lang w:eastAsia="zh-CN"/>
        </w:rPr>
        <w:t>（供应商公章）</w:t>
      </w:r>
    </w:p>
    <w:p>
      <w:pPr>
        <w:pStyle w:val="177"/>
        <w:widowControl/>
        <w:ind w:left="0" w:firstLine="480"/>
        <w:rPr>
          <w:rFonts w:hint="eastAsia" w:ascii="宋体" w:hAnsi="宋体" w:eastAsia="宋体" w:cs="宋体"/>
          <w:lang w:val="en-US"/>
        </w:rPr>
      </w:pPr>
      <w:r>
        <w:rPr>
          <w:rFonts w:hint="eastAsia" w:ascii="宋体" w:hAnsi="宋体" w:eastAsia="宋体" w:cs="宋体"/>
          <w:lang w:val="en-US"/>
        </w:rPr>
        <w:t xml:space="preserve">                                       </w:t>
      </w:r>
      <w:r>
        <w:rPr>
          <w:rFonts w:hint="eastAsia" w:ascii="宋体" w:hAnsi="宋体" w:eastAsia="宋体" w:cs="宋体"/>
          <w:lang w:eastAsia="zh-CN"/>
        </w:rPr>
        <w:t>年</w:t>
      </w:r>
      <w:r>
        <w:rPr>
          <w:rFonts w:hint="eastAsia" w:ascii="宋体" w:hAnsi="宋体" w:eastAsia="宋体" w:cs="宋体"/>
          <w:lang w:val="en-US"/>
        </w:rPr>
        <w:t xml:space="preserve">   </w:t>
      </w:r>
      <w:r>
        <w:rPr>
          <w:rFonts w:hint="eastAsia" w:ascii="宋体" w:hAnsi="宋体" w:eastAsia="宋体" w:cs="宋体"/>
          <w:lang w:eastAsia="zh-CN"/>
        </w:rPr>
        <w:t>月</w:t>
      </w:r>
      <w:r>
        <w:rPr>
          <w:rFonts w:hint="eastAsia" w:ascii="宋体" w:hAnsi="宋体" w:eastAsia="宋体" w:cs="宋体"/>
          <w:lang w:val="en-US"/>
        </w:rPr>
        <w:t xml:space="preserve">   </w:t>
      </w:r>
      <w:r>
        <w:rPr>
          <w:rFonts w:hint="eastAsia" w:ascii="宋体" w:hAnsi="宋体" w:eastAsia="宋体" w:cs="宋体"/>
          <w:lang w:eastAsia="zh-CN"/>
        </w:rPr>
        <w:t>日</w:t>
      </w: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pStyle w:val="15"/>
        <w:widowControl/>
        <w:ind w:left="0" w:firstLine="560"/>
        <w:rPr>
          <w:rFonts w:eastAsia="宋体"/>
          <w:lang w:val="en-US" w:eastAsia="zh-CN"/>
        </w:rPr>
      </w:pPr>
    </w:p>
    <w:p>
      <w:pPr>
        <w:keepNext w:val="0"/>
        <w:keepLines w:val="0"/>
        <w:widowControl/>
        <w:numPr>
          <w:ilvl w:val="0"/>
          <w:numId w:val="8"/>
        </w:numPr>
        <w:suppressLineNumbers w:val="0"/>
        <w:tabs>
          <w:tab w:val="left" w:pos="5760"/>
        </w:tabs>
        <w:autoSpaceDE w:val="0"/>
        <w:autoSpaceDN w:val="0"/>
        <w:adjustRightInd w:val="0"/>
        <w:spacing w:before="0" w:beforeAutospacing="0" w:after="0" w:afterAutospacing="0" w:line="320" w:lineRule="exact"/>
        <w:ind w:left="0" w:right="0" w:firstLine="540" w:firstLineChars="200"/>
        <w:jc w:val="left"/>
        <w:rPr>
          <w:rFonts w:hint="eastAsia" w:ascii="宋体" w:hAnsi="宋体" w:eastAsia="宋体" w:cs="宋体"/>
          <w:sz w:val="27"/>
          <w:szCs w:val="32"/>
          <w:lang w:val="en-US"/>
        </w:rPr>
      </w:pPr>
      <w:r>
        <w:rPr>
          <w:rFonts w:hint="eastAsia" w:ascii="宋体" w:hAnsi="宋体" w:eastAsia="宋体" w:cs="宋体"/>
          <w:kern w:val="2"/>
          <w:sz w:val="27"/>
          <w:szCs w:val="32"/>
          <w:lang w:val="en-US" w:eastAsia="zh-CN" w:bidi="ar"/>
        </w:rPr>
        <w:t>投标单位社会保险缴纳证明材料；</w:t>
      </w:r>
    </w:p>
    <w:p>
      <w:pPr>
        <w:pStyle w:val="4"/>
        <w:widowControl/>
        <w:spacing w:before="48" w:beforeAutospacing="0" w:after="48" w:afterAutospacing="0"/>
        <w:ind w:left="0" w:right="0" w:firstLine="0" w:firstLineChars="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0" w:firstLineChars="0"/>
        <w:jc w:val="left"/>
        <w:rPr>
          <w:rFonts w:hint="eastAsia" w:ascii="宋体" w:hAnsi="宋体" w:eastAsia="宋体" w:cs="宋体"/>
          <w:sz w:val="27"/>
          <w:szCs w:val="32"/>
          <w:lang w:val="en-US"/>
        </w:rPr>
      </w:pP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270" w:firstLineChars="100"/>
        <w:jc w:val="left"/>
        <w:rPr>
          <w:rFonts w:hint="eastAsia" w:ascii="宋体" w:hAnsi="宋体" w:eastAsia="宋体" w:cs="宋体"/>
          <w:sz w:val="27"/>
          <w:szCs w:val="32"/>
          <w:lang w:val="en-US"/>
        </w:rPr>
      </w:pPr>
      <w:r>
        <w:rPr>
          <w:rFonts w:hint="eastAsia" w:ascii="宋体" w:hAnsi="宋体" w:eastAsia="宋体" w:cs="宋体"/>
          <w:kern w:val="2"/>
          <w:sz w:val="27"/>
          <w:szCs w:val="32"/>
          <w:lang w:val="en-US" w:eastAsia="zh-CN" w:bidi="ar"/>
        </w:rPr>
        <w:t>（七）特定资格条件证书或证明文件；</w:t>
      </w:r>
    </w:p>
    <w:p>
      <w:pPr>
        <w:keepNext w:val="0"/>
        <w:keepLines w:val="0"/>
        <w:widowControl/>
        <w:suppressLineNumbers w:val="0"/>
        <w:tabs>
          <w:tab w:val="left" w:pos="5760"/>
        </w:tabs>
        <w:autoSpaceDE w:val="0"/>
        <w:autoSpaceDN w:val="0"/>
        <w:adjustRightInd w:val="0"/>
        <w:spacing w:before="0" w:beforeAutospacing="0" w:after="0" w:afterAutospacing="0" w:line="320" w:lineRule="exact"/>
        <w:ind w:left="0" w:right="0" w:firstLine="540" w:firstLineChars="200"/>
        <w:jc w:val="left"/>
        <w:rPr>
          <w:rFonts w:hint="eastAsia" w:ascii="宋体" w:hAnsi="宋体" w:eastAsia="宋体" w:cs="宋体"/>
          <w:sz w:val="27"/>
          <w:szCs w:val="32"/>
          <w:lang w:val="en-US"/>
        </w:rPr>
      </w:pPr>
    </w:p>
    <w:p>
      <w:pPr>
        <w:pStyle w:val="3"/>
        <w:widowControl/>
        <w:spacing w:before="48" w:beforeAutospacing="0" w:after="48" w:afterAutospacing="0"/>
        <w:ind w:left="0" w:right="0" w:firstLine="420"/>
        <w:rPr>
          <w:rFonts w:eastAsia="宋体"/>
          <w:b w:val="0"/>
          <w:lang w:val="en-US"/>
        </w:rPr>
      </w:pPr>
    </w:p>
    <w:p>
      <w:pPr>
        <w:pStyle w:val="4"/>
        <w:widowControl/>
        <w:spacing w:before="48" w:beforeAutospacing="0" w:after="48" w:afterAutospacing="0"/>
        <w:ind w:left="294" w:leftChars="140" w:right="0" w:firstLine="0" w:firstLineChars="0"/>
        <w:rPr>
          <w:rFonts w:hint="eastAsia" w:ascii="宋体" w:hAnsi="宋体" w:eastAsia="宋体" w:cs="宋体"/>
          <w:b w:val="0"/>
          <w:lang w:val="en-US"/>
        </w:rPr>
      </w:pPr>
      <w:r>
        <w:rPr>
          <w:rFonts w:hint="eastAsia" w:ascii="宋体" w:hAnsi="宋体" w:eastAsia="宋体" w:cs="Times New Roman"/>
          <w:kern w:val="2"/>
          <w:sz w:val="32"/>
          <w:szCs w:val="32"/>
          <w:lang w:val="en-US" w:eastAsia="zh-CN" w:bidi="ar"/>
        </w:rPr>
        <w:br w:type="page"/>
      </w:r>
      <w:bookmarkEnd w:id="144"/>
      <w:bookmarkEnd w:id="145"/>
      <w:bookmarkEnd w:id="146"/>
      <w:bookmarkEnd w:id="147"/>
      <w:r>
        <w:rPr>
          <w:rFonts w:hint="eastAsia" w:ascii="宋体" w:hAnsi="宋体" w:eastAsia="宋体" w:cs="宋体"/>
          <w:b w:val="0"/>
          <w:lang w:eastAsia="zh-CN"/>
        </w:rPr>
        <w:t>（八）方案（格式自定）</w:t>
      </w:r>
    </w:p>
    <w:p>
      <w:pPr>
        <w:keepNext w:val="0"/>
        <w:keepLines w:val="0"/>
        <w:widowControl/>
        <w:suppressLineNumbers w:val="0"/>
        <w:spacing w:before="0" w:beforeAutospacing="0" w:after="0" w:afterAutospacing="0" w:line="320" w:lineRule="exact"/>
        <w:ind w:left="0" w:right="0" w:firstLine="0" w:firstLineChars="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pStyle w:val="23"/>
        <w:widowControl/>
        <w:ind w:left="0" w:leftChars="0" w:firstLine="0" w:firstLineChars="0"/>
        <w:rPr>
          <w:lang w:eastAsia="zh-CN"/>
        </w:rPr>
      </w:pPr>
    </w:p>
    <w:p>
      <w:pPr>
        <w:pStyle w:val="4"/>
        <w:widowControl/>
        <w:spacing w:before="48" w:beforeAutospacing="0" w:after="48" w:afterAutospacing="0"/>
        <w:ind w:left="0" w:right="0" w:firstLine="0" w:firstLineChars="0"/>
        <w:rPr>
          <w:rFonts w:hint="eastAsia" w:ascii="宋体" w:hAnsi="宋体" w:eastAsia="宋体" w:cs="宋体"/>
          <w:b w:val="0"/>
          <w:lang w:val="en-US"/>
        </w:rPr>
      </w:pPr>
      <w:r>
        <w:rPr>
          <w:rFonts w:hint="eastAsia" w:ascii="宋体" w:hAnsi="宋体" w:eastAsia="宋体" w:cs="宋体"/>
          <w:b w:val="0"/>
          <w:lang w:eastAsia="zh-CN"/>
        </w:rPr>
        <w:t>（九）其它优惠承诺（格式自定）</w:t>
      </w:r>
    </w:p>
    <w:p>
      <w:pPr>
        <w:pStyle w:val="3"/>
        <w:widowControl/>
        <w:spacing w:before="48" w:beforeAutospacing="0" w:after="48" w:afterAutospacing="0"/>
        <w:ind w:left="0" w:right="0" w:firstLine="0" w:firstLineChars="0"/>
        <w:rPr>
          <w:rFonts w:eastAsia="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3"/>
        <w:widowControl/>
        <w:ind w:left="0" w:firstLine="420"/>
        <w:rPr>
          <w:lang w:eastAsia="zh-CN"/>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2"/>
        <w:widowControl/>
        <w:spacing w:before="120" w:beforeAutospacing="0" w:after="120"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right="0"/>
        <w:jc w:val="left"/>
        <w:rPr>
          <w:rFonts w:hint="eastAsia" w:ascii="宋体" w:hAnsi="宋体" w:eastAsia="宋体" w:cs="宋体"/>
          <w:lang w:val="en-US"/>
        </w:rPr>
      </w:pPr>
    </w:p>
    <w:p>
      <w:pPr>
        <w:pStyle w:val="4"/>
        <w:widowControl/>
        <w:spacing w:before="48" w:beforeAutospacing="0" w:after="48" w:afterAutospacing="0"/>
        <w:ind w:left="0" w:right="0" w:firstLine="0" w:firstLineChars="0"/>
        <w:rPr>
          <w:rFonts w:hint="eastAsia" w:ascii="宋体" w:hAnsi="宋体" w:eastAsia="宋体" w:cs="宋体"/>
          <w:b w:val="0"/>
          <w:lang w:val="en-US"/>
        </w:rPr>
      </w:pPr>
      <w:bookmarkStart w:id="150" w:name="_Toc283382459"/>
      <w:r>
        <w:rPr>
          <w:rFonts w:hint="eastAsia" w:ascii="宋体" w:hAnsi="宋体" w:eastAsia="宋体" w:cs="宋体"/>
          <w:b w:val="0"/>
          <w:lang w:eastAsia="zh-CN"/>
        </w:rPr>
        <w:t>（十）其他与项目有关的资料（自附）</w:t>
      </w:r>
    </w:p>
    <w:p>
      <w:pPr>
        <w:pStyle w:val="4"/>
        <w:widowControl/>
        <w:spacing w:before="48" w:beforeAutospacing="0" w:after="48" w:afterAutospacing="0"/>
        <w:ind w:left="0" w:right="0" w:firstLine="0" w:firstLineChars="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294" w:leftChars="140" w:right="0" w:firstLine="0" w:firstLineChars="0"/>
        <w:jc w:val="left"/>
        <w:rPr>
          <w:rFonts w:hint="eastAsia" w:ascii="宋体" w:hAnsi="宋体" w:eastAsia="宋体" w:cs="宋体"/>
          <w:lang w:val="en-US"/>
        </w:rPr>
      </w:pPr>
    </w:p>
    <w:bookmarkEnd w:id="150"/>
    <w:p>
      <w:pPr>
        <w:pStyle w:val="4"/>
        <w:widowControl/>
        <w:spacing w:before="48" w:beforeAutospacing="0" w:after="48" w:afterAutospacing="0"/>
        <w:ind w:left="0" w:right="0" w:firstLine="640"/>
        <w:rPr>
          <w:rFonts w:hint="eastAsia" w:ascii="宋体" w:hAnsi="宋体" w:eastAsia="宋体" w:cs="宋体"/>
          <w:b w:val="0"/>
          <w:lang w:val="en-US"/>
        </w:rPr>
      </w:pPr>
      <w:bookmarkStart w:id="151" w:name="_Toc14422"/>
      <w:bookmarkStart w:id="152" w:name="_Toc474603973"/>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15"/>
        <w:widowControl/>
        <w:ind w:left="0" w:firstLine="480"/>
        <w:rPr>
          <w:rFonts w:eastAsia="宋体"/>
          <w:sz w:val="24"/>
          <w:szCs w:val="20"/>
          <w:lang w:val="en-US" w:eastAsia="zh-CN"/>
        </w:rPr>
      </w:pPr>
    </w:p>
    <w:p>
      <w:pPr>
        <w:pStyle w:val="15"/>
        <w:widowControl/>
        <w:ind w:left="0" w:firstLine="0" w:firstLineChars="0"/>
        <w:rPr>
          <w:rFonts w:eastAsia="宋体"/>
          <w:sz w:val="24"/>
          <w:szCs w:val="20"/>
          <w:lang w:val="en-US" w:eastAsia="zh-CN"/>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w:t>
      </w: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pStyle w:val="4"/>
        <w:widowControl/>
        <w:spacing w:before="48" w:beforeAutospacing="0" w:after="48" w:afterAutospacing="0"/>
        <w:ind w:left="0" w:right="0" w:firstLine="640"/>
        <w:rPr>
          <w:rFonts w:hint="eastAsia" w:ascii="宋体" w:hAnsi="宋体" w:eastAsia="宋体" w:cs="宋体"/>
          <w:b w:val="0"/>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 xml:space="preserve">                               （结束）</w:t>
      </w:r>
    </w:p>
    <w:bookmarkEnd w:id="151"/>
    <w:bookmarkEnd w:id="152"/>
    <w:p>
      <w:pPr>
        <w:keepNext w:val="0"/>
        <w:keepLines w:val="0"/>
        <w:widowControl/>
        <w:suppressLineNumbers w:val="0"/>
        <w:spacing w:before="0" w:beforeAutospacing="0" w:after="0" w:afterAutospacing="0" w:line="320" w:lineRule="exact"/>
        <w:ind w:right="0"/>
        <w:jc w:val="left"/>
        <w:rPr>
          <w:rFonts w:hint="eastAsia" w:ascii="宋体" w:hAnsi="宋体" w:eastAsia="宋体" w:cs="宋体"/>
          <w:lang w:val="en-US"/>
        </w:rPr>
      </w:pPr>
      <w:bookmarkStart w:id="153" w:name="_Toc6729"/>
      <w:bookmarkStart w:id="154" w:name="_Toc477027621"/>
    </w:p>
    <w:p>
      <w:pPr>
        <w:keepNext w:val="0"/>
        <w:keepLines w:val="0"/>
        <w:widowControl/>
        <w:suppressLineNumbers w:val="0"/>
        <w:spacing w:before="0" w:beforeAutospacing="0" w:after="0" w:afterAutospacing="0" w:line="320" w:lineRule="exact"/>
        <w:ind w:right="0"/>
        <w:jc w:val="left"/>
        <w:rPr>
          <w:rFonts w:hint="eastAsia" w:ascii="宋体" w:hAnsi="宋体" w:eastAsia="宋体" w:cs="宋体"/>
          <w:lang w:val="en-US"/>
        </w:rPr>
      </w:pPr>
    </w:p>
    <w:p>
      <w:pPr>
        <w:pStyle w:val="157"/>
        <w:widowControl/>
        <w:ind w:left="0" w:firstLine="480"/>
        <w:outlineLvl w:val="9"/>
        <w:rPr>
          <w:rFonts w:hint="eastAsia" w:ascii="宋体" w:hAnsi="宋体" w:eastAsia="宋体" w:cs="宋体"/>
          <w:b w:val="0"/>
          <w:lang w:val="en-US"/>
        </w:rPr>
      </w:pPr>
      <w:r>
        <w:rPr>
          <w:rFonts w:hint="eastAsia" w:ascii="宋体" w:hAnsi="宋体" w:eastAsia="宋体" w:cs="宋体"/>
          <w:b w:val="0"/>
          <w:lang w:eastAsia="zh-CN"/>
        </w:rPr>
        <w:t>附件一：投标人保证金信息卡</w:t>
      </w:r>
      <w:bookmarkEnd w:id="153"/>
      <w:bookmarkEnd w:id="154"/>
    </w:p>
    <w:p>
      <w:pPr>
        <w:pStyle w:val="181"/>
        <w:widowControl/>
        <w:spacing w:line="360" w:lineRule="auto"/>
        <w:rPr>
          <w:rFonts w:hint="eastAsia" w:ascii="宋体" w:hAnsi="宋体" w:eastAsia="宋体" w:cs="宋体"/>
          <w:lang w:val="en-US"/>
        </w:rPr>
      </w:pPr>
    </w:p>
    <w:p>
      <w:pPr>
        <w:pStyle w:val="181"/>
        <w:widowControl/>
        <w:spacing w:line="360" w:lineRule="auto"/>
        <w:rPr>
          <w:rFonts w:hint="eastAsia" w:ascii="宋体" w:hAnsi="宋体" w:eastAsia="宋体" w:cs="宋体"/>
          <w:szCs w:val="28"/>
          <w:lang w:val="en-US"/>
        </w:rPr>
      </w:pPr>
      <w:r>
        <w:rPr>
          <w:rFonts w:hint="eastAsia" w:ascii="宋体" w:hAnsi="宋体" w:eastAsia="宋体" w:cs="宋体"/>
          <w:szCs w:val="28"/>
          <w:lang w:eastAsia="zh-CN"/>
        </w:rPr>
        <w:t>项目名称：</w:t>
      </w:r>
    </w:p>
    <w:p>
      <w:pPr>
        <w:pStyle w:val="181"/>
        <w:widowControl/>
        <w:spacing w:line="360" w:lineRule="auto"/>
        <w:rPr>
          <w:rFonts w:hint="eastAsia" w:ascii="宋体" w:hAnsi="宋体" w:eastAsia="宋体" w:cs="宋体"/>
          <w:szCs w:val="28"/>
          <w:lang w:val="en-US"/>
        </w:rPr>
      </w:pPr>
      <w:r>
        <w:rPr>
          <w:rFonts w:hint="eastAsia" w:ascii="宋体" w:hAnsi="宋体" w:eastAsia="宋体" w:cs="宋体"/>
          <w:szCs w:val="28"/>
          <w:lang w:eastAsia="zh-CN"/>
        </w:rPr>
        <w:t>项 目 编 号：</w:t>
      </w:r>
    </w:p>
    <w:p>
      <w:pPr>
        <w:pStyle w:val="181"/>
        <w:widowControl/>
        <w:spacing w:line="360" w:lineRule="auto"/>
        <w:rPr>
          <w:rFonts w:hint="eastAsia" w:ascii="宋体" w:hAnsi="宋体" w:eastAsia="宋体" w:cs="宋体"/>
          <w:szCs w:val="28"/>
          <w:lang w:val="en-US"/>
        </w:rPr>
      </w:pPr>
      <w:r>
        <w:rPr>
          <w:rFonts w:hint="eastAsia" w:ascii="宋体" w:hAnsi="宋体" w:eastAsia="宋体" w:cs="宋体"/>
          <w:szCs w:val="28"/>
          <w:lang w:eastAsia="zh-CN"/>
        </w:rPr>
        <w:t>投 标 时 间：</w:t>
      </w:r>
      <w:r>
        <w:rPr>
          <w:rFonts w:hint="eastAsia" w:ascii="宋体" w:hAnsi="宋体" w:eastAsia="宋体" w:cs="宋体"/>
          <w:szCs w:val="28"/>
          <w:lang w:val="en-US"/>
        </w:rPr>
        <w:t xml:space="preserve">    </w:t>
      </w:r>
      <w:r>
        <w:rPr>
          <w:rFonts w:hint="eastAsia" w:ascii="宋体" w:hAnsi="宋体" w:eastAsia="宋体" w:cs="宋体"/>
          <w:szCs w:val="28"/>
          <w:lang w:eastAsia="zh-CN"/>
        </w:rPr>
        <w:t>年</w:t>
      </w:r>
      <w:r>
        <w:rPr>
          <w:rFonts w:hint="eastAsia" w:ascii="宋体" w:hAnsi="宋体" w:eastAsia="宋体" w:cs="宋体"/>
          <w:szCs w:val="28"/>
          <w:lang w:val="en-US"/>
        </w:rPr>
        <w:t xml:space="preserve">  </w:t>
      </w:r>
      <w:r>
        <w:rPr>
          <w:rFonts w:hint="eastAsia" w:ascii="宋体" w:hAnsi="宋体" w:eastAsia="宋体" w:cs="宋体"/>
          <w:szCs w:val="28"/>
          <w:lang w:eastAsia="zh-CN"/>
        </w:rPr>
        <w:t>月</w:t>
      </w:r>
      <w:r>
        <w:rPr>
          <w:rFonts w:hint="eastAsia" w:ascii="宋体" w:hAnsi="宋体" w:eastAsia="宋体" w:cs="宋体"/>
          <w:szCs w:val="28"/>
          <w:lang w:val="en-US"/>
        </w:rPr>
        <w:t xml:space="preserve">  </w:t>
      </w:r>
      <w:r>
        <w:rPr>
          <w:rFonts w:hint="eastAsia" w:ascii="宋体" w:hAnsi="宋体" w:eastAsia="宋体" w:cs="宋体"/>
          <w:szCs w:val="28"/>
          <w:lang w:eastAsia="zh-CN"/>
        </w:rPr>
        <w:t>日</w:t>
      </w:r>
      <w:r>
        <w:rPr>
          <w:rFonts w:hint="eastAsia" w:ascii="宋体" w:hAnsi="宋体" w:eastAsia="宋体" w:cs="宋体"/>
          <w:szCs w:val="28"/>
          <w:lang w:val="en-US"/>
        </w:rPr>
        <w:t xml:space="preserve">  </w:t>
      </w:r>
      <w:r>
        <w:rPr>
          <w:rFonts w:hint="eastAsia" w:ascii="宋体" w:hAnsi="宋体" w:eastAsia="宋体" w:cs="宋体"/>
          <w:szCs w:val="28"/>
          <w:lang w:eastAsia="zh-CN"/>
        </w:rPr>
        <w:t>时</w:t>
      </w:r>
    </w:p>
    <w:p>
      <w:pPr>
        <w:pStyle w:val="181"/>
        <w:widowControl/>
        <w:spacing w:line="360" w:lineRule="auto"/>
        <w:rPr>
          <w:rFonts w:hint="eastAsia" w:ascii="宋体" w:hAnsi="宋体" w:eastAsia="宋体" w:cs="宋体"/>
          <w:szCs w:val="28"/>
          <w:lang w:val="en-US"/>
        </w:rPr>
      </w:pPr>
      <w:r>
        <w:rPr>
          <w:rFonts w:hint="eastAsia" w:ascii="宋体" w:hAnsi="宋体" w:eastAsia="宋体" w:cs="宋体"/>
          <w:szCs w:val="28"/>
          <w:lang w:eastAsia="zh-CN"/>
        </w:rPr>
        <w:t>投标保证金金额：</w:t>
      </w:r>
      <w:r>
        <w:rPr>
          <w:rFonts w:hint="eastAsia" w:ascii="宋体" w:hAnsi="宋体" w:eastAsia="宋体" w:cs="宋体"/>
          <w:szCs w:val="28"/>
          <w:lang w:val="en-US"/>
        </w:rPr>
        <w:t xml:space="preserve">       </w:t>
      </w:r>
      <w:r>
        <w:rPr>
          <w:rFonts w:hint="eastAsia" w:ascii="宋体" w:hAnsi="宋体" w:eastAsia="宋体" w:cs="宋体"/>
          <w:szCs w:val="28"/>
          <w:lang w:eastAsia="zh-CN"/>
        </w:rPr>
        <w:t>元（大写：</w:t>
      </w:r>
      <w:r>
        <w:rPr>
          <w:rFonts w:hint="eastAsia" w:ascii="宋体" w:hAnsi="宋体" w:eastAsia="宋体" w:cs="宋体"/>
          <w:szCs w:val="28"/>
          <w:lang w:val="en-US"/>
        </w:rPr>
        <w:t xml:space="preserve">    </w:t>
      </w:r>
      <w:r>
        <w:rPr>
          <w:rFonts w:hint="eastAsia" w:ascii="宋体" w:hAnsi="宋体" w:eastAsia="宋体" w:cs="宋体"/>
          <w:szCs w:val="28"/>
          <w:lang w:eastAsia="zh-CN"/>
        </w:rPr>
        <w:t>）</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投标人名称：</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法定代表人：</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联 系 电 话：</w:t>
      </w:r>
    </w:p>
    <w:p>
      <w:pPr>
        <w:pStyle w:val="181"/>
        <w:widowControl/>
        <w:spacing w:line="360" w:lineRule="auto"/>
        <w:rPr>
          <w:rFonts w:hint="eastAsia" w:ascii="宋体" w:hAnsi="宋体" w:eastAsia="宋体" w:cs="宋体"/>
          <w:szCs w:val="28"/>
          <w:lang w:val="en-US"/>
        </w:rPr>
      </w:pPr>
      <w:r>
        <w:rPr>
          <w:rFonts w:hint="eastAsia" w:ascii="宋体" w:hAnsi="宋体" w:eastAsia="宋体" w:cs="宋体"/>
          <w:szCs w:val="28"/>
          <w:lang w:eastAsia="zh-CN"/>
        </w:rPr>
        <w:t>授 权 代 表：</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联 系 电 话：</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保证金缴纳账户信息：</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户  名：重庆市大足区鑫发建设集团有限公司</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开户行：中国建设银行股份有限公司大足支行</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账  号：50001144200050200546</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退还保证金账户信息（缴纳保证金账户和退还保证金账户应一致）：</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户       名：</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开   户  行：</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szCs w:val="28"/>
          <w:lang w:val="en-US"/>
        </w:rPr>
      </w:pPr>
      <w:r>
        <w:rPr>
          <w:rFonts w:hint="eastAsia" w:ascii="宋体" w:hAnsi="宋体" w:eastAsia="宋体" w:cs="宋体"/>
          <w:kern w:val="2"/>
          <w:sz w:val="24"/>
          <w:szCs w:val="28"/>
          <w:lang w:val="en-US" w:eastAsia="zh-CN" w:bidi="ar"/>
        </w:rPr>
        <w:t>账       号：</w:t>
      </w:r>
    </w:p>
    <w:p>
      <w:pPr>
        <w:keepNext w:val="0"/>
        <w:keepLines w:val="0"/>
        <w:widowControl/>
        <w:suppressLineNumbers w:val="0"/>
        <w:snapToGrid w:val="0"/>
        <w:spacing w:before="0" w:beforeAutospacing="0" w:after="0" w:afterAutospacing="0" w:line="360" w:lineRule="auto"/>
        <w:ind w:left="0" w:right="0" w:firstLine="0" w:firstLineChars="0"/>
        <w:jc w:val="left"/>
        <w:rPr>
          <w:rFonts w:hint="eastAsia" w:ascii="宋体" w:hAnsi="宋体" w:eastAsia="宋体" w:cs="宋体"/>
          <w:lang w:val="en-US"/>
        </w:rPr>
      </w:pPr>
      <w:r>
        <w:rPr>
          <w:rFonts w:hint="eastAsia" w:ascii="宋体" w:hAnsi="宋体" w:eastAsia="宋体" w:cs="宋体"/>
          <w:kern w:val="2"/>
          <w:sz w:val="24"/>
          <w:szCs w:val="28"/>
          <w:lang w:val="en-US" w:eastAsia="zh-CN" w:bidi="ar"/>
        </w:rPr>
        <w:t xml:space="preserve">                     </w:t>
      </w:r>
      <w:r>
        <w:rPr>
          <w:rFonts w:hint="eastAsia" w:ascii="宋体" w:hAnsi="宋体" w:eastAsia="宋体" w:cs="宋体"/>
          <w:kern w:val="2"/>
          <w:sz w:val="24"/>
          <w:szCs w:val="24"/>
          <w:lang w:val="en-US" w:eastAsia="zh-CN" w:bidi="ar"/>
        </w:rPr>
        <w:t xml:space="preserve">   </w:t>
      </w:r>
    </w:p>
    <w:p>
      <w:pPr>
        <w:pStyle w:val="135"/>
        <w:widowControl/>
        <w:ind w:left="480" w:hanging="480"/>
        <w:rPr>
          <w:rFonts w:hint="eastAsia" w:ascii="宋体" w:hAnsi="宋体" w:eastAsia="宋体" w:cs="宋体"/>
          <w:lang w:val="en-US"/>
        </w:rPr>
      </w:pPr>
    </w:p>
    <w:p>
      <w:pPr>
        <w:pStyle w:val="135"/>
        <w:widowControl/>
        <w:ind w:left="480" w:hanging="480"/>
        <w:rPr>
          <w:rFonts w:hint="eastAsia" w:ascii="宋体" w:hAnsi="宋体" w:eastAsia="宋体" w:cs="宋体"/>
          <w:lang w:val="en-US"/>
        </w:rPr>
      </w:pPr>
    </w:p>
    <w:p>
      <w:pPr>
        <w:pStyle w:val="135"/>
        <w:widowControl/>
        <w:ind w:left="480" w:hanging="480"/>
        <w:rPr>
          <w:rFonts w:hint="eastAsia" w:ascii="宋体" w:hAnsi="宋体" w:eastAsia="宋体" w:cs="宋体"/>
          <w:lang w:val="en-US"/>
        </w:rPr>
      </w:pPr>
      <w:r>
        <w:rPr>
          <w:rFonts w:hint="eastAsia" w:ascii="宋体" w:hAnsi="宋体" w:eastAsia="宋体" w:cs="宋体"/>
          <w:lang w:val="en-US"/>
        </w:rPr>
        <w:t xml:space="preserve">                                              </w:t>
      </w:r>
      <w:r>
        <w:rPr>
          <w:rFonts w:hint="eastAsia" w:ascii="宋体" w:hAnsi="宋体" w:eastAsia="宋体" w:cs="宋体"/>
          <w:lang w:eastAsia="zh-CN"/>
        </w:rPr>
        <w:t>投标单位</w:t>
      </w:r>
      <w:r>
        <w:rPr>
          <w:rFonts w:hint="eastAsia" w:ascii="宋体" w:hAnsi="宋体" w:eastAsia="宋体" w:cs="宋体"/>
          <w:lang w:val="en-US"/>
        </w:rPr>
        <w:t>(</w:t>
      </w:r>
      <w:r>
        <w:rPr>
          <w:rFonts w:hint="eastAsia" w:ascii="宋体" w:hAnsi="宋体" w:eastAsia="宋体" w:cs="宋体"/>
          <w:lang w:eastAsia="zh-CN"/>
        </w:rPr>
        <w:t>公章</w:t>
      </w:r>
      <w:r>
        <w:rPr>
          <w:rFonts w:hint="eastAsia" w:ascii="宋体" w:hAnsi="宋体" w:eastAsia="宋体" w:cs="宋体"/>
          <w:lang w:val="en-US"/>
        </w:rPr>
        <w:t>):</w:t>
      </w:r>
    </w:p>
    <w:p>
      <w:pPr>
        <w:pStyle w:val="135"/>
        <w:widowControl/>
        <w:ind w:left="480" w:hanging="480"/>
        <w:rPr>
          <w:rFonts w:hint="eastAsia" w:ascii="宋体" w:hAnsi="宋体" w:eastAsia="宋体" w:cs="宋体"/>
          <w:lang w:val="en-US"/>
        </w:rPr>
      </w:pPr>
      <w:r>
        <w:rPr>
          <w:rFonts w:hint="eastAsia" w:ascii="宋体" w:hAnsi="宋体" w:eastAsia="宋体" w:cs="宋体"/>
          <w:lang w:val="en-US"/>
        </w:rPr>
        <w:t xml:space="preserve">                                          </w:t>
      </w:r>
      <w:r>
        <w:rPr>
          <w:rFonts w:hint="eastAsia" w:ascii="宋体" w:hAnsi="宋体" w:eastAsia="宋体" w:cs="宋体"/>
          <w:lang w:eastAsia="zh-CN"/>
        </w:rPr>
        <w:t>日期：</w:t>
      </w:r>
      <w:r>
        <w:rPr>
          <w:rFonts w:hint="eastAsia" w:ascii="宋体" w:hAnsi="宋体" w:eastAsia="宋体" w:cs="宋体"/>
          <w:lang w:val="en-US"/>
        </w:rPr>
        <w:t xml:space="preserve">    </w:t>
      </w:r>
      <w:r>
        <w:rPr>
          <w:rFonts w:hint="eastAsia" w:ascii="宋体" w:hAnsi="宋体" w:eastAsia="宋体" w:cs="宋体"/>
          <w:lang w:eastAsia="zh-CN"/>
        </w:rPr>
        <w:t>年</w:t>
      </w:r>
      <w:r>
        <w:rPr>
          <w:rFonts w:hint="eastAsia" w:ascii="宋体" w:hAnsi="宋体" w:eastAsia="宋体" w:cs="宋体"/>
          <w:lang w:val="en-US"/>
        </w:rPr>
        <w:t xml:space="preserve">    </w:t>
      </w:r>
      <w:r>
        <w:rPr>
          <w:rFonts w:hint="eastAsia" w:ascii="宋体" w:hAnsi="宋体" w:eastAsia="宋体" w:cs="宋体"/>
          <w:lang w:eastAsia="zh-CN"/>
        </w:rPr>
        <w:t>月</w:t>
      </w:r>
      <w:r>
        <w:rPr>
          <w:rFonts w:hint="eastAsia" w:ascii="宋体" w:hAnsi="宋体" w:eastAsia="宋体" w:cs="宋体"/>
          <w:lang w:val="en-US"/>
        </w:rPr>
        <w:t xml:space="preserve">    </w:t>
      </w:r>
      <w:r>
        <w:rPr>
          <w:rFonts w:hint="eastAsia" w:ascii="宋体" w:hAnsi="宋体" w:eastAsia="宋体" w:cs="宋体"/>
          <w:lang w:eastAsia="zh-CN"/>
        </w:rPr>
        <w:t>日</w:t>
      </w:r>
    </w:p>
    <w:p>
      <w:pPr>
        <w:keepNext w:val="0"/>
        <w:keepLines w:val="0"/>
        <w:widowControl/>
        <w:suppressLineNumbers w:val="0"/>
        <w:spacing w:before="0" w:beforeAutospacing="0" w:after="0" w:afterAutospacing="0" w:line="320" w:lineRule="exact"/>
        <w:ind w:left="713" w:right="0" w:hanging="623" w:hangingChars="297"/>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713" w:right="0" w:hanging="623" w:hangingChars="297"/>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20" w:firstLineChars="200"/>
        <w:jc w:val="left"/>
        <w:rPr>
          <w:rFonts w:hint="eastAsia" w:ascii="宋体" w:hAnsi="宋体" w:eastAsia="宋体" w:cs="宋体"/>
          <w:lang w:val="en-US"/>
        </w:rPr>
      </w:pPr>
    </w:p>
    <w:p>
      <w:pPr>
        <w:keepNext w:val="0"/>
        <w:keepLines w:val="0"/>
        <w:widowControl/>
        <w:suppressLineNumbers w:val="0"/>
        <w:spacing w:before="0" w:beforeAutospacing="0" w:after="0" w:afterAutospacing="0" w:line="320" w:lineRule="exact"/>
        <w:ind w:left="0" w:right="0" w:firstLine="480" w:firstLineChars="200"/>
        <w:jc w:val="left"/>
        <w:rPr>
          <w:rFonts w:hint="eastAsia" w:ascii="宋体" w:hAnsi="宋体" w:eastAsia="宋体" w:cs="宋体"/>
          <w:lang w:val="en-US"/>
        </w:rPr>
      </w:pPr>
      <w:r>
        <w:rPr>
          <w:rFonts w:hint="eastAsia" w:ascii="宋体" w:hAnsi="宋体" w:eastAsia="宋体" w:cs="宋体"/>
          <w:kern w:val="2"/>
          <w:sz w:val="24"/>
          <w:szCs w:val="24"/>
          <w:lang w:val="en-US" w:eastAsia="zh-CN" w:bidi="ar"/>
        </w:rPr>
        <w:t>注：该</w:t>
      </w:r>
      <w:r>
        <w:rPr>
          <w:rFonts w:hint="eastAsia" w:ascii="宋体" w:hAnsi="宋体" w:eastAsia="宋体" w:cs="___WRD_EMBED_SUB_44"/>
          <w:kern w:val="2"/>
          <w:sz w:val="24"/>
          <w:szCs w:val="24"/>
          <w:lang w:val="en-US" w:eastAsia="zh-CN" w:bidi="ar"/>
        </w:rPr>
        <w:t>“投标人信息</w:t>
      </w:r>
      <w:r>
        <w:rPr>
          <w:rFonts w:hint="eastAsia" w:ascii="宋体" w:hAnsi="宋体" w:eastAsia="宋体" w:cs="宋体"/>
          <w:kern w:val="2"/>
          <w:sz w:val="24"/>
          <w:szCs w:val="24"/>
          <w:lang w:val="en-US" w:eastAsia="zh-CN" w:bidi="ar"/>
        </w:rPr>
        <w:t>卡</w:t>
      </w:r>
      <w:r>
        <w:rPr>
          <w:rFonts w:hint="eastAsia" w:ascii="宋体" w:hAnsi="宋体" w:eastAsia="宋体" w:cs="___WRD_EMBED_SUB_44"/>
          <w:kern w:val="2"/>
          <w:sz w:val="24"/>
          <w:szCs w:val="24"/>
          <w:lang w:val="en-US" w:eastAsia="zh-CN" w:bidi="ar"/>
        </w:rPr>
        <w:t>”</w:t>
      </w:r>
      <w:r>
        <w:rPr>
          <w:rFonts w:hint="eastAsia" w:ascii="宋体" w:hAnsi="宋体" w:eastAsia="宋体" w:cs="宋体"/>
          <w:kern w:val="2"/>
          <w:sz w:val="24"/>
          <w:szCs w:val="24"/>
          <w:lang w:val="en-US" w:eastAsia="zh-CN" w:bidi="ar"/>
        </w:rPr>
        <w:t>由</w:t>
      </w:r>
      <w:r>
        <w:rPr>
          <w:rFonts w:hint="eastAsia" w:ascii="宋体" w:hAnsi="宋体" w:eastAsia="宋体" w:cs="___WRD_EMBED_SUB_44"/>
          <w:kern w:val="2"/>
          <w:sz w:val="24"/>
          <w:szCs w:val="24"/>
          <w:lang w:val="en-US" w:eastAsia="zh-CN" w:bidi="ar"/>
        </w:rPr>
        <w:t>投标人在投标时</w:t>
      </w:r>
      <w:r>
        <w:rPr>
          <w:rFonts w:hint="eastAsia" w:ascii="宋体" w:hAnsi="宋体" w:eastAsia="宋体" w:cs="宋体"/>
          <w:kern w:val="2"/>
          <w:sz w:val="24"/>
          <w:szCs w:val="24"/>
          <w:lang w:val="en-US" w:eastAsia="zh-CN" w:bidi="ar"/>
        </w:rPr>
        <w:t>现场递</w:t>
      </w:r>
      <w:r>
        <w:rPr>
          <w:rFonts w:hint="eastAsia" w:ascii="宋体" w:hAnsi="宋体" w:eastAsia="宋体" w:cs="___WRD_EMBED_SUB_44"/>
          <w:kern w:val="2"/>
          <w:sz w:val="24"/>
          <w:szCs w:val="24"/>
          <w:lang w:val="en-US" w:eastAsia="zh-CN" w:bidi="ar"/>
        </w:rPr>
        <w:t>交（内容填写完整或打印</w:t>
      </w:r>
      <w:r>
        <w:rPr>
          <w:rFonts w:hint="eastAsia" w:ascii="宋体" w:hAnsi="宋体" w:eastAsia="宋体" w:cs="宋体"/>
          <w:kern w:val="2"/>
          <w:sz w:val="24"/>
          <w:szCs w:val="24"/>
          <w:lang w:val="en-US" w:eastAsia="zh-CN" w:bidi="ar"/>
        </w:rPr>
        <w:t>并</w:t>
      </w:r>
      <w:r>
        <w:rPr>
          <w:rFonts w:hint="eastAsia" w:ascii="宋体" w:hAnsi="宋体" w:eastAsia="宋体" w:cs="___WRD_EMBED_SUB_44"/>
          <w:kern w:val="2"/>
          <w:sz w:val="24"/>
          <w:szCs w:val="24"/>
          <w:lang w:val="en-US" w:eastAsia="zh-CN" w:bidi="ar"/>
        </w:rPr>
        <w:t>加盖公章，不得</w:t>
      </w:r>
      <w:r>
        <w:rPr>
          <w:rFonts w:hint="eastAsia" w:ascii="宋体" w:hAnsi="宋体" w:eastAsia="宋体" w:cs="宋体"/>
          <w:kern w:val="2"/>
          <w:sz w:val="24"/>
          <w:szCs w:val="24"/>
          <w:lang w:val="en-US" w:eastAsia="zh-CN" w:bidi="ar"/>
        </w:rPr>
        <w:t>装</w:t>
      </w:r>
      <w:r>
        <w:rPr>
          <w:rFonts w:hint="eastAsia" w:ascii="宋体" w:hAnsi="宋体" w:eastAsia="宋体" w:cs="___WRD_EMBED_SUB_44"/>
          <w:kern w:val="2"/>
          <w:sz w:val="24"/>
          <w:szCs w:val="24"/>
          <w:lang w:val="en-US" w:eastAsia="zh-CN" w:bidi="ar"/>
        </w:rPr>
        <w:t>入</w:t>
      </w:r>
      <w:r>
        <w:rPr>
          <w:rFonts w:hint="eastAsia" w:ascii="宋体" w:hAnsi="宋体" w:eastAsia="宋体" w:cs="宋体"/>
          <w:kern w:val="2"/>
          <w:sz w:val="24"/>
          <w:szCs w:val="24"/>
          <w:lang w:val="en-US" w:eastAsia="zh-CN" w:bidi="ar"/>
        </w:rPr>
        <w:t>密封</w:t>
      </w:r>
      <w:r>
        <w:rPr>
          <w:rFonts w:hint="eastAsia" w:ascii="宋体" w:hAnsi="宋体" w:eastAsia="宋体" w:cs="___WRD_EMBED_SUB_44"/>
          <w:kern w:val="2"/>
          <w:sz w:val="24"/>
          <w:szCs w:val="24"/>
          <w:lang w:val="en-US" w:eastAsia="zh-CN" w:bidi="ar"/>
        </w:rPr>
        <w:t>投标文件内）</w:t>
      </w:r>
      <w:r>
        <w:rPr>
          <w:rFonts w:hint="eastAsia" w:ascii="宋体" w:hAnsi="宋体" w:eastAsia="宋体" w:cs="宋体"/>
          <w:kern w:val="2"/>
          <w:sz w:val="24"/>
          <w:szCs w:val="24"/>
          <w:lang w:val="en-US" w:eastAsia="zh-CN" w:bidi="ar"/>
        </w:rPr>
        <w:t>。</w:t>
      </w:r>
    </w:p>
    <w:p/>
    <w:sectPr>
      <w:pgSz w:w="11915" w:h="16840"/>
      <w:pgMar w:top="1135" w:right="1304" w:bottom="1135" w:left="119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7A"/>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Verdana">
    <w:panose1 w:val="020B0604030504040204"/>
    <w:charset w:val="00"/>
    <w:family w:val="auto"/>
    <w:pitch w:val="default"/>
    <w:sig w:usb0="A10006FF" w:usb1="4000205B" w:usb2="00000010" w:usb3="00000000" w:csb0="2000019F" w:csb1="00000000"/>
  </w:font>
  <w:font w:name="方正黑体_GBK">
    <w:altName w:val="微软雅黑"/>
    <w:panose1 w:val="00000000000000000000"/>
    <w:charset w:val="7A"/>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_x000B__x000C_">
    <w:altName w:val="Times New Roman"/>
    <w:panose1 w:val="00000000000000000000"/>
    <w:charset w:val="00"/>
    <w:family w:val="auto"/>
    <w:pitch w:val="default"/>
    <w:sig w:usb0="00000000" w:usb1="00000000" w:usb2="00000000" w:usb3="00000000" w:csb0="00040001" w:csb1="00000000"/>
  </w:font>
  <w:font w:name="Cambria">
    <w:panose1 w:val="02040503050406030204"/>
    <w:charset w:val="00"/>
    <w:family w:val="auto"/>
    <w:pitch w:val="default"/>
    <w:sig w:usb0="E00002FF" w:usb1="400004FF" w:usb2="00000000" w:usb3="00000000" w:csb0="2000019F" w:csb1="00000000"/>
  </w:font>
  <w:font w:name="ˎ̥">
    <w:altName w:val="Times New Roman"/>
    <w:panose1 w:val="00000000000000000000"/>
    <w:charset w:val="00"/>
    <w:family w:val="auto"/>
    <w:pitch w:val="default"/>
    <w:sig w:usb0="00000000" w:usb1="00000000" w:usb2="00000000" w:usb3="00000000" w:csb0="00040001" w:csb1="00000000"/>
  </w:font>
  <w:font w:name="MingLiU">
    <w:panose1 w:val="02020509000000000000"/>
    <w:charset w:val="88"/>
    <w:family w:val="auto"/>
    <w:pitch w:val="default"/>
    <w:sig w:usb0="A00002FF" w:usb1="28CFFCFA" w:usb2="00000016" w:usb3="00000000" w:csb0="00100001" w:csb1="00000000"/>
  </w:font>
  <w:font w:name="___WRD_EMBED_SUB_44">
    <w:altName w:val="新宋体"/>
    <w:panose1 w:val="00000000000000000000"/>
    <w:charset w:val="00"/>
    <w:family w:val="auto"/>
    <w:pitch w:val="default"/>
    <w:sig w:usb0="00000000" w:usb1="00000000" w:usb2="00000000" w:usb3="00000000" w:csb0="00040001" w:csb1="00000000"/>
  </w:font>
  <w:font w:name="新宋体">
    <w:panose1 w:val="02010609030101010101"/>
    <w:charset w:val="86"/>
    <w:family w:val="auto"/>
    <w:pitch w:val="default"/>
    <w:sig w:usb0="00000003" w:usb1="288F0000" w:usb2="0000000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1A9B2"/>
    <w:multiLevelType w:val="multilevel"/>
    <w:tmpl w:val="9231A9B2"/>
    <w:lvl w:ilvl="0" w:tentative="0">
      <w:start w:val="1"/>
      <w:numFmt w:val="decimal"/>
      <w:suff w:val="nothing"/>
      <w:lvlText w:val="%1、"/>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
    <w:nsid w:val="BCF50F75"/>
    <w:multiLevelType w:val="multilevel"/>
    <w:tmpl w:val="BCF50F75"/>
    <w:lvl w:ilvl="0" w:tentative="0">
      <w:start w:val="6"/>
      <w:numFmt w:val="chineseCounting"/>
      <w:suff w:val="nothing"/>
      <w:lvlText w:val="（%1）"/>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
    <w:nsid w:val="D47B2FF5"/>
    <w:multiLevelType w:val="multilevel"/>
    <w:tmpl w:val="D47B2FF5"/>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DDA364AE"/>
    <w:multiLevelType w:val="multilevel"/>
    <w:tmpl w:val="DDA364AE"/>
    <w:lvl w:ilvl="0" w:tentative="0">
      <w:start w:val="2"/>
      <w:numFmt w:val="chineseCounting"/>
      <w:suff w:val="nothing"/>
      <w:lvlText w:val="%1、"/>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
    <w:nsid w:val="FB1FB866"/>
    <w:multiLevelType w:val="multilevel"/>
    <w:tmpl w:val="FB1FB866"/>
    <w:lvl w:ilvl="0" w:tentative="0">
      <w:start w:val="1"/>
      <w:numFmt w:val="japaneseCounting"/>
      <w:lvlText w:val="%1、"/>
      <w:lvlJc w:val="left"/>
      <w:pPr>
        <w:ind w:left="1142" w:hanging="720"/>
      </w:pPr>
    </w:lvl>
    <w:lvl w:ilvl="1" w:tentative="0">
      <w:start w:val="1"/>
      <w:numFmt w:val="lowerLetter"/>
      <w:lvlText w:val="%2)"/>
      <w:lvlJc w:val="left"/>
      <w:pPr>
        <w:ind w:left="1262" w:hanging="420"/>
      </w:pPr>
    </w:lvl>
    <w:lvl w:ilvl="2" w:tentative="0">
      <w:start w:val="1"/>
      <w:numFmt w:val="lowerRoman"/>
      <w:lvlText w:val="%3."/>
      <w:lvlJc w:val="right"/>
      <w:pPr>
        <w:ind w:left="1682" w:hanging="420"/>
      </w:pPr>
    </w:lvl>
    <w:lvl w:ilvl="3" w:tentative="0">
      <w:start w:val="1"/>
      <w:numFmt w:val="decimal"/>
      <w:lvlText w:val="%4."/>
      <w:lvlJc w:val="left"/>
      <w:pPr>
        <w:ind w:left="2102" w:hanging="420"/>
      </w:pPr>
    </w:lvl>
    <w:lvl w:ilvl="4" w:tentative="0">
      <w:start w:val="1"/>
      <w:numFmt w:val="lowerLetter"/>
      <w:lvlText w:val="%5)"/>
      <w:lvlJc w:val="left"/>
      <w:pPr>
        <w:ind w:left="2522" w:hanging="420"/>
      </w:pPr>
    </w:lvl>
    <w:lvl w:ilvl="5" w:tentative="0">
      <w:start w:val="1"/>
      <w:numFmt w:val="lowerRoman"/>
      <w:lvlText w:val="%6."/>
      <w:lvlJc w:val="right"/>
      <w:pPr>
        <w:ind w:left="2942" w:hanging="420"/>
      </w:pPr>
    </w:lvl>
    <w:lvl w:ilvl="6" w:tentative="0">
      <w:start w:val="1"/>
      <w:numFmt w:val="decimal"/>
      <w:lvlText w:val="%7."/>
      <w:lvlJc w:val="left"/>
      <w:pPr>
        <w:ind w:left="3362" w:hanging="420"/>
      </w:pPr>
    </w:lvl>
    <w:lvl w:ilvl="7" w:tentative="0">
      <w:start w:val="1"/>
      <w:numFmt w:val="lowerLetter"/>
      <w:lvlText w:val="%8)"/>
      <w:lvlJc w:val="left"/>
      <w:pPr>
        <w:ind w:left="3782" w:hanging="420"/>
      </w:pPr>
    </w:lvl>
    <w:lvl w:ilvl="8" w:tentative="0">
      <w:start w:val="1"/>
      <w:numFmt w:val="lowerRoman"/>
      <w:lvlText w:val="%9."/>
      <w:lvlJc w:val="right"/>
      <w:pPr>
        <w:ind w:left="4202" w:hanging="420"/>
      </w:pPr>
    </w:lvl>
  </w:abstractNum>
  <w:abstractNum w:abstractNumId="5">
    <w:nsid w:val="0F90C10C"/>
    <w:multiLevelType w:val="multilevel"/>
    <w:tmpl w:val="0F90C10C"/>
    <w:lvl w:ilvl="0" w:tentative="0">
      <w:start w:val="1"/>
      <w:numFmt w:val="decimal"/>
      <w:lvlText w:val="%1、"/>
      <w:lvlJc w:val="left"/>
      <w:pPr>
        <w:ind w:left="1200" w:hanging="7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6">
    <w:nsid w:val="1B5616DE"/>
    <w:multiLevelType w:val="multilevel"/>
    <w:tmpl w:val="1B5616DE"/>
    <w:lvl w:ilvl="0" w:tentative="0">
      <w:start w:val="2"/>
      <w:numFmt w:val="japaneseCounting"/>
      <w:lvlText w:val="（%1）"/>
      <w:lvlJc w:val="left"/>
      <w:pPr>
        <w:ind w:left="1037" w:hanging="855"/>
      </w:pPr>
    </w:lvl>
    <w:lvl w:ilvl="1" w:tentative="0">
      <w:start w:val="1"/>
      <w:numFmt w:val="lowerLetter"/>
      <w:lvlText w:val="%2)"/>
      <w:lvlJc w:val="left"/>
      <w:pPr>
        <w:ind w:left="1022" w:hanging="420"/>
      </w:pPr>
    </w:lvl>
    <w:lvl w:ilvl="2" w:tentative="0">
      <w:start w:val="1"/>
      <w:numFmt w:val="lowerRoman"/>
      <w:lvlText w:val="%3."/>
      <w:lvlJc w:val="right"/>
      <w:pPr>
        <w:ind w:left="1442" w:hanging="420"/>
      </w:pPr>
    </w:lvl>
    <w:lvl w:ilvl="3" w:tentative="0">
      <w:start w:val="1"/>
      <w:numFmt w:val="decimal"/>
      <w:lvlText w:val="%4."/>
      <w:lvlJc w:val="left"/>
      <w:pPr>
        <w:ind w:left="1862" w:hanging="420"/>
      </w:pPr>
    </w:lvl>
    <w:lvl w:ilvl="4" w:tentative="0">
      <w:start w:val="1"/>
      <w:numFmt w:val="lowerLetter"/>
      <w:lvlText w:val="%5)"/>
      <w:lvlJc w:val="left"/>
      <w:pPr>
        <w:ind w:left="2282" w:hanging="420"/>
      </w:pPr>
    </w:lvl>
    <w:lvl w:ilvl="5" w:tentative="0">
      <w:start w:val="1"/>
      <w:numFmt w:val="lowerRoman"/>
      <w:lvlText w:val="%6."/>
      <w:lvlJc w:val="right"/>
      <w:pPr>
        <w:ind w:left="2702" w:hanging="420"/>
      </w:pPr>
    </w:lvl>
    <w:lvl w:ilvl="6" w:tentative="0">
      <w:start w:val="1"/>
      <w:numFmt w:val="decimal"/>
      <w:lvlText w:val="%7."/>
      <w:lvlJc w:val="left"/>
      <w:pPr>
        <w:ind w:left="3122" w:hanging="420"/>
      </w:pPr>
    </w:lvl>
    <w:lvl w:ilvl="7" w:tentative="0">
      <w:start w:val="1"/>
      <w:numFmt w:val="lowerLetter"/>
      <w:lvlText w:val="%8)"/>
      <w:lvlJc w:val="left"/>
      <w:pPr>
        <w:ind w:left="3542" w:hanging="420"/>
      </w:pPr>
    </w:lvl>
    <w:lvl w:ilvl="8" w:tentative="0">
      <w:start w:val="1"/>
      <w:numFmt w:val="lowerRoman"/>
      <w:lvlText w:val="%9."/>
      <w:lvlJc w:val="right"/>
      <w:pPr>
        <w:ind w:left="3962" w:hanging="420"/>
      </w:pPr>
    </w:lvl>
  </w:abstractNum>
  <w:abstractNum w:abstractNumId="7">
    <w:nsid w:val="3FDC0AE8"/>
    <w:multiLevelType w:val="multilevel"/>
    <w:tmpl w:val="3FDC0AE8"/>
    <w:lvl w:ilvl="0" w:tentative="0">
      <w:start w:val="7"/>
      <w:numFmt w:val="chineseCounting"/>
      <w:suff w:val="space"/>
      <w:lvlText w:val="第%1篇"/>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num w:numId="1">
    <w:abstractNumId w:val="4"/>
  </w:num>
  <w:num w:numId="2">
    <w:abstractNumId w:val="3"/>
  </w:num>
  <w:num w:numId="3">
    <w:abstractNumId w:val="2"/>
  </w:num>
  <w:num w:numId="4">
    <w:abstractNumId w:val="5"/>
  </w:num>
  <w:num w:numId="5">
    <w:abstractNumId w:val="6"/>
  </w:num>
  <w:num w:numId="6">
    <w:abstractNumId w:val="7"/>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xYjAyZjBiZjNhMGQxMTQwNzhmNmQzM2Y1ZTAyOTcifQ=="/>
  </w:docVars>
  <w:rsids>
    <w:rsidRoot w:val="05F6640A"/>
    <w:rsid w:val="001047AA"/>
    <w:rsid w:val="00607B2C"/>
    <w:rsid w:val="033A146D"/>
    <w:rsid w:val="050B11BE"/>
    <w:rsid w:val="05EF4ED3"/>
    <w:rsid w:val="05F6640A"/>
    <w:rsid w:val="06B72FB9"/>
    <w:rsid w:val="07562013"/>
    <w:rsid w:val="08454EA4"/>
    <w:rsid w:val="08BC552C"/>
    <w:rsid w:val="093550E9"/>
    <w:rsid w:val="0A192E0A"/>
    <w:rsid w:val="0ACF46F5"/>
    <w:rsid w:val="0B48482D"/>
    <w:rsid w:val="0CD37E3B"/>
    <w:rsid w:val="0D690777"/>
    <w:rsid w:val="0E5C3D26"/>
    <w:rsid w:val="0F453327"/>
    <w:rsid w:val="0FE16C4E"/>
    <w:rsid w:val="102D2243"/>
    <w:rsid w:val="11581441"/>
    <w:rsid w:val="128A1308"/>
    <w:rsid w:val="14D04302"/>
    <w:rsid w:val="14D77B60"/>
    <w:rsid w:val="154E5444"/>
    <w:rsid w:val="161F0AA7"/>
    <w:rsid w:val="1A360100"/>
    <w:rsid w:val="1B596248"/>
    <w:rsid w:val="1C6E2115"/>
    <w:rsid w:val="1C7F5D52"/>
    <w:rsid w:val="1CAB1859"/>
    <w:rsid w:val="1CFE4D14"/>
    <w:rsid w:val="1D026560"/>
    <w:rsid w:val="1D475C70"/>
    <w:rsid w:val="1E1322EE"/>
    <w:rsid w:val="1E560069"/>
    <w:rsid w:val="20C46061"/>
    <w:rsid w:val="21F030D1"/>
    <w:rsid w:val="22207EE7"/>
    <w:rsid w:val="229F6C9A"/>
    <w:rsid w:val="245D311B"/>
    <w:rsid w:val="2533507F"/>
    <w:rsid w:val="289D3086"/>
    <w:rsid w:val="29FB0E6B"/>
    <w:rsid w:val="2A8362A8"/>
    <w:rsid w:val="2E311DCA"/>
    <w:rsid w:val="2E563945"/>
    <w:rsid w:val="2EE86D46"/>
    <w:rsid w:val="317521E2"/>
    <w:rsid w:val="337C4CE2"/>
    <w:rsid w:val="33CE26AB"/>
    <w:rsid w:val="348F3C6D"/>
    <w:rsid w:val="34961C1B"/>
    <w:rsid w:val="3513281D"/>
    <w:rsid w:val="364B7D0E"/>
    <w:rsid w:val="36CE352D"/>
    <w:rsid w:val="38FA305C"/>
    <w:rsid w:val="3A975DF2"/>
    <w:rsid w:val="3B2F1F97"/>
    <w:rsid w:val="3E2F0909"/>
    <w:rsid w:val="3E954DD7"/>
    <w:rsid w:val="3F7E6257"/>
    <w:rsid w:val="41B14F3A"/>
    <w:rsid w:val="43675F69"/>
    <w:rsid w:val="44C30FE9"/>
    <w:rsid w:val="4511691F"/>
    <w:rsid w:val="461B5E82"/>
    <w:rsid w:val="475772B8"/>
    <w:rsid w:val="476F3D99"/>
    <w:rsid w:val="4A410812"/>
    <w:rsid w:val="4AF03697"/>
    <w:rsid w:val="4B5229D2"/>
    <w:rsid w:val="4D143E8C"/>
    <w:rsid w:val="4D8E7176"/>
    <w:rsid w:val="4F2C6C47"/>
    <w:rsid w:val="52496D93"/>
    <w:rsid w:val="535C59CE"/>
    <w:rsid w:val="53D912E0"/>
    <w:rsid w:val="55FC7619"/>
    <w:rsid w:val="57FC160F"/>
    <w:rsid w:val="59FC003E"/>
    <w:rsid w:val="5CCA6973"/>
    <w:rsid w:val="5DA77FF1"/>
    <w:rsid w:val="5FA94A59"/>
    <w:rsid w:val="60C416E5"/>
    <w:rsid w:val="62934599"/>
    <w:rsid w:val="647327EC"/>
    <w:rsid w:val="66652C42"/>
    <w:rsid w:val="676704D5"/>
    <w:rsid w:val="676D1470"/>
    <w:rsid w:val="6A8C3F37"/>
    <w:rsid w:val="6CB571BA"/>
    <w:rsid w:val="6D1A4B1C"/>
    <w:rsid w:val="6FAC647A"/>
    <w:rsid w:val="70A333F8"/>
    <w:rsid w:val="713D062E"/>
    <w:rsid w:val="71544712"/>
    <w:rsid w:val="71802980"/>
    <w:rsid w:val="71FF59F5"/>
    <w:rsid w:val="72384C48"/>
    <w:rsid w:val="72F77C0F"/>
    <w:rsid w:val="733A1799"/>
    <w:rsid w:val="76400BC4"/>
    <w:rsid w:val="765D61ED"/>
    <w:rsid w:val="76E0661C"/>
    <w:rsid w:val="78986643"/>
    <w:rsid w:val="7B4F3B72"/>
    <w:rsid w:val="7BD25411"/>
    <w:rsid w:val="7D7B623E"/>
    <w:rsid w:val="7E69453B"/>
    <w:rsid w:val="7EC42B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nhideWhenUsed="0" w:uiPriority="0" w:semiHidden="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69"/>
    <w:qFormat/>
    <w:uiPriority w:val="0"/>
    <w:pPr>
      <w:keepNext/>
      <w:keepLines/>
      <w:widowControl/>
      <w:suppressLineNumbers w:val="0"/>
      <w:spacing w:before="50" w:beforeLines="50" w:beforeAutospacing="0" w:after="50" w:afterLines="50" w:afterAutospacing="0" w:line="380" w:lineRule="exact"/>
      <w:ind w:left="0" w:right="0" w:firstLine="200" w:firstLineChars="200"/>
      <w:jc w:val="center"/>
      <w:outlineLvl w:val="0"/>
    </w:pPr>
    <w:rPr>
      <w:rFonts w:hint="default" w:ascii="Times New Roman" w:hAnsi="Times New Roman" w:eastAsia="黑体" w:cs="Times New Roman"/>
      <w:b/>
      <w:kern w:val="44"/>
      <w:sz w:val="32"/>
      <w:szCs w:val="44"/>
      <w:lang w:val="en-US" w:eastAsia="zh-CN" w:bidi="ar"/>
    </w:rPr>
  </w:style>
  <w:style w:type="paragraph" w:styleId="3">
    <w:name w:val="heading 2"/>
    <w:basedOn w:val="1"/>
    <w:next w:val="1"/>
    <w:link w:val="170"/>
    <w:semiHidden/>
    <w:unhideWhenUsed/>
    <w:qFormat/>
    <w:uiPriority w:val="0"/>
    <w:pPr>
      <w:keepNext/>
      <w:keepLines/>
      <w:widowControl/>
      <w:suppressLineNumbers w:val="0"/>
      <w:adjustRightInd w:val="0"/>
      <w:snapToGrid w:val="0"/>
      <w:spacing w:before="20" w:beforeLines="20" w:beforeAutospacing="0" w:after="20" w:afterLines="20" w:afterAutospacing="0" w:line="380" w:lineRule="exact"/>
      <w:ind w:left="0" w:right="0" w:firstLine="140" w:firstLineChars="140"/>
      <w:jc w:val="left"/>
      <w:outlineLvl w:val="1"/>
    </w:pPr>
    <w:rPr>
      <w:rFonts w:hint="eastAsia" w:ascii="宋体" w:hAnsi="宋体" w:eastAsia="黑体" w:cs="宋体"/>
      <w:b/>
      <w:kern w:val="2"/>
      <w:sz w:val="30"/>
      <w:szCs w:val="24"/>
      <w:lang w:val="en-US" w:eastAsia="zh-CN" w:bidi="ar"/>
    </w:rPr>
  </w:style>
  <w:style w:type="paragraph" w:styleId="4">
    <w:name w:val="heading 3"/>
    <w:basedOn w:val="1"/>
    <w:next w:val="1"/>
    <w:link w:val="162"/>
    <w:semiHidden/>
    <w:unhideWhenUsed/>
    <w:qFormat/>
    <w:uiPriority w:val="0"/>
    <w:pPr>
      <w:keepNext/>
      <w:keepLines/>
      <w:widowControl/>
      <w:suppressLineNumbers w:val="0"/>
      <w:spacing w:before="260" w:beforeAutospacing="0" w:after="260" w:afterAutospacing="0" w:line="416" w:lineRule="atLeast"/>
      <w:ind w:left="0" w:right="0" w:firstLine="200" w:firstLineChars="200"/>
      <w:jc w:val="left"/>
      <w:outlineLvl w:val="2"/>
    </w:pPr>
    <w:rPr>
      <w:rFonts w:hint="default" w:ascii="Times New Roman" w:hAnsi="Times New Roman" w:eastAsia="仿宋_GB2312" w:cs="Times New Roman"/>
      <w:b/>
      <w:kern w:val="2"/>
      <w:sz w:val="32"/>
      <w:szCs w:val="32"/>
      <w:lang w:val="en-US" w:eastAsia="zh-CN" w:bidi="ar"/>
    </w:rPr>
  </w:style>
  <w:style w:type="paragraph" w:styleId="5">
    <w:name w:val="heading 4"/>
    <w:basedOn w:val="1"/>
    <w:next w:val="1"/>
    <w:link w:val="109"/>
    <w:semiHidden/>
    <w:unhideWhenUsed/>
    <w:qFormat/>
    <w:uiPriority w:val="0"/>
    <w:pPr>
      <w:keepNext/>
      <w:keepLines/>
      <w:widowControl/>
      <w:suppressLineNumbers w:val="0"/>
      <w:tabs>
        <w:tab w:val="left" w:pos="720"/>
      </w:tabs>
      <w:spacing w:before="10" w:beforeLines="10" w:beforeAutospacing="0" w:after="10" w:afterLines="10" w:afterAutospacing="0" w:line="380" w:lineRule="exact"/>
      <w:ind w:left="0" w:right="0" w:firstLine="210" w:firstLineChars="210"/>
      <w:jc w:val="left"/>
      <w:outlineLvl w:val="3"/>
    </w:pPr>
    <w:rPr>
      <w:rFonts w:ascii="Arial" w:hAnsi="Arial" w:eastAsia="黑体" w:cs="Times New Roman"/>
      <w:b/>
      <w:kern w:val="2"/>
      <w:sz w:val="25"/>
      <w:szCs w:val="24"/>
      <w:lang w:val="en-US" w:eastAsia="zh-CN" w:bidi="ar"/>
    </w:rPr>
  </w:style>
  <w:style w:type="paragraph" w:styleId="6">
    <w:name w:val="heading 5"/>
    <w:basedOn w:val="1"/>
    <w:next w:val="1"/>
    <w:link w:val="102"/>
    <w:semiHidden/>
    <w:unhideWhenUsed/>
    <w:qFormat/>
    <w:uiPriority w:val="0"/>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link w:val="183"/>
    <w:semiHidden/>
    <w:unhideWhenUsed/>
    <w:qFormat/>
    <w:uiPriority w:val="0"/>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link w:val="184"/>
    <w:semiHidden/>
    <w:unhideWhenUsed/>
    <w:qFormat/>
    <w:uiPriority w:val="0"/>
    <w:pPr>
      <w:keepNext/>
      <w:keepLines/>
      <w:spacing w:before="240" w:beforeLines="0" w:beforeAutospacing="0" w:after="64" w:afterLines="0" w:afterAutospacing="0" w:line="317" w:lineRule="auto"/>
      <w:outlineLvl w:val="6"/>
    </w:pPr>
    <w:rPr>
      <w:b/>
      <w:sz w:val="24"/>
    </w:rPr>
  </w:style>
  <w:style w:type="paragraph" w:styleId="9">
    <w:name w:val="heading 8"/>
    <w:basedOn w:val="1"/>
    <w:next w:val="1"/>
    <w:link w:val="145"/>
    <w:semiHidden/>
    <w:unhideWhenUsed/>
    <w:qFormat/>
    <w:uiPriority w:val="0"/>
    <w:pPr>
      <w:keepNext/>
      <w:keepLines/>
      <w:spacing w:before="240" w:beforeLines="0" w:beforeAutospacing="0" w:after="64" w:afterLines="0" w:afterAutospacing="0" w:line="317" w:lineRule="auto"/>
      <w:outlineLvl w:val="7"/>
    </w:pPr>
    <w:rPr>
      <w:rFonts w:ascii="Arial" w:hAnsi="Arial" w:eastAsia="黑体"/>
      <w:sz w:val="24"/>
    </w:rPr>
  </w:style>
  <w:style w:type="paragraph" w:styleId="10">
    <w:name w:val="heading 9"/>
    <w:basedOn w:val="1"/>
    <w:next w:val="1"/>
    <w:link w:val="161"/>
    <w:semiHidden/>
    <w:unhideWhenUsed/>
    <w:qFormat/>
    <w:uiPriority w:val="0"/>
    <w:pPr>
      <w:keepNext/>
      <w:keepLines/>
      <w:spacing w:before="240" w:beforeLines="0" w:beforeAutospacing="0" w:after="64" w:afterLines="0" w:afterAutospacing="0" w:line="317" w:lineRule="auto"/>
      <w:outlineLvl w:val="8"/>
    </w:pPr>
    <w:rPr>
      <w:rFonts w:ascii="Arial" w:hAnsi="Arial" w:eastAsia="黑体"/>
      <w:sz w:val="21"/>
    </w:rPr>
  </w:style>
  <w:style w:type="character" w:default="1" w:styleId="70">
    <w:name w:val="Default Paragraph Font"/>
    <w:semiHidden/>
    <w:qFormat/>
    <w:uiPriority w:val="0"/>
  </w:style>
  <w:style w:type="table" w:default="1" w:styleId="28">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11">
    <w:name w:val="Normal Indent"/>
    <w:basedOn w:val="1"/>
    <w:link w:val="147"/>
    <w:qFormat/>
    <w:uiPriority w:val="0"/>
    <w:pPr>
      <w:ind w:firstLine="420" w:firstLineChars="200"/>
    </w:pPr>
  </w:style>
  <w:style w:type="paragraph" w:styleId="12">
    <w:name w:val="Document Map"/>
    <w:basedOn w:val="1"/>
    <w:link w:val="143"/>
    <w:qFormat/>
    <w:uiPriority w:val="0"/>
    <w:pPr>
      <w:shd w:val="clear" w:color="auto" w:fill="000080"/>
    </w:pPr>
  </w:style>
  <w:style w:type="paragraph" w:styleId="13">
    <w:name w:val="annotation text"/>
    <w:basedOn w:val="1"/>
    <w:link w:val="99"/>
    <w:qFormat/>
    <w:uiPriority w:val="0"/>
    <w:pPr>
      <w:jc w:val="left"/>
    </w:pPr>
  </w:style>
  <w:style w:type="paragraph" w:styleId="14">
    <w:name w:val="Body Text 3"/>
    <w:basedOn w:val="1"/>
    <w:link w:val="203"/>
    <w:qFormat/>
    <w:uiPriority w:val="0"/>
    <w:pPr>
      <w:spacing w:after="120" w:afterLines="0" w:afterAutospacing="0"/>
    </w:pPr>
    <w:rPr>
      <w:sz w:val="16"/>
    </w:rPr>
  </w:style>
  <w:style w:type="paragraph" w:styleId="15">
    <w:name w:val="Body Text"/>
    <w:basedOn w:val="1"/>
    <w:next w:val="1"/>
    <w:link w:val="174"/>
    <w:qFormat/>
    <w:uiPriority w:val="0"/>
    <w:pPr>
      <w:keepNext w:val="0"/>
      <w:keepLines w:val="0"/>
      <w:widowControl w:val="0"/>
      <w:suppressLineNumbers w:val="0"/>
      <w:spacing w:before="0" w:beforeAutospacing="0" w:after="120" w:afterAutospacing="0" w:line="320" w:lineRule="exact"/>
      <w:ind w:left="0" w:right="0" w:firstLine="200" w:firstLineChars="200"/>
      <w:jc w:val="left"/>
    </w:pPr>
    <w:rPr>
      <w:rFonts w:hint="eastAsia" w:ascii="宋体" w:hAnsi="宋体" w:eastAsia="仿宋_GB2312" w:cs="Times New Roman"/>
      <w:kern w:val="2"/>
      <w:sz w:val="28"/>
      <w:szCs w:val="20"/>
      <w:lang w:val="en-US" w:eastAsia="zh-CN" w:bidi="ar"/>
    </w:rPr>
  </w:style>
  <w:style w:type="paragraph" w:styleId="16">
    <w:name w:val="Body Text Indent"/>
    <w:basedOn w:val="1"/>
    <w:link w:val="89"/>
    <w:qFormat/>
    <w:uiPriority w:val="0"/>
    <w:pPr>
      <w:spacing w:after="120" w:afterLines="0" w:afterAutospacing="0"/>
      <w:ind w:left="420" w:leftChars="200"/>
    </w:pPr>
  </w:style>
  <w:style w:type="paragraph" w:styleId="17">
    <w:name w:val="Plain Text"/>
    <w:basedOn w:val="1"/>
    <w:link w:val="225"/>
    <w:qFormat/>
    <w:uiPriority w:val="0"/>
    <w:rPr>
      <w:rFonts w:ascii="宋体" w:hAnsi="Courier New"/>
    </w:rPr>
  </w:style>
  <w:style w:type="paragraph" w:styleId="18">
    <w:name w:val="Date"/>
    <w:basedOn w:val="1"/>
    <w:next w:val="1"/>
    <w:link w:val="113"/>
    <w:qFormat/>
    <w:uiPriority w:val="0"/>
    <w:pPr>
      <w:ind w:left="100" w:leftChars="2500"/>
    </w:pPr>
  </w:style>
  <w:style w:type="paragraph" w:styleId="19">
    <w:name w:val="Balloon Text"/>
    <w:basedOn w:val="1"/>
    <w:link w:val="152"/>
    <w:qFormat/>
    <w:uiPriority w:val="0"/>
    <w:rPr>
      <w:sz w:val="18"/>
    </w:rPr>
  </w:style>
  <w:style w:type="paragraph" w:styleId="20">
    <w:name w:val="footer"/>
    <w:basedOn w:val="1"/>
    <w:link w:val="166"/>
    <w:qFormat/>
    <w:uiPriority w:val="0"/>
    <w:pPr>
      <w:tabs>
        <w:tab w:val="center" w:pos="4153"/>
        <w:tab w:val="right" w:pos="8306"/>
      </w:tabs>
      <w:snapToGrid w:val="0"/>
      <w:jc w:val="left"/>
    </w:pPr>
    <w:rPr>
      <w:sz w:val="18"/>
    </w:rPr>
  </w:style>
  <w:style w:type="paragraph" w:styleId="21">
    <w:name w:val="header"/>
    <w:basedOn w:val="1"/>
    <w:link w:val="16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22">
    <w:name w:val="Body Text Indent 3"/>
    <w:basedOn w:val="1"/>
    <w:link w:val="96"/>
    <w:qFormat/>
    <w:uiPriority w:val="0"/>
    <w:pPr>
      <w:spacing w:after="120" w:afterLines="0" w:afterAutospacing="0"/>
      <w:ind w:left="420" w:leftChars="200"/>
    </w:pPr>
    <w:rPr>
      <w:sz w:val="16"/>
    </w:rPr>
  </w:style>
  <w:style w:type="paragraph" w:styleId="23">
    <w:name w:val="Normal (Web)"/>
    <w:basedOn w:val="1"/>
    <w:qFormat/>
    <w:uiPriority w:val="0"/>
    <w:pPr>
      <w:keepNext w:val="0"/>
      <w:keepLines w:val="0"/>
      <w:widowControl/>
      <w:suppressLineNumbers w:val="0"/>
      <w:spacing w:before="0" w:beforeAutospacing="1" w:after="0" w:afterAutospacing="1" w:line="320" w:lineRule="exact"/>
      <w:ind w:left="0" w:right="0" w:firstLine="200" w:firstLineChars="200"/>
      <w:jc w:val="left"/>
    </w:pPr>
    <w:rPr>
      <w:rFonts w:hint="eastAsia" w:ascii="Arial Unicode MS" w:hAnsi="Arial Unicode MS" w:eastAsia="Arial Unicode MS" w:cs="Times New Roman"/>
      <w:kern w:val="0"/>
      <w:sz w:val="24"/>
      <w:szCs w:val="24"/>
      <w:lang w:val="en-US" w:eastAsia="zh-CN" w:bidi="ar"/>
    </w:rPr>
  </w:style>
  <w:style w:type="paragraph" w:styleId="24">
    <w:name w:val="Title"/>
    <w:basedOn w:val="1"/>
    <w:link w:val="261"/>
    <w:qFormat/>
    <w:uiPriority w:val="0"/>
    <w:pPr>
      <w:spacing w:before="240" w:beforeLines="0" w:beforeAutospacing="0" w:after="60" w:afterLines="0" w:afterAutospacing="0"/>
      <w:jc w:val="center"/>
      <w:outlineLvl w:val="0"/>
    </w:pPr>
    <w:rPr>
      <w:rFonts w:ascii="Arial" w:hAnsi="Arial"/>
      <w:b/>
      <w:sz w:val="32"/>
    </w:rPr>
  </w:style>
  <w:style w:type="paragraph" w:styleId="25">
    <w:name w:val="annotation subject"/>
    <w:basedOn w:val="13"/>
    <w:next w:val="13"/>
    <w:link w:val="132"/>
    <w:qFormat/>
    <w:uiPriority w:val="0"/>
    <w:rPr>
      <w:b/>
    </w:rPr>
  </w:style>
  <w:style w:type="paragraph" w:styleId="26">
    <w:name w:val="Body Text First Indent"/>
    <w:basedOn w:val="15"/>
    <w:link w:val="140"/>
    <w:qFormat/>
    <w:uiPriority w:val="0"/>
    <w:pPr>
      <w:ind w:firstLine="420" w:firstLineChars="100"/>
    </w:pPr>
  </w:style>
  <w:style w:type="paragraph" w:styleId="27">
    <w:name w:val="Body Text First Indent 2"/>
    <w:basedOn w:val="16"/>
    <w:link w:val="100"/>
    <w:qFormat/>
    <w:uiPriority w:val="0"/>
    <w:pPr>
      <w:ind w:firstLine="420" w:firstLineChars="200"/>
    </w:pPr>
  </w:style>
  <w:style w:type="table" w:styleId="29">
    <w:name w:val="Table Grid"/>
    <w:basedOn w:val="28"/>
    <w:qFormat/>
    <w:uiPriority w:val="0"/>
    <w:pPr>
      <w:keepNext w:val="0"/>
      <w:keepLines w:val="0"/>
      <w:widowControl w:val="0"/>
      <w:suppressLineNumbers w:val="0"/>
      <w:spacing w:before="0" w:beforeAutospacing="0" w:after="0" w:afterAutospacing="0"/>
      <w:ind w:left="0" w:right="0"/>
      <w:jc w:val="both"/>
    </w:pPr>
    <w:rPr>
      <w:rFonts w:hint="default" w:ascii="Times New Roman" w:hAnsi="Times New Roman"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table" w:styleId="30">
    <w:name w:val="Table Theme"/>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table" w:styleId="31">
    <w:name w:val="Table Colorful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color w:val="FFFFFF"/>
      <w:kern w:val="2"/>
      <w:sz w:val="21"/>
      <w:szCs w:val="22"/>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tcBorders>
        <w:top w:val="single" w:color="008080" w:sz="12" w:space="0"/>
        <w:left w:val="single" w:color="008080" w:sz="12" w:space="0"/>
        <w:bottom w:val="single" w:color="008080" w:sz="12" w:space="0"/>
        <w:right w:val="single" w:color="008080" w:sz="12" w:space="0"/>
      </w:tcBorders>
      <w:shd w:val="solid" w:color="008080" w:fill="FFFFFF"/>
    </w:tcPr>
    <w:tblStylePr w:type="firstRow">
      <w:rPr>
        <w:b/>
        <w:bCs/>
        <w:i/>
        <w:iCs/>
      </w:rPr>
      <w:tblPr/>
      <w:tcPr>
        <w:tcBorders>
          <w:top w:val="nil"/>
          <w:left w:val="nil"/>
          <w:bottom w:val="nil"/>
          <w:right w:val="nil"/>
          <w:tl2br w:val="nil"/>
          <w:tr2bl w:val="nil"/>
        </w:tcBorders>
        <w:shd w:val="solid" w:color="000000" w:fill="FFFFFF"/>
      </w:tcPr>
    </w:tblStylePr>
    <w:tblStylePr w:type="firstCol">
      <w:rPr>
        <w:b/>
        <w:bCs/>
        <w:i/>
        <w:iCs/>
      </w:rPr>
      <w:tblPr/>
      <w:tcPr>
        <w:tcBorders>
          <w:top w:val="nil"/>
          <w:left w:val="nil"/>
          <w:bottom w:val="nil"/>
          <w:right w:val="nil"/>
          <w:tl2br w:val="nil"/>
          <w:tr2bl w:val="nil"/>
        </w:tcBorders>
        <w:shd w:val="solid" w:color="000080" w:fill="FFFFFF"/>
      </w:tcPr>
    </w:tblStylePr>
    <w:tblStylePr w:type="nwCell">
      <w:tblPr/>
      <w:tcPr>
        <w:tcBorders>
          <w:top w:val="nil"/>
          <w:left w:val="nil"/>
          <w:bottom w:val="nil"/>
          <w:right w:val="nil"/>
          <w:tl2br w:val="nil"/>
          <w:tr2bl w:val="nil"/>
        </w:tcBorders>
        <w:shd w:val="solid" w:color="000000" w:fill="FFFFFF"/>
      </w:tcPr>
    </w:tblStylePr>
    <w:tblStylePr w:type="swCell">
      <w:rPr>
        <w:b/>
        <w:bCs/>
        <w:i w:val="0"/>
        <w:iCs w:val="0"/>
      </w:rPr>
      <w:tblPr/>
      <w:tcPr>
        <w:tcBorders>
          <w:top w:val="nil"/>
          <w:left w:val="nil"/>
          <w:bottom w:val="nil"/>
          <w:right w:val="nil"/>
          <w:tl2br w:val="nil"/>
          <w:tr2bl w:val="nil"/>
        </w:tcBorders>
      </w:tcPr>
    </w:tblStylePr>
  </w:style>
  <w:style w:type="table" w:styleId="32">
    <w:name w:val="Table Colorful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bottom w:val="single" w:color="auto" w:sz="12" w:space="0"/>
      </w:tblBorders>
      <w:tblCellMar>
        <w:top w:w="0" w:type="dxa"/>
        <w:left w:w="108" w:type="dxa"/>
        <w:bottom w:w="0" w:type="dxa"/>
        <w:right w:w="108" w:type="dxa"/>
      </w:tblCellMar>
    </w:tblPr>
    <w:tcPr>
      <w:tcBorders>
        <w:top w:val="nil"/>
        <w:left w:val="nil"/>
        <w:bottom w:val="single" w:color="auto" w:sz="12" w:space="0"/>
        <w:right w:val="nil"/>
      </w:tcBorders>
      <w:shd w:val="pct20" w:color="FFFF00" w:fill="FFFFFF"/>
    </w:tcPr>
    <w:tblStylePr w:type="firstRow">
      <w:rPr>
        <w:b/>
        <w:bCs/>
        <w:i/>
        <w:iCs/>
        <w:color w:val="FFFFFF"/>
      </w:rPr>
      <w:tblPr/>
      <w:tcPr>
        <w:tcBorders>
          <w:top w:val="nil"/>
          <w:left w:val="nil"/>
          <w:bottom w:val="single" w:color="auto" w:sz="12" w:space="0"/>
          <w:right w:val="nil"/>
          <w:tl2br w:val="nil"/>
          <w:tr2bl w:val="nil"/>
        </w:tcBorders>
        <w:shd w:val="solid" w:color="800000" w:fill="FFFFFF"/>
      </w:tcPr>
    </w:tblStylePr>
    <w:tblStylePr w:type="firstCol">
      <w:rPr>
        <w:b/>
        <w:bCs/>
        <w:i/>
        <w:iCs/>
      </w:rPr>
      <w:tblPr/>
      <w:tcPr>
        <w:tcBorders>
          <w:top w:val="nil"/>
          <w:left w:val="nil"/>
          <w:bottom w:val="nil"/>
          <w:right w:val="nil"/>
          <w:tl2br w:val="nil"/>
          <w:tr2bl w:val="nil"/>
        </w:tcBorders>
      </w:tcPr>
    </w:tblStylePr>
    <w:tblStylePr w:type="lastCol">
      <w:tblPr/>
      <w:tcPr>
        <w:tcBorders>
          <w:top w:val="nil"/>
          <w:left w:val="nil"/>
          <w:bottom w:val="nil"/>
          <w:right w:val="nil"/>
          <w:tl2br w:val="nil"/>
          <w:tr2bl w:val="nil"/>
        </w:tcBorders>
        <w:shd w:val="solid" w:color="C0C0C0" w:fill="FFFFFF"/>
      </w:tcPr>
    </w:tblStylePr>
    <w:tblStylePr w:type="swCell">
      <w:rPr>
        <w:b/>
        <w:bCs/>
        <w:i w:val="0"/>
        <w:iCs w:val="0"/>
      </w:rPr>
      <w:tblPr/>
      <w:tcPr>
        <w:tcBorders>
          <w:top w:val="nil"/>
          <w:left w:val="nil"/>
          <w:bottom w:val="nil"/>
          <w:right w:val="nil"/>
          <w:tl2br w:val="nil"/>
          <w:tr2bl w:val="nil"/>
        </w:tcBorders>
      </w:tcPr>
    </w:tblStylePr>
  </w:style>
  <w:style w:type="table" w:styleId="33">
    <w:name w:val="Table Colorful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8" w:space="0"/>
        <w:left w:val="single" w:color="auto" w:sz="18" w:space="0"/>
        <w:bottom w:val="single" w:color="auto" w:sz="18" w:space="0"/>
        <w:right w:val="single" w:color="auto" w:sz="18" w:space="0"/>
        <w:insideH w:val="single" w:color="C0C0C0" w:sz="6" w:space="0"/>
      </w:tblBorders>
      <w:tblCellMar>
        <w:top w:w="0" w:type="dxa"/>
        <w:left w:w="108" w:type="dxa"/>
        <w:bottom w:w="0" w:type="dxa"/>
        <w:right w:w="108" w:type="dxa"/>
      </w:tblCellMar>
    </w:tblPr>
    <w:tcPr>
      <w:tcBorders>
        <w:top w:val="single" w:color="auto" w:sz="18" w:space="0"/>
        <w:left w:val="single" w:color="auto" w:sz="18" w:space="0"/>
        <w:bottom w:val="single" w:color="auto" w:sz="18" w:space="0"/>
        <w:right w:val="single" w:color="auto" w:sz="18" w:space="0"/>
      </w:tcBorders>
      <w:shd w:val="pct25" w:color="008080" w:fill="FFFFFF"/>
    </w:tcPr>
    <w:tblStylePr w:type="firstRow">
      <w:tblPr/>
      <w:tcPr>
        <w:tcBorders>
          <w:top w:val="nil"/>
          <w:left w:val="nil"/>
          <w:bottom w:val="single" w:color="auto" w:sz="6" w:space="0"/>
          <w:right w:val="nil"/>
          <w:tl2br w:val="nil"/>
          <w:tr2bl w:val="nil"/>
        </w:tcBorders>
        <w:shd w:val="solid" w:color="008080" w:fill="FFFFFF"/>
      </w:tcPr>
    </w:tblStylePr>
    <w:tblStylePr w:type="firstCol">
      <w:tblPr/>
      <w:tcPr>
        <w:tcBorders>
          <w:top w:val="nil"/>
          <w:left w:val="single" w:color="auto" w:sz="36" w:space="0"/>
          <w:bottom w:val="nil"/>
          <w:right w:val="single" w:color="auto" w:sz="6" w:space="0"/>
          <w:tl2br w:val="nil"/>
          <w:tr2bl w:val="nil"/>
        </w:tcBorders>
        <w:shd w:val="solid" w:color="008080" w:fill="FFFFFF"/>
      </w:tcPr>
    </w:tblStylePr>
    <w:tblStylePr w:type="nwCell">
      <w:rPr>
        <w:b/>
        <w:bCs/>
        <w:color w:val="FFFFFF"/>
      </w:rPr>
      <w:tblPr/>
      <w:tcPr>
        <w:tcBorders>
          <w:top w:val="nil"/>
          <w:left w:val="nil"/>
          <w:bottom w:val="nil"/>
          <w:right w:val="nil"/>
          <w:tl2br w:val="nil"/>
          <w:tr2bl w:val="nil"/>
        </w:tcBorders>
        <w:shd w:val="solid" w:color="000000" w:fill="FFFFFF"/>
      </w:tcPr>
    </w:tblStylePr>
  </w:style>
  <w:style w:type="table" w:styleId="34">
    <w:name w:val="Table Elegant"/>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double" w:color="auto" w:sz="6" w:space="0"/>
        <w:left w:val="double" w:color="auto" w:sz="6" w:space="0"/>
        <w:bottom w:val="double" w:color="auto" w:sz="6" w:space="0"/>
        <w:right w:val="double" w:color="auto" w:sz="6" w:space="0"/>
        <w:insideH w:val="single" w:color="auto" w:sz="6" w:space="0"/>
        <w:insideV w:val="single" w:color="auto" w:sz="6" w:space="0"/>
      </w:tblBorders>
      <w:tblCellMar>
        <w:top w:w="0" w:type="dxa"/>
        <w:left w:w="108" w:type="dxa"/>
        <w:bottom w:w="0" w:type="dxa"/>
        <w:right w:w="108" w:type="dxa"/>
      </w:tblCellMar>
    </w:tblPr>
    <w:tcPr>
      <w:tcBorders>
        <w:top w:val="double" w:color="auto" w:sz="6" w:space="0"/>
        <w:left w:val="double" w:color="auto" w:sz="6" w:space="0"/>
        <w:bottom w:val="double" w:color="auto" w:sz="6" w:space="0"/>
        <w:right w:val="double" w:color="auto" w:sz="6" w:space="0"/>
      </w:tcBorders>
    </w:tcPr>
    <w:tblStylePr w:type="firstRow">
      <w:rPr>
        <w:caps/>
        <w:color w:val="auto"/>
      </w:rPr>
      <w:tblPr/>
      <w:tcPr>
        <w:tcBorders>
          <w:top w:val="nil"/>
          <w:left w:val="nil"/>
          <w:bottom w:val="nil"/>
          <w:right w:val="nil"/>
          <w:tl2br w:val="nil"/>
          <w:tr2bl w:val="nil"/>
        </w:tcBorders>
      </w:tcPr>
    </w:tblStylePr>
  </w:style>
  <w:style w:type="table" w:styleId="35">
    <w:name w:val="Table Classic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bottom w:val="single" w:color="auto" w:sz="12" w:space="0"/>
      </w:tblBorders>
      <w:tblCellMar>
        <w:top w:w="0" w:type="dxa"/>
        <w:left w:w="108" w:type="dxa"/>
        <w:bottom w:w="0" w:type="dxa"/>
        <w:right w:w="108" w:type="dxa"/>
      </w:tblCellMar>
    </w:tblPr>
    <w:tcPr>
      <w:tcBorders>
        <w:top w:val="single" w:color="auto" w:sz="12" w:space="0"/>
        <w:left w:val="nil"/>
        <w:bottom w:val="single" w:color="auto" w:sz="12" w:space="0"/>
        <w:right w:val="nil"/>
      </w:tcBorders>
    </w:tcPr>
    <w:tblStylePr w:type="firstRow">
      <w:rPr>
        <w:i/>
        <w:iCs/>
      </w:rPr>
      <w:tblPr/>
      <w:tcPr>
        <w:tcBorders>
          <w:top w:val="nil"/>
          <w:left w:val="nil"/>
          <w:bottom w:val="single" w:color="auto" w:sz="6" w:space="0"/>
          <w:right w:val="nil"/>
          <w:tl2br w:val="nil"/>
          <w:tr2bl w:val="nil"/>
        </w:tcBorders>
      </w:tcPr>
    </w:tblStylePr>
    <w:tblStylePr w:type="lastRow">
      <w:rPr>
        <w:color w:val="auto"/>
      </w:rPr>
      <w:tblPr/>
      <w:tcPr>
        <w:tcBorders>
          <w:top w:val="single" w:color="auto" w:sz="6" w:space="0"/>
          <w:left w:val="nil"/>
          <w:bottom w:val="nil"/>
          <w:right w:val="nil"/>
          <w:tl2br w:val="nil"/>
          <w:tr2bl w:val="nil"/>
        </w:tcBorders>
      </w:tcPr>
    </w:tblStylePr>
    <w:tblStylePr w:type="firstCol">
      <w:tblPr/>
      <w:tcPr>
        <w:tcBorders>
          <w:top w:val="nil"/>
          <w:left w:val="nil"/>
          <w:bottom w:val="nil"/>
          <w:right w:val="single" w:color="auto" w:sz="6" w:space="0"/>
          <w:tl2br w:val="nil"/>
          <w:tr2bl w:val="nil"/>
        </w:tcBorders>
      </w:tcPr>
    </w:tblStylePr>
    <w:tblStylePr w:type="neCell">
      <w:rPr>
        <w:b/>
        <w:bCs/>
        <w:i w:val="0"/>
        <w:iCs w:val="0"/>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36">
    <w:name w:val="Table Classic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bottom w:val="single" w:color="auto" w:sz="12" w:space="0"/>
      </w:tblBorders>
      <w:tblCellMar>
        <w:top w:w="0" w:type="dxa"/>
        <w:left w:w="108" w:type="dxa"/>
        <w:bottom w:w="0" w:type="dxa"/>
        <w:right w:w="108" w:type="dxa"/>
      </w:tblCellMar>
    </w:tblPr>
    <w:tcPr>
      <w:tcBorders>
        <w:top w:val="single" w:color="auto" w:sz="12" w:space="0"/>
        <w:left w:val="nil"/>
        <w:bottom w:val="single" w:color="auto" w:sz="12" w:space="0"/>
        <w:right w:val="nil"/>
      </w:tcBorders>
    </w:tcPr>
    <w:tblStylePr w:type="firstRow">
      <w:rPr>
        <w:color w:val="FFFFFF"/>
      </w:rPr>
      <w:tblPr/>
      <w:tcPr>
        <w:tcBorders>
          <w:top w:val="nil"/>
          <w:left w:val="nil"/>
          <w:bottom w:val="single" w:color="auto" w:sz="6" w:space="0"/>
          <w:right w:val="nil"/>
          <w:tl2br w:val="nil"/>
          <w:tr2bl w:val="nil"/>
        </w:tcBorders>
        <w:shd w:val="solid" w:color="800080" w:fill="FFFFFF"/>
      </w:tcPr>
    </w:tblStylePr>
    <w:tblStylePr w:type="lastRow">
      <w:tblPr/>
      <w:tcPr>
        <w:tcBorders>
          <w:top w:val="single" w:color="auto" w:sz="6" w:space="0"/>
          <w:left w:val="nil"/>
          <w:bottom w:val="nil"/>
          <w:right w:val="nil"/>
          <w:tl2br w:val="nil"/>
          <w:tr2bl w:val="nil"/>
        </w:tcBorders>
      </w:tcPr>
    </w:tblStylePr>
    <w:tblStylePr w:type="firstCol">
      <w:rPr>
        <w:b/>
        <w:bCs/>
      </w:rPr>
      <w:tblPr/>
      <w:tcPr>
        <w:tcBorders>
          <w:top w:val="nil"/>
          <w:left w:val="nil"/>
          <w:bottom w:val="nil"/>
          <w:right w:val="nil"/>
          <w:tl2br w:val="nil"/>
          <w:tr2bl w:val="nil"/>
        </w:tcBorders>
        <w:shd w:val="solid" w:color="C0C0C0" w:fill="FFFFFF"/>
      </w:tcPr>
    </w:tblStylePr>
    <w:tblStylePr w:type="neCell">
      <w:rPr>
        <w:b/>
        <w:bCs/>
      </w:rPr>
      <w:tblPr/>
      <w:tcPr>
        <w:tcBorders>
          <w:top w:val="nil"/>
          <w:left w:val="nil"/>
          <w:bottom w:val="nil"/>
          <w:right w:val="nil"/>
          <w:tl2br w:val="nil"/>
          <w:tr2bl w:val="nil"/>
        </w:tcBorders>
      </w:tcPr>
    </w:tblStylePr>
    <w:tblStylePr w:type="nwCell">
      <w:tblPr/>
      <w:tcPr>
        <w:tcBorders>
          <w:top w:val="nil"/>
          <w:left w:val="nil"/>
          <w:bottom w:val="nil"/>
          <w:right w:val="nil"/>
          <w:tl2br w:val="nil"/>
          <w:tr2bl w:val="nil"/>
        </w:tcBorders>
        <w:shd w:val="solid" w:color="800080" w:fill="FFFFFF"/>
      </w:tcPr>
    </w:tblStylePr>
    <w:tblStylePr w:type="swCell">
      <w:rPr>
        <w:color w:val="000080"/>
      </w:rPr>
      <w:tblPr/>
      <w:tcPr>
        <w:tcBorders>
          <w:top w:val="nil"/>
          <w:left w:val="nil"/>
          <w:bottom w:val="nil"/>
          <w:right w:val="nil"/>
          <w:tl2br w:val="nil"/>
          <w:tr2bl w:val="nil"/>
        </w:tcBorders>
      </w:tcPr>
    </w:tblStylePr>
  </w:style>
  <w:style w:type="table" w:styleId="37">
    <w:name w:val="Table Classic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color w:val="000080"/>
      <w:kern w:val="2"/>
      <w:sz w:val="21"/>
      <w:szCs w:val="22"/>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shd w:val="solid" w:color="C0C0C0" w:fill="FFFFFF"/>
    </w:tcPr>
    <w:tblStylePr w:type="firstRow">
      <w:rPr>
        <w:b/>
        <w:bCs/>
        <w:i/>
        <w:iCs/>
        <w:color w:val="FFFFFF"/>
      </w:rPr>
      <w:tblPr/>
      <w:tcPr>
        <w:tcBorders>
          <w:top w:val="nil"/>
          <w:left w:val="nil"/>
          <w:bottom w:val="single" w:color="auto" w:sz="6" w:space="0"/>
          <w:right w:val="nil"/>
          <w:tl2br w:val="nil"/>
          <w:tr2bl w:val="nil"/>
        </w:tcBorders>
        <w:shd w:val="solid" w:color="000080" w:fill="FFFFFF"/>
      </w:tcPr>
    </w:tblStylePr>
    <w:tblStylePr w:type="lastRow">
      <w:rPr>
        <w:color w:val="000080"/>
      </w:rPr>
      <w:tblPr/>
      <w:tcPr>
        <w:tcBorders>
          <w:top w:val="single" w:color="auto" w:sz="12" w:space="0"/>
          <w:left w:val="nil"/>
          <w:bottom w:val="nil"/>
          <w:right w:val="nil"/>
          <w:tl2br w:val="nil"/>
          <w:tr2bl w:val="nil"/>
        </w:tcBorders>
        <w:shd w:val="solid" w:color="FFFFFF" w:fill="FFFFFF"/>
      </w:tcPr>
    </w:tblStylePr>
    <w:tblStylePr w:type="firstCol">
      <w:rPr>
        <w:b/>
        <w:bCs/>
        <w:color w:val="000000"/>
      </w:rPr>
      <w:tblPr/>
      <w:tcPr>
        <w:tcBorders>
          <w:top w:val="nil"/>
          <w:left w:val="nil"/>
          <w:bottom w:val="nil"/>
          <w:right w:val="nil"/>
          <w:tl2br w:val="nil"/>
          <w:tr2bl w:val="nil"/>
        </w:tcBorders>
      </w:tcPr>
    </w:tblStylePr>
  </w:style>
  <w:style w:type="table" w:styleId="38">
    <w:name w:val="Table Classic 4"/>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left w:val="single" w:color="auto" w:sz="6" w:space="0"/>
        <w:bottom w:val="single" w:color="auto" w:sz="12" w:space="0"/>
        <w:right w:val="single" w:color="auto" w:sz="6" w:space="0"/>
      </w:tblBorders>
      <w:tblCellMar>
        <w:top w:w="0" w:type="dxa"/>
        <w:left w:w="108" w:type="dxa"/>
        <w:bottom w:w="0" w:type="dxa"/>
        <w:right w:w="108" w:type="dxa"/>
      </w:tblCellMar>
    </w:tblPr>
    <w:tcPr>
      <w:tcBorders>
        <w:top w:val="single" w:color="auto" w:sz="12" w:space="0"/>
        <w:left w:val="single" w:color="auto" w:sz="6" w:space="0"/>
        <w:bottom w:val="single" w:color="auto" w:sz="12" w:space="0"/>
        <w:right w:val="single" w:color="auto" w:sz="6" w:space="0"/>
      </w:tcBorders>
    </w:tcPr>
    <w:tblStylePr w:type="firstRow">
      <w:rPr>
        <w:b/>
        <w:bCs/>
        <w:i/>
        <w:iCs/>
        <w:color w:val="FFFFFF"/>
      </w:rPr>
      <w:tblPr/>
      <w:tcPr>
        <w:tcBorders>
          <w:top w:val="nil"/>
          <w:left w:val="nil"/>
          <w:bottom w:val="single" w:color="auto" w:sz="6" w:space="0"/>
          <w:right w:val="nil"/>
          <w:tl2br w:val="nil"/>
          <w:tr2bl w:val="nil"/>
        </w:tcBorders>
        <w:shd w:val="pct50" w:color="000080" w:fill="FFFFFF"/>
      </w:tcPr>
    </w:tblStylePr>
    <w:tblStylePr w:type="lastRow">
      <w:rPr>
        <w:color w:val="000080"/>
      </w:rPr>
      <w:tblPr/>
      <w:tcPr>
        <w:tcBorders>
          <w:top w:val="nil"/>
          <w:left w:val="nil"/>
          <w:bottom w:val="single" w:color="auto" w:sz="6" w:space="0"/>
          <w:right w:val="nil"/>
          <w:tl2br w:val="nil"/>
          <w:tr2bl w:val="nil"/>
        </w:tcBorders>
        <w:shd w:val="pct50" w:color="000000" w:fill="FFFFFF"/>
      </w:tcPr>
    </w:tblStylePr>
    <w:tblStylePr w:type="firstCol">
      <w:rPr>
        <w:b/>
        <w:bCs/>
      </w:rPr>
      <w:tblPr/>
      <w:tcPr>
        <w:tcBorders>
          <w:top w:val="nil"/>
          <w:left w:val="nil"/>
          <w:bottom w:val="nil"/>
          <w:right w:val="nil"/>
          <w:tl2br w:val="nil"/>
          <w:tr2bl w:val="nil"/>
        </w:tcBorders>
      </w:tcPr>
    </w:tblStylePr>
    <w:tblStylePr w:type="nwCell">
      <w:rPr>
        <w:b/>
        <w:bCs/>
      </w:rPr>
      <w:tblPr/>
      <w:tcPr>
        <w:tcBorders>
          <w:top w:val="nil"/>
          <w:left w:val="nil"/>
          <w:bottom w:val="nil"/>
          <w:right w:val="nil"/>
          <w:tl2br w:val="nil"/>
          <w:tr2bl w:val="nil"/>
        </w:tcBorders>
      </w:tcPr>
    </w:tblStylePr>
    <w:tblStylePr w:type="swCell">
      <w:rPr>
        <w:color w:val="000080"/>
      </w:rPr>
      <w:tblPr/>
      <w:tcPr>
        <w:tcBorders>
          <w:top w:val="nil"/>
          <w:left w:val="nil"/>
          <w:bottom w:val="nil"/>
          <w:right w:val="nil"/>
          <w:tl2br w:val="nil"/>
          <w:tr2bl w:val="nil"/>
        </w:tcBorders>
      </w:tcPr>
    </w:tblStylePr>
  </w:style>
  <w:style w:type="table" w:styleId="39">
    <w:name w:val="Table Simple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008000" w:sz="12" w:space="0"/>
        <w:bottom w:val="single" w:color="008000" w:sz="12" w:space="0"/>
      </w:tblBorders>
      <w:tblCellMar>
        <w:top w:w="0" w:type="dxa"/>
        <w:left w:w="108" w:type="dxa"/>
        <w:bottom w:w="0" w:type="dxa"/>
        <w:right w:w="108" w:type="dxa"/>
      </w:tblCellMar>
    </w:tblPr>
    <w:tcPr>
      <w:tcBorders>
        <w:top w:val="single" w:color="008000" w:sz="12" w:space="0"/>
        <w:left w:val="nil"/>
        <w:bottom w:val="single" w:color="008000" w:sz="12" w:space="0"/>
        <w:right w:val="nil"/>
      </w:tcBorders>
    </w:tcPr>
    <w:tblStylePr w:type="firstRow">
      <w:tblPr/>
      <w:tcPr>
        <w:tcBorders>
          <w:top w:val="nil"/>
          <w:left w:val="nil"/>
          <w:bottom w:val="single" w:color="008000" w:sz="6" w:space="0"/>
          <w:right w:val="nil"/>
          <w:tl2br w:val="nil"/>
          <w:tr2bl w:val="nil"/>
        </w:tcBorders>
      </w:tcPr>
    </w:tblStylePr>
    <w:tblStylePr w:type="lastRow">
      <w:tblPr/>
      <w:tcPr>
        <w:tcBorders>
          <w:top w:val="single" w:color="008000" w:sz="6" w:space="0"/>
          <w:left w:val="nil"/>
          <w:bottom w:val="nil"/>
          <w:right w:val="nil"/>
          <w:tl2br w:val="nil"/>
          <w:tr2bl w:val="nil"/>
        </w:tcBorders>
      </w:tcPr>
    </w:tblStylePr>
  </w:style>
  <w:style w:type="table" w:styleId="40">
    <w:name w:val="Table Simple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CellMar>
        <w:top w:w="0" w:type="dxa"/>
        <w:left w:w="108" w:type="dxa"/>
        <w:bottom w:w="0" w:type="dxa"/>
        <w:right w:w="108" w:type="dxa"/>
      </w:tblCellMar>
    </w:tblPr>
    <w:tblStylePr w:type="firstRow">
      <w:rPr>
        <w:b/>
        <w:bCs/>
      </w:rPr>
      <w:tblPr/>
      <w:tcPr>
        <w:tcBorders>
          <w:top w:val="nil"/>
          <w:left w:val="nil"/>
          <w:bottom w:val="single" w:color="auto" w:sz="12" w:space="0"/>
          <w:right w:val="nil"/>
          <w:tl2br w:val="nil"/>
          <w:tr2bl w:val="nil"/>
        </w:tcBorders>
      </w:tcPr>
    </w:tblStylePr>
    <w:tblStylePr w:type="lastRow">
      <w:rPr>
        <w:b/>
        <w:bCs/>
        <w:color w:val="auto"/>
      </w:rPr>
      <w:tblPr/>
      <w:tcPr>
        <w:tcBorders>
          <w:top w:val="single" w:color="auto" w:sz="6" w:space="0"/>
          <w:left w:val="nil"/>
          <w:bottom w:val="nil"/>
          <w:right w:val="nil"/>
          <w:tl2br w:val="nil"/>
          <w:tr2bl w:val="nil"/>
        </w:tcBorders>
      </w:tcPr>
    </w:tblStylePr>
    <w:tblStylePr w:type="firstCol">
      <w:rPr>
        <w:b/>
        <w:bCs/>
      </w:rPr>
      <w:tblPr/>
      <w:tcPr>
        <w:tcBorders>
          <w:top w:val="nil"/>
          <w:left w:val="nil"/>
          <w:bottom w:val="nil"/>
          <w:right w:val="single" w:color="auto" w:sz="12" w:space="0"/>
          <w:tl2br w:val="nil"/>
          <w:tr2bl w:val="nil"/>
        </w:tcBorders>
      </w:tcPr>
    </w:tblStylePr>
    <w:tblStylePr w:type="lastCol">
      <w:rPr>
        <w:b/>
        <w:bCs/>
      </w:rPr>
      <w:tblPr/>
      <w:tcPr>
        <w:tcBorders>
          <w:top w:val="nil"/>
          <w:left w:val="single" w:color="auto" w:sz="6" w:space="0"/>
          <w:bottom w:val="nil"/>
          <w:right w:val="nil"/>
          <w:tl2br w:val="nil"/>
          <w:tr2bl w:val="nil"/>
        </w:tcBorders>
      </w:tcPr>
    </w:tblStylePr>
    <w:tblStylePr w:type="neCell">
      <w:rPr>
        <w:b/>
        <w:bCs/>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41">
    <w:name w:val="Table Simple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tcPr>
    <w:tblStylePr w:type="firstRow">
      <w:rPr>
        <w:b/>
        <w:bCs/>
        <w:color w:val="FFFFFF"/>
      </w:rPr>
      <w:tblPr/>
      <w:tcPr>
        <w:tcBorders>
          <w:top w:val="nil"/>
          <w:left w:val="nil"/>
          <w:bottom w:val="nil"/>
          <w:right w:val="nil"/>
          <w:tl2br w:val="nil"/>
          <w:tr2bl w:val="nil"/>
        </w:tcBorders>
        <w:shd w:val="solid" w:color="000000" w:fill="FFFFFF"/>
      </w:tcPr>
    </w:tblStylePr>
  </w:style>
  <w:style w:type="table" w:styleId="42">
    <w:name w:val="Table Subtle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CellMar>
        <w:top w:w="0" w:type="dxa"/>
        <w:left w:w="108" w:type="dxa"/>
        <w:bottom w:w="0" w:type="dxa"/>
        <w:right w:w="108" w:type="dxa"/>
      </w:tblCellMar>
    </w:tblPr>
    <w:tblStylePr w:type="firstRow">
      <w:tblPr/>
      <w:tcPr>
        <w:tcBorders>
          <w:top w:val="single" w:color="auto" w:sz="6" w:space="0"/>
          <w:left w:val="nil"/>
          <w:bottom w:val="single" w:color="auto" w:sz="12" w:space="0"/>
          <w:right w:val="nil"/>
          <w:tl2br w:val="nil"/>
          <w:tr2bl w:val="nil"/>
        </w:tcBorders>
      </w:tcPr>
    </w:tblStylePr>
    <w:tblStylePr w:type="lastRow">
      <w:tblPr/>
      <w:tcPr>
        <w:tcBorders>
          <w:top w:val="single" w:color="auto" w:sz="12" w:space="0"/>
          <w:left w:val="nil"/>
          <w:bottom w:val="nil"/>
          <w:right w:val="nil"/>
          <w:tl2br w:val="nil"/>
          <w:tr2bl w:val="nil"/>
        </w:tcBorders>
        <w:shd w:val="pct25" w:color="800080" w:fill="FFFFFF"/>
      </w:tcPr>
    </w:tblStylePr>
    <w:tblStylePr w:type="firstCol">
      <w:tblPr/>
      <w:tcPr>
        <w:tcBorders>
          <w:top w:val="nil"/>
          <w:left w:val="nil"/>
          <w:bottom w:val="nil"/>
          <w:right w:val="single" w:color="auto" w:sz="12" w:space="0"/>
          <w:tl2br w:val="nil"/>
          <w:tr2bl w:val="nil"/>
        </w:tcBorders>
      </w:tcPr>
    </w:tblStylePr>
    <w:tblStylePr w:type="lastCol">
      <w:tblPr/>
      <w:tcPr>
        <w:tcBorders>
          <w:top w:val="nil"/>
          <w:left w:val="single" w:color="auto" w:sz="12" w:space="0"/>
          <w:bottom w:val="nil"/>
          <w:right w:val="nil"/>
          <w:tl2br w:val="nil"/>
          <w:tr2bl w:val="nil"/>
        </w:tcBorders>
      </w:tcPr>
    </w:tblStylePr>
    <w:tblStylePr w:type="band1Horz">
      <w:tblPr/>
      <w:tcPr>
        <w:tcBorders>
          <w:top w:val="nil"/>
          <w:left w:val="nil"/>
          <w:bottom w:val="single" w:color="auto" w:sz="6" w:space="0"/>
          <w:right w:val="nil"/>
          <w:tl2br w:val="nil"/>
          <w:tr2bl w:val="nil"/>
        </w:tcBorders>
        <w:shd w:val="pct25" w:color="808000" w:fill="FFFFFF"/>
      </w:tcPr>
    </w:tblStylePr>
    <w:tblStylePr w:type="neCell">
      <w:rPr>
        <w:b/>
        <w:bCs/>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43">
    <w:name w:val="Table Subtle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left w:val="single" w:color="auto" w:sz="6" w:space="0"/>
        <w:right w:val="single" w:color="auto" w:sz="6" w:space="0"/>
      </w:tblBorders>
      <w:tblCellMar>
        <w:top w:w="0" w:type="dxa"/>
        <w:left w:w="108" w:type="dxa"/>
        <w:bottom w:w="0" w:type="dxa"/>
        <w:right w:w="108" w:type="dxa"/>
      </w:tblCellMar>
    </w:tblPr>
    <w:tcPr>
      <w:tcBorders>
        <w:top w:val="nil"/>
        <w:left w:val="single" w:color="auto" w:sz="6" w:space="0"/>
        <w:bottom w:val="nil"/>
        <w:right w:val="single" w:color="auto" w:sz="6" w:space="0"/>
      </w:tcBorders>
    </w:tcPr>
    <w:tblStylePr w:type="firstRow">
      <w:tblPr/>
      <w:tcPr>
        <w:tcBorders>
          <w:top w:val="nil"/>
          <w:left w:val="nil"/>
          <w:bottom w:val="single" w:color="auto" w:sz="12" w:space="0"/>
          <w:right w:val="nil"/>
          <w:tl2br w:val="nil"/>
          <w:tr2bl w:val="nil"/>
        </w:tcBorders>
      </w:tcPr>
    </w:tblStylePr>
    <w:tblStylePr w:type="lastRow">
      <w:tblPr/>
      <w:tcPr>
        <w:tcBorders>
          <w:top w:val="single" w:color="auto" w:sz="12" w:space="0"/>
          <w:left w:val="nil"/>
          <w:bottom w:val="nil"/>
          <w:right w:val="nil"/>
          <w:tl2br w:val="nil"/>
          <w:tr2bl w:val="nil"/>
        </w:tcBorders>
      </w:tcPr>
    </w:tblStylePr>
    <w:tblStylePr w:type="firstCol">
      <w:tblPr/>
      <w:tcPr>
        <w:tcBorders>
          <w:top w:val="nil"/>
          <w:left w:val="nil"/>
          <w:bottom w:val="nil"/>
          <w:right w:val="single" w:color="auto" w:sz="12" w:space="0"/>
          <w:tl2br w:val="nil"/>
          <w:tr2bl w:val="nil"/>
        </w:tcBorders>
        <w:shd w:val="pct25" w:color="008000" w:fill="FFFFFF"/>
      </w:tcPr>
    </w:tblStylePr>
    <w:tblStylePr w:type="lastCol">
      <w:tblPr/>
      <w:tcPr>
        <w:tcBorders>
          <w:top w:val="nil"/>
          <w:left w:val="single" w:color="auto" w:sz="12" w:space="0"/>
          <w:bottom w:val="nil"/>
          <w:right w:val="nil"/>
          <w:tl2br w:val="nil"/>
          <w:tr2bl w:val="nil"/>
        </w:tcBorders>
        <w:shd w:val="pct25" w:color="808000" w:fill="FFFFFF"/>
      </w:tcPr>
    </w:tblStylePr>
    <w:tblStylePr w:type="neCell">
      <w:rPr>
        <w:b/>
        <w:bCs/>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44">
    <w:name w:val="Table List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cPr>
      <w:tcBorders>
        <w:top w:val="single" w:color="008080" w:sz="12" w:space="0"/>
        <w:left w:val="single" w:color="008080" w:sz="6" w:space="0"/>
        <w:bottom w:val="single" w:color="008080" w:sz="12" w:space="0"/>
        <w:right w:val="single" w:color="008080" w:sz="6" w:space="0"/>
      </w:tcBorders>
    </w:tcPr>
    <w:tblStylePr w:type="firstRow">
      <w:rPr>
        <w:b/>
        <w:bCs/>
        <w:i/>
        <w:iCs/>
        <w:color w:val="800000"/>
      </w:rPr>
      <w:tblPr/>
      <w:tcPr>
        <w:tcBorders>
          <w:top w:val="nil"/>
          <w:left w:val="nil"/>
          <w:bottom w:val="single" w:color="auto" w:sz="6" w:space="0"/>
          <w:right w:val="nil"/>
          <w:tl2br w:val="nil"/>
          <w:tr2bl w:val="nil"/>
        </w:tcBorders>
        <w:shd w:val="solid" w:color="C0C0C0" w:fill="FFFFFF"/>
      </w:tcPr>
    </w:tblStylePr>
    <w:tblStylePr w:type="lastRow">
      <w:tblPr/>
      <w:tcPr>
        <w:tcBorders>
          <w:top w:val="single" w:color="auto" w:sz="6" w:space="0"/>
          <w:left w:val="nil"/>
          <w:bottom w:val="nil"/>
          <w:right w:val="nil"/>
          <w:tl2br w:val="nil"/>
          <w:tr2bl w:val="nil"/>
        </w:tcBorders>
      </w:tcPr>
    </w:tblStylePr>
    <w:tblStylePr w:type="band1Horz">
      <w:rPr>
        <w:color w:val="auto"/>
      </w:rPr>
      <w:tblPr/>
      <w:tcPr>
        <w:tcBorders>
          <w:top w:val="nil"/>
          <w:left w:val="nil"/>
          <w:bottom w:val="nil"/>
          <w:right w:val="nil"/>
          <w:tl2br w:val="nil"/>
          <w:tr2bl w:val="nil"/>
        </w:tcBorders>
        <w:shd w:val="solid" w:color="C0C0C0" w:fill="FFFFFF"/>
      </w:tcPr>
    </w:tblStylePr>
    <w:tblStylePr w:type="band2Horz">
      <w:rPr>
        <w:color w:val="auto"/>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45">
    <w:name w:val="Table List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bottom w:val="single" w:color="808080" w:sz="12" w:space="0"/>
      </w:tblBorders>
      <w:tblCellMar>
        <w:top w:w="0" w:type="dxa"/>
        <w:left w:w="108" w:type="dxa"/>
        <w:bottom w:w="0" w:type="dxa"/>
        <w:right w:w="108" w:type="dxa"/>
      </w:tblCellMar>
    </w:tblPr>
    <w:tcPr>
      <w:tcBorders>
        <w:top w:val="nil"/>
        <w:left w:val="nil"/>
        <w:bottom w:val="single" w:color="808080" w:sz="12" w:space="0"/>
        <w:right w:val="nil"/>
      </w:tcBorders>
    </w:tcPr>
    <w:tblStylePr w:type="firstRow">
      <w:rPr>
        <w:b/>
        <w:bCs/>
        <w:color w:val="FFFFFF"/>
      </w:rPr>
      <w:tblPr/>
      <w:tcPr>
        <w:tcBorders>
          <w:top w:val="nil"/>
          <w:left w:val="nil"/>
          <w:bottom w:val="single" w:color="auto" w:sz="6" w:space="0"/>
          <w:right w:val="nil"/>
          <w:tl2br w:val="nil"/>
          <w:tr2bl w:val="nil"/>
        </w:tcBorders>
        <w:shd w:val="pct75" w:color="008080" w:fill="008000"/>
      </w:tcPr>
    </w:tblStylePr>
    <w:tblStylePr w:type="lastRow">
      <w:tblPr/>
      <w:tcPr>
        <w:tcBorders>
          <w:top w:val="single" w:color="auto" w:sz="6" w:space="0"/>
          <w:left w:val="nil"/>
          <w:bottom w:val="nil"/>
          <w:right w:val="nil"/>
          <w:tl2br w:val="nil"/>
          <w:tr2bl w:val="nil"/>
        </w:tcBorders>
      </w:tcPr>
    </w:tblStylePr>
    <w:tblStylePr w:type="band1Horz">
      <w:rPr>
        <w:color w:val="auto"/>
      </w:rPr>
      <w:tblPr/>
      <w:tcPr>
        <w:tcBorders>
          <w:top w:val="nil"/>
          <w:left w:val="nil"/>
          <w:bottom w:val="nil"/>
          <w:right w:val="nil"/>
          <w:tl2br w:val="nil"/>
          <w:tr2bl w:val="nil"/>
        </w:tcBorders>
        <w:shd w:val="pct20" w:color="00FF00" w:fill="FFFFFF"/>
      </w:tcPr>
    </w:tblStylePr>
    <w:tblStylePr w:type="band2Horz">
      <w:rPr>
        <w:color w:val="auto"/>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46">
    <w:name w:val="Table List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bottom w:val="single" w:color="auto" w:sz="12" w:space="0"/>
        <w:insideH w:val="single" w:color="auto" w:sz="6" w:space="0"/>
      </w:tblBorders>
      <w:tblCellMar>
        <w:top w:w="0" w:type="dxa"/>
        <w:left w:w="108" w:type="dxa"/>
        <w:bottom w:w="0" w:type="dxa"/>
        <w:right w:w="108" w:type="dxa"/>
      </w:tblCellMar>
    </w:tblPr>
    <w:tcPr>
      <w:tcBorders>
        <w:top w:val="single" w:color="auto" w:sz="12" w:space="0"/>
        <w:left w:val="nil"/>
        <w:bottom w:val="single" w:color="auto" w:sz="12" w:space="0"/>
        <w:right w:val="nil"/>
      </w:tcBorders>
    </w:tcPr>
    <w:tblStylePr w:type="firstRow">
      <w:rPr>
        <w:b/>
        <w:bCs/>
        <w:color w:val="000080"/>
      </w:rPr>
      <w:tblPr/>
      <w:tcPr>
        <w:tcBorders>
          <w:top w:val="nil"/>
          <w:left w:val="nil"/>
          <w:bottom w:val="single" w:color="auto" w:sz="12" w:space="0"/>
          <w:right w:val="nil"/>
          <w:tl2br w:val="nil"/>
          <w:tr2bl w:val="nil"/>
        </w:tcBorders>
      </w:tcPr>
    </w:tblStylePr>
    <w:tblStylePr w:type="lastRow">
      <w:tblPr/>
      <w:tcPr>
        <w:tcBorders>
          <w:top w:val="single" w:color="auto" w:sz="12" w:space="0"/>
          <w:left w:val="nil"/>
          <w:bottom w:val="nil"/>
          <w:right w:val="nil"/>
          <w:tl2br w:val="nil"/>
          <w:tr2bl w:val="nil"/>
        </w:tcBorders>
      </w:tcPr>
    </w:tblStylePr>
    <w:tblStylePr w:type="swCell">
      <w:rPr>
        <w:i/>
        <w:iCs/>
        <w:color w:val="000080"/>
      </w:rPr>
      <w:tblPr/>
      <w:tcPr>
        <w:tcBorders>
          <w:top w:val="nil"/>
          <w:left w:val="nil"/>
          <w:bottom w:val="nil"/>
          <w:right w:val="nil"/>
          <w:tl2br w:val="nil"/>
          <w:tr2bl w:val="nil"/>
        </w:tcBorders>
      </w:tcPr>
    </w:tblStylePr>
  </w:style>
  <w:style w:type="table" w:styleId="47">
    <w:name w:val="Table List 4"/>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left w:val="single" w:color="auto" w:sz="12" w:space="0"/>
        <w:bottom w:val="single" w:color="auto" w:sz="12" w:space="0"/>
        <w:right w:val="single" w:color="auto" w:sz="12" w:space="0"/>
        <w:insideH w:val="single" w:color="auto" w:sz="6"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tcPr>
    <w:tblStylePr w:type="firstRow">
      <w:rPr>
        <w:b/>
        <w:bCs/>
        <w:color w:val="FFFFFF"/>
      </w:rPr>
      <w:tblPr/>
      <w:tcPr>
        <w:tcBorders>
          <w:top w:val="nil"/>
          <w:left w:val="nil"/>
          <w:bottom w:val="single" w:color="auto" w:sz="12" w:space="0"/>
          <w:right w:val="nil"/>
          <w:tl2br w:val="nil"/>
          <w:tr2bl w:val="nil"/>
        </w:tcBorders>
        <w:shd w:val="solid" w:color="808080" w:fill="FFFFFF"/>
      </w:tcPr>
    </w:tblStylePr>
  </w:style>
  <w:style w:type="table" w:styleId="48">
    <w:name w:val="Table List 5"/>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6" w:space="0"/>
        <w:left w:val="single" w:color="auto" w:sz="6" w:space="0"/>
        <w:bottom w:val="single" w:color="auto" w:sz="6" w:space="0"/>
        <w:right w:val="single" w:color="auto" w:sz="6" w:space="0"/>
        <w:insideH w:val="single" w:color="auto" w:sz="6" w:space="0"/>
      </w:tblBorders>
      <w:tblCellMar>
        <w:top w:w="0" w:type="dxa"/>
        <w:left w:w="108" w:type="dxa"/>
        <w:bottom w:w="0" w:type="dxa"/>
        <w:right w:w="108" w:type="dxa"/>
      </w:tblCellMar>
    </w:tblPr>
    <w:tcPr>
      <w:tcBorders>
        <w:top w:val="single" w:color="auto" w:sz="6" w:space="0"/>
        <w:left w:val="single" w:color="auto" w:sz="6" w:space="0"/>
        <w:bottom w:val="single" w:color="auto" w:sz="6" w:space="0"/>
        <w:right w:val="single" w:color="auto" w:sz="6" w:space="0"/>
      </w:tcBorders>
    </w:tcPr>
    <w:tblStylePr w:type="firstRow">
      <w:rPr>
        <w:b/>
        <w:bCs/>
      </w:rPr>
      <w:tblPr/>
      <w:tcPr>
        <w:tcBorders>
          <w:top w:val="nil"/>
          <w:left w:val="nil"/>
          <w:bottom w:val="single" w:color="auto" w:sz="12" w:space="0"/>
          <w:right w:val="nil"/>
          <w:tl2br w:val="nil"/>
          <w:tr2bl w:val="nil"/>
        </w:tcBorders>
      </w:tcPr>
    </w:tblStylePr>
    <w:tblStylePr w:type="firstCol">
      <w:rPr>
        <w:b/>
        <w:bCs/>
      </w:rPr>
      <w:tblPr/>
      <w:tcPr>
        <w:tcBorders>
          <w:top w:val="nil"/>
          <w:left w:val="nil"/>
          <w:bottom w:val="nil"/>
          <w:right w:val="nil"/>
          <w:tl2br w:val="nil"/>
          <w:tr2bl w:val="nil"/>
        </w:tcBorders>
      </w:tcPr>
    </w:tblStylePr>
  </w:style>
  <w:style w:type="table" w:styleId="49">
    <w:name w:val="Table List 6"/>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6" w:space="0"/>
        <w:left w:val="single" w:color="auto" w:sz="6" w:space="0"/>
        <w:bottom w:val="single" w:color="auto" w:sz="6" w:space="0"/>
        <w:right w:val="single" w:color="auto" w:sz="6" w:space="0"/>
      </w:tblBorders>
      <w:tblCellMar>
        <w:top w:w="0" w:type="dxa"/>
        <w:left w:w="108" w:type="dxa"/>
        <w:bottom w:w="0" w:type="dxa"/>
        <w:right w:w="108" w:type="dxa"/>
      </w:tblCellMar>
    </w:tblPr>
    <w:tcPr>
      <w:tcBorders>
        <w:top w:val="single" w:color="auto" w:sz="6" w:space="0"/>
        <w:left w:val="single" w:color="auto" w:sz="6" w:space="0"/>
        <w:bottom w:val="single" w:color="auto" w:sz="6" w:space="0"/>
        <w:right w:val="single" w:color="auto" w:sz="6" w:space="0"/>
      </w:tcBorders>
      <w:shd w:val="pct50" w:color="000000" w:fill="FFFFFF"/>
    </w:tcPr>
    <w:tblStylePr w:type="firstRow">
      <w:rPr>
        <w:b/>
        <w:bCs/>
      </w:rPr>
      <w:tblPr/>
      <w:tcPr>
        <w:tcBorders>
          <w:top w:val="nil"/>
          <w:left w:val="nil"/>
          <w:bottom w:val="single" w:color="auto" w:sz="12" w:space="0"/>
          <w:right w:val="nil"/>
          <w:tl2br w:val="nil"/>
          <w:tr2bl w:val="nil"/>
        </w:tcBorders>
      </w:tcPr>
    </w:tblStylePr>
    <w:tblStylePr w:type="firstCol">
      <w:rPr>
        <w:b/>
        <w:bCs/>
      </w:rPr>
      <w:tblPr/>
      <w:tcPr>
        <w:tcBorders>
          <w:top w:val="nil"/>
          <w:left w:val="nil"/>
          <w:bottom w:val="nil"/>
          <w:right w:val="single" w:color="auto" w:sz="12" w:space="0"/>
          <w:tl2br w:val="nil"/>
          <w:tr2bl w:val="nil"/>
        </w:tcBorders>
      </w:tcPr>
    </w:tblStylePr>
    <w:tblStylePr w:type="band1Horz">
      <w:tblPr/>
      <w:tcPr>
        <w:tcBorders>
          <w:top w:val="nil"/>
          <w:left w:val="nil"/>
          <w:bottom w:val="nil"/>
          <w:right w:val="nil"/>
          <w:tl2br w:val="nil"/>
          <w:tr2bl w:val="nil"/>
        </w:tcBorders>
        <w:shd w:val="pct25" w:color="000000" w:fill="FFFFFF"/>
      </w:tcPr>
    </w:tblStylePr>
    <w:tblStylePr w:type="nwCell">
      <w:tblPr/>
      <w:tcPr>
        <w:tcBorders>
          <w:top w:val="nil"/>
          <w:left w:val="nil"/>
          <w:bottom w:val="nil"/>
          <w:right w:val="nil"/>
          <w:tl2br w:val="single" w:color="auto" w:sz="6" w:space="0"/>
          <w:tr2bl w:val="nil"/>
        </w:tcBorders>
      </w:tcPr>
    </w:tblStylePr>
  </w:style>
  <w:style w:type="table" w:styleId="50">
    <w:name w:val="Table List 7"/>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008000" w:sz="12" w:space="0"/>
        <w:left w:val="single" w:color="008000" w:sz="6" w:space="0"/>
        <w:bottom w:val="single" w:color="008000" w:sz="12" w:space="0"/>
        <w:right w:val="single" w:color="008000" w:sz="6" w:space="0"/>
        <w:insideH w:val="single" w:color="auto" w:sz="6" w:space="0"/>
      </w:tblBorders>
      <w:tblCellMar>
        <w:top w:w="0" w:type="dxa"/>
        <w:left w:w="108" w:type="dxa"/>
        <w:bottom w:w="0" w:type="dxa"/>
        <w:right w:w="108" w:type="dxa"/>
      </w:tblCellMar>
    </w:tblPr>
    <w:tcPr>
      <w:tcBorders>
        <w:top w:val="single" w:color="008000" w:sz="12" w:space="0"/>
        <w:left w:val="single" w:color="008000" w:sz="6" w:space="0"/>
        <w:bottom w:val="single" w:color="008000" w:sz="12" w:space="0"/>
        <w:right w:val="single" w:color="008000" w:sz="6" w:space="0"/>
      </w:tcBorders>
    </w:tcPr>
    <w:tblStylePr w:type="firstRow">
      <w:rPr>
        <w:b/>
        <w:bCs/>
      </w:rPr>
      <w:tblPr/>
      <w:tcPr>
        <w:tcBorders>
          <w:top w:val="nil"/>
          <w:left w:val="nil"/>
          <w:bottom w:val="single" w:color="008000" w:sz="12" w:space="0"/>
          <w:right w:val="nil"/>
          <w:tl2br w:val="nil"/>
          <w:tr2bl w:val="nil"/>
        </w:tcBorders>
        <w:shd w:val="solid" w:color="C0C0C0" w:fill="FFFFFF"/>
      </w:tcPr>
    </w:tblStylePr>
    <w:tblStylePr w:type="lastRow">
      <w:rPr>
        <w:b/>
        <w:bCs/>
      </w:rPr>
      <w:tblPr/>
      <w:tcPr>
        <w:tcBorders>
          <w:top w:val="single" w:color="008000" w:sz="12" w:space="0"/>
          <w:left w:val="nil"/>
          <w:bottom w:val="nil"/>
          <w:right w:val="nil"/>
          <w:tl2br w:val="nil"/>
          <w:tr2bl w:val="nil"/>
        </w:tcBorders>
      </w:tcPr>
    </w:tblStylePr>
    <w:tblStylePr w:type="firstCol">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tblStylePr w:type="band1Horz">
      <w:rPr>
        <w:color w:val="auto"/>
      </w:rPr>
      <w:tblPr/>
      <w:tcPr>
        <w:tcBorders>
          <w:top w:val="nil"/>
          <w:left w:val="nil"/>
          <w:bottom w:val="nil"/>
          <w:right w:val="nil"/>
          <w:tl2br w:val="nil"/>
          <w:tr2bl w:val="nil"/>
        </w:tcBorders>
        <w:shd w:val="pct20" w:color="000000" w:fill="FFFFFF"/>
      </w:tcPr>
    </w:tblStylePr>
    <w:tblStylePr w:type="band2Horz">
      <w:tblPr/>
      <w:tcPr>
        <w:tcBorders>
          <w:top w:val="nil"/>
          <w:left w:val="nil"/>
          <w:bottom w:val="nil"/>
          <w:right w:val="nil"/>
          <w:tl2br w:val="nil"/>
          <w:tr2bl w:val="nil"/>
        </w:tcBorders>
        <w:shd w:val="pct25" w:color="FFFF00" w:fill="FFFFFF"/>
      </w:tcPr>
    </w:tblStylePr>
  </w:style>
  <w:style w:type="table" w:styleId="51">
    <w:name w:val="Table List 8"/>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6" w:space="0"/>
        <w:left w:val="single" w:color="auto" w:sz="6" w:space="0"/>
        <w:bottom w:val="single" w:color="auto" w:sz="6" w:space="0"/>
        <w:right w:val="single" w:color="auto" w:sz="6" w:space="0"/>
        <w:insideV w:val="single" w:color="auto" w:sz="6" w:space="0"/>
      </w:tblBorders>
      <w:tblCellMar>
        <w:top w:w="0" w:type="dxa"/>
        <w:left w:w="108" w:type="dxa"/>
        <w:bottom w:w="0" w:type="dxa"/>
        <w:right w:w="108" w:type="dxa"/>
      </w:tblCellMar>
    </w:tblPr>
    <w:tcPr>
      <w:tcBorders>
        <w:top w:val="single" w:color="auto" w:sz="6" w:space="0"/>
        <w:left w:val="single" w:color="auto" w:sz="6" w:space="0"/>
        <w:bottom w:val="single" w:color="auto" w:sz="6" w:space="0"/>
        <w:right w:val="single" w:color="auto" w:sz="6" w:space="0"/>
      </w:tcBorders>
    </w:tcPr>
    <w:tblStylePr w:type="firstRow">
      <w:rPr>
        <w:b/>
        <w:bCs/>
        <w:i/>
        <w:iCs/>
      </w:rPr>
      <w:tblPr/>
      <w:tcPr>
        <w:tcBorders>
          <w:top w:val="nil"/>
          <w:left w:val="nil"/>
          <w:bottom w:val="single" w:color="auto" w:sz="6" w:space="0"/>
          <w:right w:val="nil"/>
          <w:tl2br w:val="nil"/>
          <w:tr2bl w:val="nil"/>
        </w:tcBorders>
        <w:shd w:val="solid" w:color="FFFF00" w:fill="FFFFFF"/>
      </w:tcPr>
    </w:tblStylePr>
    <w:tblStylePr w:type="lastRow">
      <w:rPr>
        <w:b/>
        <w:bCs/>
      </w:rPr>
      <w:tblPr/>
      <w:tcPr>
        <w:tcBorders>
          <w:top w:val="single" w:color="auto" w:sz="6" w:space="0"/>
          <w:left w:val="nil"/>
          <w:bottom w:val="nil"/>
          <w:right w:val="nil"/>
          <w:tl2br w:val="nil"/>
          <w:tr2bl w:val="nil"/>
        </w:tcBorders>
      </w:tcPr>
    </w:tblStylePr>
    <w:tblStylePr w:type="firstCol">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tblStylePr w:type="band1Horz">
      <w:rPr>
        <w:color w:val="auto"/>
      </w:rPr>
      <w:tblPr/>
      <w:tcPr>
        <w:tcBorders>
          <w:top w:val="nil"/>
          <w:left w:val="nil"/>
          <w:bottom w:val="nil"/>
          <w:right w:val="nil"/>
          <w:tl2br w:val="nil"/>
          <w:tr2bl w:val="nil"/>
        </w:tcBorders>
        <w:shd w:val="pct25" w:color="FFFF00" w:fill="FFFFFF"/>
      </w:tcPr>
    </w:tblStylePr>
    <w:tblStylePr w:type="band2Horz">
      <w:tblPr/>
      <w:tcPr>
        <w:tcBorders>
          <w:top w:val="nil"/>
          <w:left w:val="nil"/>
          <w:bottom w:val="nil"/>
          <w:right w:val="nil"/>
          <w:tl2br w:val="nil"/>
          <w:tr2bl w:val="nil"/>
        </w:tcBorders>
        <w:shd w:val="pct50" w:color="FF0000" w:fill="FFFFFF"/>
      </w:tcPr>
    </w:tblStylePr>
    <w:tblStylePr w:type="nwCell">
      <w:tblPr/>
      <w:tcPr>
        <w:tcBorders>
          <w:top w:val="nil"/>
          <w:left w:val="nil"/>
          <w:bottom w:val="nil"/>
          <w:right w:val="nil"/>
          <w:tl2br w:val="single" w:color="auto" w:sz="6" w:space="0"/>
          <w:tr2bl w:val="nil"/>
        </w:tcBorders>
      </w:tcPr>
    </w:tblStylePr>
  </w:style>
  <w:style w:type="table" w:styleId="52">
    <w:name w:val="Table Contemporary"/>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op w:val="nil"/>
          <w:left w:val="nil"/>
          <w:bottom w:val="nil"/>
          <w:right w:val="nil"/>
          <w:tl2br w:val="nil"/>
          <w:tr2bl w:val="nil"/>
        </w:tcBorders>
        <w:shd w:val="pct20" w:color="000000" w:fill="FFFFFF"/>
      </w:tcPr>
    </w:tblStylePr>
    <w:tblStylePr w:type="band1Horz">
      <w:rPr>
        <w:color w:val="auto"/>
      </w:rPr>
      <w:tblPr/>
      <w:tcPr>
        <w:tcBorders>
          <w:top w:val="nil"/>
          <w:left w:val="nil"/>
          <w:bottom w:val="nil"/>
          <w:right w:val="nil"/>
          <w:tl2br w:val="nil"/>
          <w:tr2bl w:val="nil"/>
        </w:tcBorders>
        <w:shd w:val="pct5" w:color="000000" w:fill="FFFFFF"/>
      </w:tcPr>
    </w:tblStylePr>
    <w:tblStylePr w:type="band2Horz">
      <w:rPr>
        <w:color w:val="auto"/>
      </w:rPr>
      <w:tblPr/>
      <w:tcPr>
        <w:tcBorders>
          <w:top w:val="nil"/>
          <w:left w:val="nil"/>
          <w:bottom w:val="nil"/>
          <w:right w:val="nil"/>
          <w:tl2br w:val="nil"/>
          <w:tr2bl w:val="nil"/>
        </w:tcBorders>
        <w:shd w:val="pct20" w:color="000000" w:fill="FFFFFF"/>
      </w:tcPr>
    </w:tblStylePr>
  </w:style>
  <w:style w:type="table" w:styleId="53">
    <w:name w:val="Table Columns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b/>
      <w:kern w:val="2"/>
      <w:sz w:val="21"/>
      <w:szCs w:val="22"/>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tcPr>
    <w:tblStylePr w:type="firstRow">
      <w:rPr>
        <w:b w:val="0"/>
        <w:bCs w:val="0"/>
      </w:rPr>
      <w:tblPr/>
      <w:tcPr>
        <w:tcBorders>
          <w:top w:val="nil"/>
          <w:left w:val="nil"/>
          <w:bottom w:val="double" w:color="auto" w:sz="6" w:space="0"/>
          <w:right w:val="nil"/>
          <w:tl2br w:val="nil"/>
          <w:tr2bl w:val="nil"/>
        </w:tcBorders>
      </w:tcPr>
    </w:tblStylePr>
    <w:tblStylePr w:type="lastRow">
      <w:rPr>
        <w:b w:val="0"/>
        <w:bCs w:val="0"/>
      </w:rPr>
      <w:tblPr/>
      <w:tcPr>
        <w:tcBorders>
          <w:top w:val="nil"/>
          <w:left w:val="nil"/>
          <w:bottom w:val="nil"/>
          <w:right w:val="nil"/>
          <w:tl2br w:val="nil"/>
          <w:tr2bl w:val="nil"/>
        </w:tcBorders>
      </w:tcPr>
    </w:tblStylePr>
    <w:tblStylePr w:type="firstCol">
      <w:rPr>
        <w:b w:val="0"/>
        <w:bCs w:val="0"/>
      </w:rPr>
      <w:tblPr/>
      <w:tcPr>
        <w:tcBorders>
          <w:top w:val="nil"/>
          <w:left w:val="nil"/>
          <w:bottom w:val="nil"/>
          <w:right w:val="nil"/>
          <w:tl2br w:val="nil"/>
          <w:tr2bl w:val="nil"/>
        </w:tcBorders>
      </w:tcPr>
    </w:tblStylePr>
    <w:tblStylePr w:type="lastCol">
      <w:rPr>
        <w:b w:val="0"/>
        <w:bCs w:val="0"/>
      </w:rPr>
      <w:tblPr/>
      <w:tcPr>
        <w:tcBorders>
          <w:top w:val="nil"/>
          <w:left w:val="nil"/>
          <w:bottom w:val="nil"/>
          <w:right w:val="nil"/>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54">
    <w:name w:val="Table Columns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b/>
      <w:kern w:val="2"/>
      <w:sz w:val="21"/>
      <w:szCs w:val="22"/>
    </w:rPr>
    <w:tblPr>
      <w:tblCellMar>
        <w:top w:w="0" w:type="dxa"/>
        <w:left w:w="108" w:type="dxa"/>
        <w:bottom w:w="0" w:type="dxa"/>
        <w:right w:w="108" w:type="dxa"/>
      </w:tblCellMar>
    </w:tblPr>
    <w:tblStylePr w:type="firstRow">
      <w:rPr>
        <w:color w:val="FFFFFF"/>
      </w:rPr>
      <w:tblPr/>
      <w:tcPr>
        <w:tcBorders>
          <w:top w:val="nil"/>
          <w:left w:val="nil"/>
          <w:bottom w:val="nil"/>
          <w:right w:val="nil"/>
          <w:tl2br w:val="nil"/>
          <w:tr2bl w:val="nil"/>
        </w:tcBorders>
        <w:shd w:val="solid" w:color="000080" w:fill="FFFFFF"/>
      </w:tcPr>
    </w:tblStylePr>
    <w:tblStylePr w:type="lastRow">
      <w:rPr>
        <w:b w:val="0"/>
        <w:bCs w:val="0"/>
      </w:rPr>
      <w:tblPr/>
      <w:tcPr>
        <w:tcBorders>
          <w:top w:val="nil"/>
          <w:left w:val="nil"/>
          <w:bottom w:val="nil"/>
          <w:right w:val="nil"/>
          <w:tl2br w:val="nil"/>
          <w:tr2bl w:val="nil"/>
        </w:tcBorders>
      </w:tcPr>
    </w:tblStylePr>
    <w:tblStylePr w:type="firstCol">
      <w:rPr>
        <w:b w:val="0"/>
        <w:bCs w:val="0"/>
        <w:color w:val="000000"/>
      </w:rPr>
      <w:tblPr/>
      <w:tcPr>
        <w:tcBorders>
          <w:top w:val="nil"/>
          <w:left w:val="nil"/>
          <w:bottom w:val="nil"/>
          <w:right w:val="nil"/>
          <w:tl2br w:val="nil"/>
          <w:tr2bl w:val="nil"/>
        </w:tcBorders>
      </w:tcPr>
    </w:tblStylePr>
    <w:tblStylePr w:type="lastCol">
      <w:rPr>
        <w:b w:val="0"/>
        <w:bCs w:val="0"/>
      </w:rPr>
      <w:tblPr/>
      <w:tcPr>
        <w:tcBorders>
          <w:top w:val="nil"/>
          <w:left w:val="nil"/>
          <w:bottom w:val="nil"/>
          <w:right w:val="nil"/>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op w:val="nil"/>
          <w:left w:val="nil"/>
          <w:bottom w:val="nil"/>
          <w:right w:val="nil"/>
          <w:tl2br w:val="nil"/>
          <w:tr2bl w:val="nil"/>
        </w:tcBorders>
      </w:tcPr>
    </w:tblStylePr>
    <w:tblStylePr w:type="swCell">
      <w:rPr>
        <w:b/>
        <w:bCs/>
      </w:rPr>
      <w:tblPr/>
      <w:tcPr>
        <w:tcBorders>
          <w:top w:val="nil"/>
          <w:left w:val="nil"/>
          <w:bottom w:val="nil"/>
          <w:right w:val="nil"/>
          <w:tl2br w:val="nil"/>
          <w:tr2bl w:val="nil"/>
        </w:tcBorders>
      </w:tcPr>
    </w:tblStylePr>
  </w:style>
  <w:style w:type="table" w:styleId="55">
    <w:name w:val="Table Columns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b/>
      <w:kern w:val="2"/>
      <w:sz w:val="21"/>
      <w:szCs w:val="22"/>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cPr>
      <w:tcBorders>
        <w:top w:val="single" w:color="000080" w:sz="6" w:space="0"/>
        <w:left w:val="single" w:color="000080" w:sz="6" w:space="0"/>
        <w:bottom w:val="single" w:color="000080" w:sz="6" w:space="0"/>
        <w:right w:val="single" w:color="000080" w:sz="6" w:space="0"/>
      </w:tcBorders>
    </w:tcPr>
    <w:tblStylePr w:type="firstRow">
      <w:rPr>
        <w:color w:val="FFFFFF"/>
      </w:rPr>
      <w:tblPr/>
      <w:tcPr>
        <w:tcBorders>
          <w:top w:val="nil"/>
          <w:left w:val="nil"/>
          <w:bottom w:val="nil"/>
          <w:right w:val="nil"/>
          <w:tl2br w:val="nil"/>
          <w:tr2bl w:val="nil"/>
        </w:tcBorders>
        <w:shd w:val="solid" w:color="000080" w:fill="FFFFFF"/>
      </w:tcPr>
    </w:tblStylePr>
    <w:tblStylePr w:type="lastRow">
      <w:rPr>
        <w:b w:val="0"/>
        <w:bCs w:val="0"/>
      </w:rPr>
      <w:tblPr/>
      <w:tcPr>
        <w:tcBorders>
          <w:top w:val="single" w:color="000080" w:sz="6" w:space="0"/>
          <w:left w:val="nil"/>
          <w:bottom w:val="nil"/>
          <w:right w:val="nil"/>
          <w:tl2br w:val="nil"/>
          <w:tr2bl w:val="nil"/>
        </w:tcBorders>
      </w:tcPr>
    </w:tblStylePr>
    <w:tblStylePr w:type="firstCol">
      <w:rPr>
        <w:b w:val="0"/>
        <w:bCs w:val="0"/>
      </w:rPr>
      <w:tblPr/>
      <w:tcPr>
        <w:tcBorders>
          <w:top w:val="nil"/>
          <w:left w:val="nil"/>
          <w:bottom w:val="nil"/>
          <w:right w:val="nil"/>
          <w:tl2br w:val="nil"/>
          <w:tr2bl w:val="nil"/>
        </w:tcBorders>
      </w:tcPr>
    </w:tblStylePr>
    <w:tblStylePr w:type="lastCol">
      <w:rPr>
        <w:b w:val="0"/>
        <w:bCs w:val="0"/>
      </w:rPr>
      <w:tblPr/>
      <w:tcPr>
        <w:tcBorders>
          <w:top w:val="nil"/>
          <w:left w:val="nil"/>
          <w:bottom w:val="nil"/>
          <w:right w:val="nil"/>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op w:val="nil"/>
          <w:left w:val="nil"/>
          <w:bottom w:val="nil"/>
          <w:right w:val="nil"/>
          <w:tl2br w:val="nil"/>
          <w:tr2bl w:val="nil"/>
        </w:tcBorders>
      </w:tcPr>
    </w:tblStylePr>
  </w:style>
  <w:style w:type="table" w:styleId="56">
    <w:name w:val="Table Columns 4"/>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CellMar>
        <w:top w:w="0" w:type="dxa"/>
        <w:left w:w="108" w:type="dxa"/>
        <w:bottom w:w="0" w:type="dxa"/>
        <w:right w:w="108" w:type="dxa"/>
      </w:tblCellMar>
    </w:tblPr>
    <w:tblStylePr w:type="firstRow">
      <w:rPr>
        <w:color w:val="FFFFFF"/>
      </w:rPr>
      <w:tblPr/>
      <w:tcPr>
        <w:tcBorders>
          <w:top w:val="nil"/>
          <w:left w:val="nil"/>
          <w:bottom w:val="nil"/>
          <w:right w:val="nil"/>
          <w:tl2br w:val="nil"/>
          <w:tr2bl w:val="nil"/>
        </w:tcBorders>
        <w:shd w:val="solid" w:color="000000" w:fill="FFFFFF"/>
      </w:tcPr>
    </w:tblStylePr>
    <w:tblStylePr w:type="lastRow">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cPr>
      <w:tcBorders>
        <w:top w:val="single" w:color="808080" w:sz="12" w:space="0"/>
        <w:left w:val="single" w:color="808080" w:sz="12" w:space="0"/>
        <w:bottom w:val="single" w:color="808080" w:sz="12" w:space="0"/>
        <w:right w:val="single" w:color="808080" w:sz="12" w:space="0"/>
      </w:tcBorders>
    </w:tcPr>
    <w:tblStylePr w:type="firstRow">
      <w:rPr>
        <w:b/>
        <w:bCs/>
        <w:i/>
        <w:iCs/>
      </w:rPr>
      <w:tblPr/>
      <w:tcPr>
        <w:tcBorders>
          <w:top w:val="nil"/>
          <w:left w:val="nil"/>
          <w:bottom w:val="single" w:color="808080" w:sz="6" w:space="0"/>
          <w:right w:val="nil"/>
          <w:tl2br w:val="nil"/>
          <w:tr2bl w:val="nil"/>
        </w:tcBorders>
      </w:tcPr>
    </w:tblStylePr>
    <w:tblStylePr w:type="lastRow">
      <w:rPr>
        <w:b/>
        <w:bCs/>
      </w:rPr>
      <w:tblPr/>
      <w:tcPr>
        <w:tcBorders>
          <w:top w:val="single" w:color="808080" w:sz="6" w:space="0"/>
          <w:left w:val="nil"/>
          <w:bottom w:val="nil"/>
          <w:right w:val="nil"/>
          <w:tl2br w:val="nil"/>
          <w:tr2bl w:val="nil"/>
        </w:tcBorders>
      </w:tcPr>
    </w:tblStylePr>
    <w:tblStylePr w:type="firstCol">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58">
    <w:name w:val="Table Grid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
    <w:tcPr>
      <w:tcBorders>
        <w:top w:val="single" w:color="auto" w:sz="6" w:space="0"/>
        <w:left w:val="single" w:color="auto" w:sz="6" w:space="0"/>
        <w:bottom w:val="single" w:color="auto" w:sz="6" w:space="0"/>
        <w:right w:val="single" w:color="auto" w:sz="6" w:space="0"/>
      </w:tcBorders>
    </w:tcPr>
    <w:tblStylePr w:type="lastRow">
      <w:rPr>
        <w:i/>
        <w:iCs/>
      </w:rPr>
      <w:tblPr/>
      <w:tcPr>
        <w:tcBorders>
          <w:top w:val="nil"/>
          <w:left w:val="nil"/>
          <w:bottom w:val="nil"/>
          <w:right w:val="nil"/>
          <w:tl2br w:val="nil"/>
          <w:tr2bl w:val="nil"/>
        </w:tcBorders>
      </w:tcPr>
    </w:tblStylePr>
    <w:tblStylePr w:type="lastCol">
      <w:rPr>
        <w:i/>
        <w:iCs/>
      </w:rPr>
      <w:tblPr/>
      <w:tcPr>
        <w:tcBorders>
          <w:top w:val="nil"/>
          <w:left w:val="nil"/>
          <w:bottom w:val="nil"/>
          <w:right w:val="nil"/>
          <w:tl2br w:val="nil"/>
          <w:tr2bl w:val="nil"/>
        </w:tcBorders>
      </w:tcPr>
    </w:tblStylePr>
    <w:tblStylePr w:type="nwCell">
      <w:tblPr/>
      <w:tcPr>
        <w:tcBorders>
          <w:top w:val="nil"/>
          <w:left w:val="nil"/>
          <w:bottom w:val="nil"/>
          <w:right w:val="nil"/>
          <w:tl2br w:val="single" w:color="auto" w:sz="6" w:space="0"/>
          <w:tr2bl w:val="nil"/>
        </w:tcBorders>
      </w:tcPr>
    </w:tblStylePr>
  </w:style>
  <w:style w:type="table" w:styleId="59">
    <w:name w:val="Table Grid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insideH w:val="single" w:color="auto" w:sz="6" w:space="0"/>
        <w:insideV w:val="single" w:color="auto" w:sz="6" w:space="0"/>
      </w:tblBorders>
      <w:tblCellMar>
        <w:top w:w="0" w:type="dxa"/>
        <w:left w:w="108" w:type="dxa"/>
        <w:bottom w:w="0" w:type="dxa"/>
        <w:right w:w="108" w:type="dxa"/>
      </w:tblCellMar>
    </w:tblPr>
    <w:tblStylePr w:type="firstRow">
      <w:rPr>
        <w:b/>
        <w:bCs/>
      </w:rPr>
      <w:tblPr/>
      <w:tcPr>
        <w:tcBorders>
          <w:top w:val="nil"/>
          <w:left w:val="nil"/>
          <w:bottom w:val="nil"/>
          <w:right w:val="nil"/>
          <w:tl2br w:val="nil"/>
          <w:tr2bl w:val="nil"/>
        </w:tcBorders>
      </w:tcPr>
    </w:tblStylePr>
    <w:tblStylePr w:type="lastRow">
      <w:rPr>
        <w:b/>
        <w:bCs/>
      </w:rPr>
      <w:tblPr/>
      <w:tcPr>
        <w:tcBorders>
          <w:top w:val="single" w:color="auto" w:sz="6" w:space="0"/>
          <w:left w:val="nil"/>
          <w:bottom w:val="nil"/>
          <w:right w:val="nil"/>
          <w:tl2br w:val="nil"/>
          <w:tr2bl w:val="nil"/>
        </w:tcBorders>
      </w:tcPr>
    </w:tblStylePr>
    <w:tblStylePr w:type="firstCol">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style>
  <w:style w:type="table" w:styleId="60">
    <w:name w:val="Table Grid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6" w:space="0"/>
        <w:left w:val="single" w:color="auto" w:sz="12" w:space="0"/>
        <w:bottom w:val="single" w:color="auto" w:sz="6" w:space="0"/>
        <w:right w:val="single" w:color="auto" w:sz="12" w:space="0"/>
        <w:insideV w:val="single" w:color="auto" w:sz="6" w:space="0"/>
      </w:tblBorders>
      <w:tblCellMar>
        <w:top w:w="0" w:type="dxa"/>
        <w:left w:w="108" w:type="dxa"/>
        <w:bottom w:w="0" w:type="dxa"/>
        <w:right w:w="108" w:type="dxa"/>
      </w:tblCellMar>
    </w:tblPr>
    <w:tcPr>
      <w:tcBorders>
        <w:top w:val="single" w:color="auto" w:sz="6" w:space="0"/>
        <w:left w:val="single" w:color="auto" w:sz="12" w:space="0"/>
        <w:bottom w:val="single" w:color="auto" w:sz="6" w:space="0"/>
        <w:right w:val="single" w:color="auto" w:sz="12" w:space="0"/>
      </w:tcBorders>
    </w:tcPr>
    <w:tblStylePr w:type="firstRow">
      <w:tblPr/>
      <w:tcPr>
        <w:tcBorders>
          <w:top w:val="nil"/>
          <w:left w:val="nil"/>
          <w:bottom w:val="single" w:color="auto" w:sz="6" w:space="0"/>
          <w:right w:val="nil"/>
          <w:tl2br w:val="nil"/>
          <w:tr2bl w:val="nil"/>
        </w:tcBorders>
        <w:shd w:val="pct30" w:color="FFFF00" w:fill="FFFFFF"/>
      </w:tcPr>
    </w:tblStylePr>
    <w:tblStylePr w:type="lastRow">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tblStylePr w:type="nwCell">
      <w:tblPr/>
      <w:tcPr>
        <w:tcBorders>
          <w:top w:val="nil"/>
          <w:left w:val="nil"/>
          <w:bottom w:val="nil"/>
          <w:right w:val="nil"/>
          <w:tl2br w:val="single" w:color="auto" w:sz="6" w:space="0"/>
          <w:tr2bl w:val="nil"/>
        </w:tcBorders>
      </w:tcPr>
    </w:tblStylePr>
  </w:style>
  <w:style w:type="table" w:styleId="61">
    <w:name w:val="Table Grid 4"/>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left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tcPr>
      <w:tcBorders>
        <w:top w:val="nil"/>
        <w:left w:val="single" w:color="auto" w:sz="12" w:space="0"/>
        <w:bottom w:val="nil"/>
        <w:right w:val="single" w:color="auto" w:sz="12" w:space="0"/>
      </w:tcBorders>
    </w:tcPr>
    <w:tblStylePr w:type="firstRow">
      <w:rPr>
        <w:color w:val="auto"/>
      </w:rPr>
      <w:tblPr/>
      <w:tcPr>
        <w:tcBorders>
          <w:top w:val="nil"/>
          <w:left w:val="nil"/>
          <w:bottom w:val="single" w:color="auto" w:sz="6" w:space="0"/>
          <w:right w:val="nil"/>
          <w:tl2br w:val="nil"/>
          <w:tr2bl w:val="nil"/>
        </w:tcBorders>
        <w:shd w:val="pct30" w:color="FFFF00" w:fill="FFFFFF"/>
      </w:tcPr>
    </w:tblStylePr>
    <w:tblStylePr w:type="lastRow">
      <w:rPr>
        <w:b/>
        <w:bCs/>
        <w:color w:val="auto"/>
      </w:rPr>
      <w:tblPr/>
      <w:tcPr>
        <w:tcBorders>
          <w:top w:val="single" w:color="auto" w:sz="6" w:space="0"/>
          <w:left w:val="nil"/>
          <w:bottom w:val="nil"/>
          <w:right w:val="nil"/>
          <w:tl2br w:val="nil"/>
          <w:tr2bl w:val="nil"/>
        </w:tcBorders>
        <w:shd w:val="pct30" w:color="FFFF00" w:fill="FFFFFF"/>
      </w:tcPr>
    </w:tblStylePr>
    <w:tblStylePr w:type="lastCol">
      <w:rPr>
        <w:b/>
        <w:bCs/>
        <w:color w:val="auto"/>
      </w:rPr>
      <w:tblPr/>
      <w:tcPr>
        <w:tcBorders>
          <w:top w:val="nil"/>
          <w:left w:val="nil"/>
          <w:bottom w:val="nil"/>
          <w:right w:val="nil"/>
          <w:tl2br w:val="nil"/>
          <w:tr2bl w:val="nil"/>
        </w:tcBorders>
      </w:tcPr>
    </w:tblStylePr>
  </w:style>
  <w:style w:type="table" w:styleId="62">
    <w:name w:val="Table Grid 5"/>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tcPr>
    <w:tblStylePr w:type="firstRow">
      <w:tblPr/>
      <w:tcPr>
        <w:tcBorders>
          <w:top w:val="nil"/>
          <w:left w:val="nil"/>
          <w:bottom w:val="single" w:color="auto" w:sz="12" w:space="0"/>
          <w:right w:val="nil"/>
          <w:tl2br w:val="nil"/>
          <w:tr2bl w:val="nil"/>
        </w:tcBorders>
      </w:tcPr>
    </w:tblStylePr>
    <w:tblStylePr w:type="lastRow">
      <w:rPr>
        <w:b/>
        <w:bCs/>
      </w:rPr>
      <w:tblPr/>
      <w:tcPr>
        <w:tcBorders>
          <w:top w:val="nil"/>
          <w:left w:val="nil"/>
          <w:bottom w:val="nil"/>
          <w:right w:val="nil"/>
          <w:tl2br w:val="nil"/>
          <w:tr2bl w:val="nil"/>
        </w:tcBorders>
      </w:tcPr>
    </w:tblStylePr>
    <w:tblStylePr w:type="lastCol">
      <w:rPr>
        <w:b/>
        <w:bCs/>
      </w:rPr>
      <w:tblPr/>
      <w:tcPr>
        <w:tcBorders>
          <w:top w:val="nil"/>
          <w:left w:val="nil"/>
          <w:bottom w:val="nil"/>
          <w:right w:val="nil"/>
          <w:tl2br w:val="nil"/>
          <w:tr2bl w:val="nil"/>
        </w:tcBorders>
      </w:tcPr>
    </w:tblStylePr>
    <w:tblStylePr w:type="nwCell">
      <w:tblPr/>
      <w:tcPr>
        <w:tcBorders>
          <w:top w:val="nil"/>
          <w:left w:val="nil"/>
          <w:bottom w:val="nil"/>
          <w:right w:val="nil"/>
          <w:tl2br w:val="single" w:color="auto" w:sz="6" w:space="0"/>
          <w:tr2bl w:val="nil"/>
        </w:tcBorders>
      </w:tcPr>
    </w:tblStylePr>
  </w:style>
  <w:style w:type="table" w:styleId="63">
    <w:name w:val="Table Grid 6"/>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auto" w:sz="12" w:space="0"/>
        <w:left w:val="single" w:color="auto" w:sz="12" w:space="0"/>
        <w:bottom w:val="single" w:color="auto" w:sz="12" w:space="0"/>
        <w:right w:val="single" w:color="auto" w:sz="12" w:space="0"/>
        <w:insideV w:val="single" w:color="auto" w:sz="6"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tcPr>
    <w:tblStylePr w:type="firstRow">
      <w:rPr>
        <w:b/>
        <w:bCs/>
      </w:rPr>
      <w:tblPr/>
      <w:tcPr>
        <w:tcBorders>
          <w:top w:val="nil"/>
          <w:left w:val="nil"/>
          <w:bottom w:val="single" w:color="auto" w:sz="6" w:space="0"/>
          <w:right w:val="nil"/>
          <w:tl2br w:val="nil"/>
          <w:tr2bl w:val="nil"/>
        </w:tcBorders>
      </w:tcPr>
    </w:tblStylePr>
    <w:tblStylePr w:type="lastRow">
      <w:rPr>
        <w:color w:val="auto"/>
      </w:rPr>
      <w:tblPr/>
      <w:tcPr>
        <w:tcBorders>
          <w:top w:val="single" w:color="auto" w:sz="6" w:space="0"/>
          <w:left w:val="nil"/>
          <w:bottom w:val="nil"/>
          <w:right w:val="nil"/>
          <w:tl2br w:val="nil"/>
          <w:tr2bl w:val="nil"/>
        </w:tcBorders>
      </w:tcPr>
    </w:tblStylePr>
    <w:tblStylePr w:type="firstCol">
      <w:rPr>
        <w:b/>
        <w:bCs/>
      </w:rPr>
      <w:tblPr/>
      <w:tcPr>
        <w:tcBorders>
          <w:top w:val="nil"/>
          <w:left w:val="nil"/>
          <w:bottom w:val="nil"/>
          <w:right w:val="nil"/>
          <w:tl2br w:val="nil"/>
          <w:tr2bl w:val="nil"/>
        </w:tcBorders>
      </w:tcPr>
    </w:tblStylePr>
    <w:tblStylePr w:type="nwCell">
      <w:tblPr/>
      <w:tcPr>
        <w:tcBorders>
          <w:top w:val="nil"/>
          <w:left w:val="nil"/>
          <w:bottom w:val="nil"/>
          <w:right w:val="nil"/>
          <w:tl2br w:val="single" w:color="auto" w:sz="6" w:space="0"/>
          <w:tr2bl w:val="nil"/>
        </w:tcBorders>
      </w:tcPr>
    </w:tblStylePr>
  </w:style>
  <w:style w:type="table" w:styleId="64">
    <w:name w:val="Table Grid 7"/>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b/>
      <w:kern w:val="2"/>
      <w:sz w:val="21"/>
      <w:szCs w:val="22"/>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tcPr>
      <w:tcBorders>
        <w:top w:val="single" w:color="auto" w:sz="12" w:space="0"/>
        <w:left w:val="single" w:color="auto" w:sz="12" w:space="0"/>
        <w:bottom w:val="single" w:color="auto" w:sz="12" w:space="0"/>
        <w:right w:val="single" w:color="auto" w:sz="12" w:space="0"/>
      </w:tcBorders>
    </w:tcPr>
    <w:tblStylePr w:type="firstRow">
      <w:rPr>
        <w:b w:val="0"/>
        <w:bCs w:val="0"/>
      </w:rPr>
      <w:tblPr/>
      <w:tcPr>
        <w:tcBorders>
          <w:top w:val="nil"/>
          <w:left w:val="nil"/>
          <w:bottom w:val="single" w:color="auto" w:sz="12" w:space="0"/>
          <w:right w:val="nil"/>
          <w:tl2br w:val="nil"/>
          <w:tr2bl w:val="nil"/>
        </w:tcBorders>
      </w:tcPr>
    </w:tblStylePr>
    <w:tblStylePr w:type="lastRow">
      <w:rPr>
        <w:b w:val="0"/>
        <w:bCs w:val="0"/>
      </w:rPr>
      <w:tblPr/>
      <w:tcPr>
        <w:tcBorders>
          <w:top w:val="single" w:color="auto" w:sz="6" w:space="0"/>
          <w:left w:val="nil"/>
          <w:bottom w:val="nil"/>
          <w:right w:val="nil"/>
          <w:tl2br w:val="nil"/>
          <w:tr2bl w:val="nil"/>
        </w:tcBorders>
      </w:tcPr>
    </w:tblStylePr>
    <w:tblStylePr w:type="firstCol">
      <w:rPr>
        <w:b w:val="0"/>
        <w:bCs w:val="0"/>
      </w:rPr>
      <w:tblPr/>
      <w:tcPr>
        <w:tcBorders>
          <w:top w:val="nil"/>
          <w:left w:val="nil"/>
          <w:bottom w:val="nil"/>
          <w:right w:val="nil"/>
          <w:tl2br w:val="nil"/>
          <w:tr2bl w:val="nil"/>
        </w:tcBorders>
      </w:tcPr>
    </w:tblStylePr>
    <w:tblStylePr w:type="lastCol">
      <w:rPr>
        <w:b w:val="0"/>
        <w:bCs w:val="0"/>
      </w:rPr>
      <w:tblPr/>
      <w:tcPr>
        <w:tcBorders>
          <w:top w:val="nil"/>
          <w:left w:val="nil"/>
          <w:bottom w:val="nil"/>
          <w:right w:val="nil"/>
          <w:tl2br w:val="nil"/>
          <w:tr2bl w:val="nil"/>
        </w:tcBorders>
      </w:tcPr>
    </w:tblStylePr>
    <w:tblStylePr w:type="nwCell">
      <w:tblPr/>
      <w:tcPr>
        <w:tcBorders>
          <w:top w:val="nil"/>
          <w:left w:val="nil"/>
          <w:bottom w:val="nil"/>
          <w:right w:val="nil"/>
          <w:tl2br w:val="single" w:color="auto" w:sz="6" w:space="0"/>
          <w:tr2bl w:val="nil"/>
        </w:tcBorders>
      </w:tcPr>
    </w:tblStylePr>
  </w:style>
  <w:style w:type="table" w:styleId="65">
    <w:name w:val="Table Grid 8"/>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tcBorders>
        <w:top w:val="single" w:color="000080" w:sz="6" w:space="0"/>
        <w:left w:val="single" w:color="000080" w:sz="6" w:space="0"/>
        <w:bottom w:val="single" w:color="000080" w:sz="6" w:space="0"/>
        <w:right w:val="single" w:color="000080" w:sz="6" w:space="0"/>
      </w:tcBorders>
    </w:tcPr>
    <w:tblStylePr w:type="firstRow">
      <w:rPr>
        <w:b/>
        <w:bCs/>
        <w:color w:val="FFFFFF"/>
      </w:rPr>
      <w:tblPr/>
      <w:tcPr>
        <w:tcBorders>
          <w:top w:val="nil"/>
          <w:left w:val="nil"/>
          <w:bottom w:val="nil"/>
          <w:right w:val="nil"/>
          <w:tl2br w:val="nil"/>
          <w:tr2bl w:val="nil"/>
        </w:tcBorders>
        <w:shd w:val="solid" w:color="000080" w:fill="FFFFFF"/>
      </w:tcPr>
    </w:tblStylePr>
    <w:tblStylePr w:type="lastRow">
      <w:rPr>
        <w:b/>
        <w:bCs/>
        <w:color w:val="auto"/>
      </w:rPr>
      <w:tblPr/>
      <w:tcPr>
        <w:tcBorders>
          <w:top w:val="nil"/>
          <w:left w:val="nil"/>
          <w:bottom w:val="nil"/>
          <w:right w:val="nil"/>
          <w:tl2br w:val="nil"/>
          <w:tr2bl w:val="nil"/>
        </w:tcBorders>
      </w:tcPr>
    </w:tblStylePr>
    <w:tblStylePr w:type="lastCol">
      <w:rPr>
        <w:b/>
        <w:bCs/>
        <w:color w:val="auto"/>
      </w:rPr>
      <w:tblPr/>
      <w:tcPr>
        <w:tcBorders>
          <w:top w:val="nil"/>
          <w:left w:val="nil"/>
          <w:bottom w:val="nil"/>
          <w:right w:val="nil"/>
          <w:tl2br w:val="nil"/>
          <w:tr2bl w:val="nil"/>
        </w:tcBorders>
      </w:tcPr>
    </w:tblStylePr>
  </w:style>
  <w:style w:type="table" w:styleId="66">
    <w:name w:val="Table Web 1"/>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tcBorders>
        <w:top w:val="outset" w:color="auto" w:sz="6" w:space="0"/>
        <w:left w:val="outset" w:color="auto" w:sz="6" w:space="0"/>
        <w:bottom w:val="outset" w:color="auto" w:sz="6" w:space="0"/>
        <w:right w:val="outset" w:color="auto" w:sz="6" w:space="0"/>
      </w:tcBorders>
    </w:tcPr>
    <w:tblStylePr w:type="firstRow">
      <w:rPr>
        <w:color w:val="auto"/>
      </w:rPr>
      <w:tblPr/>
      <w:tcPr>
        <w:tcBorders>
          <w:top w:val="nil"/>
          <w:left w:val="nil"/>
          <w:bottom w:val="nil"/>
          <w:right w:val="nil"/>
          <w:tl2br w:val="nil"/>
          <w:tr2bl w:val="nil"/>
        </w:tcBorders>
      </w:tcPr>
    </w:tblStylePr>
  </w:style>
  <w:style w:type="table" w:styleId="67">
    <w:name w:val="Table Web 2"/>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tcBorders>
        <w:top w:val="inset" w:color="auto" w:sz="6" w:space="0"/>
        <w:left w:val="inset" w:color="auto" w:sz="6" w:space="0"/>
        <w:bottom w:val="inset" w:color="auto" w:sz="6" w:space="0"/>
        <w:right w:val="inset" w:color="auto" w:sz="6" w:space="0"/>
      </w:tcBorders>
    </w:tcPr>
    <w:tblStylePr w:type="firstRow">
      <w:rPr>
        <w:color w:val="auto"/>
      </w:rPr>
      <w:tblPr/>
      <w:tcPr>
        <w:tcBorders>
          <w:top w:val="nil"/>
          <w:left w:val="nil"/>
          <w:bottom w:val="nil"/>
          <w:right w:val="nil"/>
          <w:tl2br w:val="nil"/>
          <w:tr2bl w:val="nil"/>
        </w:tcBorders>
      </w:tcPr>
    </w:tblStylePr>
  </w:style>
  <w:style w:type="table" w:styleId="68">
    <w:name w:val="Table Web 3"/>
    <w:basedOn w:val="28"/>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cs="Times New Roman"/>
      <w:kern w:val="2"/>
      <w:sz w:val="21"/>
      <w:szCs w:val="22"/>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tcBorders>
        <w:top w:val="outset" w:color="auto" w:sz="24" w:space="0"/>
        <w:left w:val="outset" w:color="auto" w:sz="24" w:space="0"/>
        <w:bottom w:val="outset" w:color="auto" w:sz="24" w:space="0"/>
        <w:right w:val="outset" w:color="auto" w:sz="24" w:space="0"/>
      </w:tcBorders>
    </w:tcPr>
    <w:tblStylePr w:type="firstRow">
      <w:rPr>
        <w:color w:val="auto"/>
      </w:rPr>
      <w:tblPr/>
      <w:tcPr>
        <w:tcBorders>
          <w:top w:val="nil"/>
          <w:left w:val="nil"/>
          <w:bottom w:val="nil"/>
          <w:right w:val="nil"/>
          <w:tl2br w:val="nil"/>
          <w:tr2bl w:val="nil"/>
        </w:tcBorders>
      </w:tcPr>
    </w:tblStylePr>
  </w:style>
  <w:style w:type="table" w:styleId="69">
    <w:name w:val="Table Professional"/>
    <w:basedOn w:val="28"/>
    <w:qFormat/>
    <w:uiPriority w:val="0"/>
    <w:pPr>
      <w:keepNext w:val="0"/>
      <w:keepLines w:val="0"/>
      <w:widowControl w:val="0"/>
      <w:suppressLineNumbers w:val="0"/>
      <w:spacing w:before="0" w:beforeAutospacing="0" w:after="0" w:afterAutospacing="0" w:line="400" w:lineRule="exact"/>
      <w:ind w:left="0" w:right="0"/>
      <w:jc w:val="center"/>
    </w:pPr>
    <w:rPr>
      <w:rFonts w:hint="default" w:ascii="Times New Roman" w:hAnsi="Times New Roman" w:cs="Times New Roman"/>
      <w:kern w:val="2"/>
      <w:sz w:val="24"/>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vAlign w:val="center"/>
    </w:tcPr>
    <w:tblStylePr w:type="firstRow">
      <w:rPr>
        <w:b/>
        <w:bCs/>
        <w:color w:val="auto"/>
      </w:rPr>
      <w:tblPr/>
      <w:tcPr>
        <w:tcBorders>
          <w:top w:val="nil"/>
          <w:left w:val="nil"/>
          <w:bottom w:val="nil"/>
          <w:right w:val="nil"/>
          <w:tl2br w:val="nil"/>
          <w:tr2bl w:val="nil"/>
        </w:tcBorders>
        <w:shd w:val="solid" w:color="000000" w:fill="FFFFFF"/>
      </w:tcPr>
    </w:tblStylePr>
  </w:style>
  <w:style w:type="character" w:styleId="71">
    <w:name w:val="Strong"/>
    <w:basedOn w:val="70"/>
    <w:qFormat/>
    <w:uiPriority w:val="0"/>
    <w:rPr>
      <w:rFonts w:hint="default" w:ascii="Times New Roman" w:hAnsi="Times New Roman" w:eastAsia="宋体" w:cs="Times New Roman"/>
      <w:b/>
    </w:rPr>
  </w:style>
  <w:style w:type="character" w:styleId="72">
    <w:name w:val="endnote reference"/>
    <w:basedOn w:val="70"/>
    <w:qFormat/>
    <w:uiPriority w:val="0"/>
    <w:rPr>
      <w:rFonts w:hint="default" w:ascii="Verdana" w:hAnsi="Verdana" w:eastAsia="仿宋_GB2312" w:cs="Times New Roman"/>
      <w:sz w:val="24"/>
      <w:vertAlign w:val="superscript"/>
      <w:lang w:val="en-US" w:eastAsia="en-US" w:bidi="ar"/>
    </w:rPr>
  </w:style>
  <w:style w:type="character" w:styleId="73">
    <w:name w:val="page number"/>
    <w:basedOn w:val="70"/>
    <w:qFormat/>
    <w:uiPriority w:val="0"/>
    <w:rPr>
      <w:rFonts w:hint="default" w:ascii="Times New Roman" w:hAnsi="Times New Roman" w:eastAsia="宋体" w:cs="Times New Roman"/>
      <w:sz w:val="24"/>
      <w:lang w:val="en-US" w:eastAsia="en-US" w:bidi="ar"/>
    </w:rPr>
  </w:style>
  <w:style w:type="character" w:styleId="74">
    <w:name w:val="FollowedHyperlink"/>
    <w:basedOn w:val="70"/>
    <w:qFormat/>
    <w:uiPriority w:val="0"/>
    <w:rPr>
      <w:color w:val="800080"/>
      <w:u w:val="single"/>
    </w:rPr>
  </w:style>
  <w:style w:type="character" w:styleId="75">
    <w:name w:val="Emphasis"/>
    <w:basedOn w:val="70"/>
    <w:qFormat/>
    <w:uiPriority w:val="0"/>
    <w:rPr>
      <w:rFonts w:hint="default" w:ascii="Times New Roman" w:hAnsi="Times New Roman" w:eastAsia="宋体" w:cs="Times New Roman"/>
      <w:i/>
    </w:rPr>
  </w:style>
  <w:style w:type="character" w:styleId="76">
    <w:name w:val="line number"/>
    <w:basedOn w:val="70"/>
    <w:qFormat/>
    <w:uiPriority w:val="0"/>
    <w:rPr>
      <w:rFonts w:hint="default" w:ascii="Times New Roman" w:hAnsi="Times New Roman" w:eastAsia="宋体" w:cs="Times New Roman"/>
      <w:sz w:val="24"/>
      <w:lang w:val="en-US" w:eastAsia="en-US" w:bidi="ar"/>
    </w:rPr>
  </w:style>
  <w:style w:type="character" w:styleId="77">
    <w:name w:val="HTML Definition"/>
    <w:basedOn w:val="70"/>
    <w:qFormat/>
    <w:uiPriority w:val="0"/>
    <w:rPr>
      <w:rFonts w:hint="default" w:ascii="Verdana" w:hAnsi="Verdana" w:eastAsia="仿宋_GB2312" w:cs="Times New Roman"/>
      <w:i/>
      <w:sz w:val="24"/>
      <w:lang w:val="en-US" w:eastAsia="en-US" w:bidi="ar"/>
    </w:rPr>
  </w:style>
  <w:style w:type="character" w:styleId="78">
    <w:name w:val="HTML Typewriter"/>
    <w:basedOn w:val="70"/>
    <w:qFormat/>
    <w:uiPriority w:val="0"/>
    <w:rPr>
      <w:rFonts w:hint="default" w:ascii="Courier New" w:hAnsi="Courier New" w:eastAsia="仿宋_GB2312" w:cs="Courier New"/>
      <w:sz w:val="20"/>
      <w:lang w:val="en-US" w:eastAsia="en-US" w:bidi="ar"/>
    </w:rPr>
  </w:style>
  <w:style w:type="character" w:styleId="79">
    <w:name w:val="HTML Acronym"/>
    <w:basedOn w:val="70"/>
    <w:qFormat/>
    <w:uiPriority w:val="0"/>
    <w:rPr>
      <w:rFonts w:hint="default" w:ascii="Times New Roman" w:hAnsi="Times New Roman" w:eastAsia="宋体" w:cs="Times New Roman"/>
      <w:sz w:val="24"/>
      <w:lang w:val="en-US" w:eastAsia="en-US" w:bidi="ar"/>
    </w:rPr>
  </w:style>
  <w:style w:type="character" w:styleId="80">
    <w:name w:val="HTML Variable"/>
    <w:basedOn w:val="70"/>
    <w:qFormat/>
    <w:uiPriority w:val="0"/>
    <w:rPr>
      <w:rFonts w:hint="default" w:ascii="Verdana" w:hAnsi="Verdana" w:eastAsia="仿宋_GB2312" w:cs="Times New Roman"/>
      <w:i/>
      <w:sz w:val="24"/>
      <w:lang w:val="en-US" w:eastAsia="en-US" w:bidi="ar"/>
    </w:rPr>
  </w:style>
  <w:style w:type="character" w:styleId="81">
    <w:name w:val="Hyperlink"/>
    <w:basedOn w:val="70"/>
    <w:qFormat/>
    <w:uiPriority w:val="0"/>
    <w:rPr>
      <w:rFonts w:hint="default" w:ascii="Verdana" w:hAnsi="Verdana" w:eastAsia="仿宋_GB2312" w:cs="Times New Roman"/>
      <w:color w:val="0000FF"/>
      <w:sz w:val="24"/>
      <w:u w:val="single"/>
      <w:lang w:val="en-US" w:eastAsia="en-US" w:bidi="ar"/>
    </w:rPr>
  </w:style>
  <w:style w:type="character" w:styleId="82">
    <w:name w:val="HTML Code"/>
    <w:basedOn w:val="70"/>
    <w:qFormat/>
    <w:uiPriority w:val="0"/>
    <w:rPr>
      <w:rFonts w:ascii="Courier New" w:hAnsi="Courier New" w:eastAsia="仿宋_GB2312" w:cs="Courier New"/>
      <w:sz w:val="20"/>
      <w:lang w:val="en-US" w:eastAsia="en-US" w:bidi="ar"/>
    </w:rPr>
  </w:style>
  <w:style w:type="character" w:styleId="83">
    <w:name w:val="annotation reference"/>
    <w:basedOn w:val="70"/>
    <w:uiPriority w:val="0"/>
    <w:rPr>
      <w:rFonts w:hint="default" w:ascii="Verdana" w:hAnsi="Verdana" w:eastAsia="仿宋_GB2312" w:cs="Times New Roman"/>
      <w:sz w:val="21"/>
      <w:szCs w:val="21"/>
      <w:lang w:val="en-US" w:eastAsia="en-US" w:bidi="ar"/>
    </w:rPr>
  </w:style>
  <w:style w:type="character" w:styleId="84">
    <w:name w:val="HTML Cite"/>
    <w:basedOn w:val="70"/>
    <w:uiPriority w:val="0"/>
    <w:rPr>
      <w:rFonts w:hint="default" w:ascii="Verdana" w:hAnsi="Verdana" w:eastAsia="仿宋_GB2312" w:cs="Times New Roman"/>
      <w:i/>
      <w:sz w:val="24"/>
      <w:lang w:val="en-US" w:eastAsia="en-US" w:bidi="ar"/>
    </w:rPr>
  </w:style>
  <w:style w:type="character" w:styleId="85">
    <w:name w:val="footnote reference"/>
    <w:basedOn w:val="70"/>
    <w:uiPriority w:val="0"/>
    <w:rPr>
      <w:rFonts w:hint="default" w:ascii="Times New Roman" w:hAnsi="Times New Roman" w:eastAsia="宋体" w:cs="Times New Roman"/>
      <w:position w:val="6"/>
      <w:sz w:val="14"/>
      <w:vertAlign w:val="superscript"/>
    </w:rPr>
  </w:style>
  <w:style w:type="character" w:styleId="86">
    <w:name w:val="HTML Keyboard"/>
    <w:basedOn w:val="70"/>
    <w:uiPriority w:val="0"/>
    <w:rPr>
      <w:rFonts w:hint="default" w:ascii="Courier New" w:hAnsi="Courier New" w:eastAsia="仿宋_GB2312" w:cs="Courier New"/>
      <w:sz w:val="20"/>
      <w:lang w:val="en-US" w:eastAsia="en-US" w:bidi="ar"/>
    </w:rPr>
  </w:style>
  <w:style w:type="character" w:styleId="87">
    <w:name w:val="HTML Sample"/>
    <w:basedOn w:val="70"/>
    <w:uiPriority w:val="0"/>
    <w:rPr>
      <w:rFonts w:hint="default" w:ascii="Courier New" w:hAnsi="Courier New" w:eastAsia="仿宋_GB2312" w:cs="Courier New"/>
      <w:sz w:val="24"/>
      <w:lang w:val="en-US" w:eastAsia="en-US" w:bidi="ar"/>
    </w:rPr>
  </w:style>
  <w:style w:type="character" w:customStyle="1" w:styleId="88">
    <w:name w:val=" Char Char16"/>
    <w:basedOn w:val="70"/>
    <w:uiPriority w:val="0"/>
    <w:rPr>
      <w:rFonts w:hint="default" w:ascii="Verdana" w:hAnsi="Verdana" w:eastAsia="宋体" w:cs="Times New Roman"/>
      <w:kern w:val="2"/>
      <w:sz w:val="44"/>
      <w:lang w:val="en-US" w:eastAsia="zh-CN" w:bidi="ar"/>
    </w:rPr>
  </w:style>
  <w:style w:type="character" w:customStyle="1" w:styleId="89">
    <w:name w:val="正文文本缩进 字符"/>
    <w:basedOn w:val="70"/>
    <w:link w:val="16"/>
    <w:uiPriority w:val="0"/>
    <w:rPr>
      <w:rFonts w:hint="default" w:ascii="Arial" w:hAnsi="Arial" w:eastAsia="宋体" w:cs="Arial"/>
      <w:b/>
      <w:smallCaps/>
      <w:kern w:val="28"/>
      <w:sz w:val="36"/>
      <w:lang w:val="en-US" w:eastAsia="en-US" w:bidi="ar"/>
    </w:rPr>
  </w:style>
  <w:style w:type="character" w:customStyle="1" w:styleId="90">
    <w:name w:val=" Char Char40"/>
    <w:basedOn w:val="70"/>
    <w:uiPriority w:val="0"/>
    <w:rPr>
      <w:rFonts w:hint="default" w:ascii="Times New Roman" w:hAnsi="Times New Roman" w:eastAsia="黑体" w:cs="Times New Roman"/>
      <w:b/>
      <w:kern w:val="44"/>
      <w:sz w:val="32"/>
      <w:szCs w:val="44"/>
      <w:lang w:val="en-US" w:eastAsia="zh-CN" w:bidi="ar"/>
    </w:rPr>
  </w:style>
  <w:style w:type="character" w:customStyle="1" w:styleId="91">
    <w:name w:val="标题 4 Char Char Char"/>
    <w:basedOn w:val="70"/>
    <w:uiPriority w:val="0"/>
    <w:rPr>
      <w:rFonts w:hint="default" w:ascii="Arial" w:hAnsi="Arial" w:eastAsia="黑体" w:cs="Times New Roman"/>
      <w:b/>
      <w:kern w:val="2"/>
      <w:sz w:val="28"/>
      <w:szCs w:val="28"/>
      <w:lang w:val="en-US" w:eastAsia="zh-CN" w:bidi="ar"/>
    </w:rPr>
  </w:style>
  <w:style w:type="character" w:customStyle="1" w:styleId="92">
    <w:name w:val="标题 7 Char"/>
    <w:basedOn w:val="70"/>
    <w:uiPriority w:val="0"/>
    <w:rPr>
      <w:rFonts w:hint="default" w:ascii="Arial" w:hAnsi="Arial" w:eastAsia="黑体" w:cs="Times New Roman"/>
      <w:b/>
      <w:kern w:val="2"/>
      <w:sz w:val="24"/>
      <w:szCs w:val="24"/>
      <w:lang w:val="en-US" w:eastAsia="zh-CN" w:bidi="ar"/>
    </w:rPr>
  </w:style>
  <w:style w:type="paragraph" w:customStyle="1" w:styleId="93">
    <w:name w:val="标题（1） （2）"/>
    <w:basedOn w:val="1"/>
    <w:uiPriority w:val="0"/>
    <w:pPr>
      <w:keepNext w:val="0"/>
      <w:keepLines w:val="0"/>
      <w:widowControl/>
      <w:suppressLineNumbers w:val="0"/>
      <w:spacing w:before="10" w:beforeLines="10" w:beforeAutospacing="0" w:after="10" w:afterLines="10" w:afterAutospacing="0" w:line="240" w:lineRule="auto"/>
      <w:ind w:left="0" w:right="0" w:firstLine="125" w:firstLineChars="125"/>
      <w:jc w:val="left"/>
    </w:pPr>
    <w:rPr>
      <w:rFonts w:hint="default" w:ascii="Times New Roman" w:hAnsi="Times New Roman" w:eastAsia="黑体" w:cs="Times New Roman"/>
      <w:b/>
      <w:kern w:val="2"/>
      <w:sz w:val="24"/>
      <w:szCs w:val="24"/>
      <w:lang w:val="en-US" w:eastAsia="zh-CN" w:bidi="ar"/>
    </w:rPr>
  </w:style>
  <w:style w:type="character" w:customStyle="1" w:styleId="94">
    <w:name w:val="小 Char"/>
    <w:basedOn w:val="70"/>
    <w:uiPriority w:val="0"/>
    <w:rPr>
      <w:rFonts w:hint="eastAsia" w:ascii="宋体" w:hAnsi="Courier New" w:eastAsia="宋体" w:cs="Times New Roman"/>
      <w:kern w:val="2"/>
      <w:sz w:val="21"/>
      <w:lang w:val="en-US" w:eastAsia="zh-CN" w:bidi="ar"/>
    </w:rPr>
  </w:style>
  <w:style w:type="character" w:customStyle="1" w:styleId="95">
    <w:name w:val=" Char Char50"/>
    <w:basedOn w:val="70"/>
    <w:uiPriority w:val="0"/>
    <w:rPr>
      <w:rFonts w:hint="eastAsia" w:ascii="宋体" w:hAnsi="宋体" w:eastAsia="黑体" w:cs="Times New Roman"/>
      <w:b/>
      <w:kern w:val="2"/>
      <w:sz w:val="30"/>
      <w:szCs w:val="24"/>
      <w:lang w:val="en-US" w:eastAsia="zh-CN" w:bidi="ar"/>
    </w:rPr>
  </w:style>
  <w:style w:type="character" w:customStyle="1" w:styleId="96">
    <w:name w:val="正文文本缩进 3 字符"/>
    <w:basedOn w:val="70"/>
    <w:link w:val="22"/>
    <w:uiPriority w:val="0"/>
    <w:rPr>
      <w:rFonts w:hint="eastAsia" w:ascii="宋体" w:hAnsi="宋体" w:eastAsia="宋体" w:cs="宋体"/>
      <w:kern w:val="2"/>
      <w:sz w:val="16"/>
      <w:szCs w:val="16"/>
      <w:lang w:val="en-US" w:eastAsia="zh-CN" w:bidi="ar"/>
    </w:rPr>
  </w:style>
  <w:style w:type="character" w:customStyle="1" w:styleId="97">
    <w:name w:val="正文文本缩进 Char"/>
    <w:basedOn w:val="70"/>
    <w:uiPriority w:val="0"/>
    <w:rPr>
      <w:rFonts w:hint="default" w:ascii="Arial" w:hAnsi="Arial" w:eastAsia="宋体" w:cs="Times New Roman"/>
      <w:b/>
      <w:smallCaps/>
      <w:kern w:val="28"/>
      <w:sz w:val="36"/>
      <w:lang w:val="en-US" w:eastAsia="en-US" w:bidi="ar"/>
    </w:rPr>
  </w:style>
  <w:style w:type="character" w:customStyle="1" w:styleId="98">
    <w:name w:val="页眉 Char"/>
    <w:basedOn w:val="70"/>
    <w:uiPriority w:val="0"/>
    <w:rPr>
      <w:rFonts w:ascii="仿宋_GB2312" w:hAnsi="Times New Roman" w:eastAsia="仿宋_GB2312" w:cs="Times New Roman"/>
      <w:kern w:val="2"/>
      <w:sz w:val="32"/>
      <w:lang w:bidi="ar"/>
    </w:rPr>
  </w:style>
  <w:style w:type="character" w:customStyle="1" w:styleId="99">
    <w:name w:val="批注文字 字符"/>
    <w:basedOn w:val="70"/>
    <w:link w:val="13"/>
    <w:uiPriority w:val="0"/>
    <w:rPr>
      <w:rFonts w:hint="eastAsia" w:ascii="宋体" w:hAnsi="宋体" w:eastAsia="宋体" w:cs="宋体"/>
      <w:kern w:val="2"/>
      <w:sz w:val="18"/>
      <w:lang w:val="en-US" w:eastAsia="zh-CN" w:bidi="ar"/>
    </w:rPr>
  </w:style>
  <w:style w:type="character" w:customStyle="1" w:styleId="100">
    <w:name w:val="正文文本首行缩进 2 字符"/>
    <w:basedOn w:val="70"/>
    <w:link w:val="27"/>
    <w:uiPriority w:val="0"/>
    <w:rPr>
      <w:rFonts w:hint="default" w:ascii="Arial" w:hAnsi="Arial" w:eastAsia="宋体" w:cs="Times New Roman"/>
      <w:b/>
      <w:smallCaps/>
      <w:kern w:val="28"/>
      <w:sz w:val="18"/>
      <w:szCs w:val="18"/>
      <w:lang w:bidi="ar"/>
    </w:rPr>
  </w:style>
  <w:style w:type="character" w:customStyle="1" w:styleId="101">
    <w:name w:val=" Char Char24"/>
    <w:basedOn w:val="70"/>
    <w:uiPriority w:val="0"/>
    <w:rPr>
      <w:rFonts w:hint="default" w:ascii="Times New Roman" w:hAnsi="Times New Roman" w:eastAsia="仿宋_GB2312" w:cs="Times New Roman"/>
      <w:kern w:val="2"/>
      <w:sz w:val="28"/>
      <w:lang w:val="en-US" w:eastAsia="zh-CN" w:bidi="ar"/>
    </w:rPr>
  </w:style>
  <w:style w:type="character" w:customStyle="1" w:styleId="102">
    <w:name w:val="标题 5 字符"/>
    <w:basedOn w:val="70"/>
    <w:link w:val="6"/>
    <w:qFormat/>
    <w:uiPriority w:val="0"/>
    <w:rPr>
      <w:rFonts w:hint="eastAsia" w:ascii="宋体" w:hAnsi="宋体" w:eastAsia="宋体" w:cs="宋体"/>
      <w:b/>
      <w:kern w:val="2"/>
      <w:sz w:val="24"/>
      <w:szCs w:val="24"/>
      <w:lang w:val="en-US" w:eastAsia="zh-CN" w:bidi="ar"/>
    </w:rPr>
  </w:style>
  <w:style w:type="character" w:customStyle="1" w:styleId="103">
    <w:name w:val="Level 3 Head Char"/>
    <w:basedOn w:val="70"/>
    <w:uiPriority w:val="0"/>
    <w:rPr>
      <w:rFonts w:hint="eastAsia" w:ascii="宋体" w:hAnsi="宋体" w:eastAsia="宋体" w:cs="宋体"/>
      <w:color w:val="000000"/>
      <w:sz w:val="21"/>
      <w:lang w:val="en-US" w:eastAsia="zh-CN" w:bidi="ar"/>
    </w:rPr>
  </w:style>
  <w:style w:type="character" w:customStyle="1" w:styleId="104">
    <w:name w:val="普通文字 Char Char3"/>
    <w:basedOn w:val="70"/>
    <w:uiPriority w:val="0"/>
    <w:rPr>
      <w:rFonts w:hint="eastAsia" w:ascii="宋体" w:hAnsi="宋体" w:eastAsia="宋体" w:cs="Times New Roman"/>
      <w:kern w:val="2"/>
      <w:sz w:val="28"/>
      <w:lang w:bidi="ar"/>
    </w:rPr>
  </w:style>
  <w:style w:type="character" w:customStyle="1" w:styleId="105">
    <w:name w:val="Table Text Char Char Char Char Char Char"/>
    <w:basedOn w:val="70"/>
    <w:qFormat/>
    <w:uiPriority w:val="0"/>
    <w:rPr>
      <w:rFonts w:hint="default" w:ascii="Arial" w:hAnsi="Arial" w:eastAsia="宋体" w:cs="Times New Roman"/>
      <w:kern w:val="2"/>
      <w:sz w:val="18"/>
      <w:lang w:val="en-US" w:eastAsia="zh-CN" w:bidi="ar"/>
    </w:rPr>
  </w:style>
  <w:style w:type="character" w:customStyle="1" w:styleId="106">
    <w:name w:val="样式5 Char"/>
    <w:basedOn w:val="70"/>
    <w:uiPriority w:val="0"/>
    <w:rPr>
      <w:rFonts w:hint="eastAsia" w:ascii="宋体" w:hAnsi="宋体" w:eastAsia="宋体" w:cs="宋体"/>
      <w:b/>
      <w:kern w:val="2"/>
      <w:sz w:val="36"/>
      <w:szCs w:val="36"/>
      <w:lang w:val="en-US" w:eastAsia="zh-CN" w:bidi="ar"/>
    </w:rPr>
  </w:style>
  <w:style w:type="character" w:customStyle="1" w:styleId="107">
    <w:name w:val="标题 1 Char"/>
    <w:basedOn w:val="70"/>
    <w:uiPriority w:val="0"/>
    <w:rPr>
      <w:rFonts w:hint="default" w:ascii="Times New Roman" w:hAnsi="Times New Roman" w:eastAsia="黑体" w:cs="Times New Roman"/>
      <w:b/>
      <w:kern w:val="44"/>
      <w:sz w:val="32"/>
      <w:szCs w:val="44"/>
      <w:lang w:val="en-US" w:eastAsia="zh-CN" w:bidi="ar"/>
    </w:rPr>
  </w:style>
  <w:style w:type="character" w:customStyle="1" w:styleId="108">
    <w:name w:val="附件 Char Char Char"/>
    <w:basedOn w:val="70"/>
    <w:uiPriority w:val="0"/>
    <w:rPr>
      <w:rFonts w:hint="default" w:ascii="Times New Roman" w:hAnsi="Times New Roman" w:eastAsia="黑体" w:cs="Times New Roman"/>
      <w:b/>
      <w:smallCaps/>
      <w:kern w:val="2"/>
      <w:sz w:val="30"/>
      <w:lang w:val="en-US" w:eastAsia="zh-CN" w:bidi="ar"/>
    </w:rPr>
  </w:style>
  <w:style w:type="character" w:customStyle="1" w:styleId="109">
    <w:name w:val="标题 4 字符"/>
    <w:basedOn w:val="70"/>
    <w:link w:val="5"/>
    <w:uiPriority w:val="0"/>
    <w:rPr>
      <w:rFonts w:hint="default" w:ascii="Arial" w:hAnsi="Arial" w:eastAsia="黑体" w:cs="Arial"/>
      <w:b/>
      <w:kern w:val="2"/>
      <w:sz w:val="25"/>
      <w:szCs w:val="24"/>
      <w:lang w:val="en-US" w:eastAsia="zh-CN" w:bidi="ar"/>
    </w:rPr>
  </w:style>
  <w:style w:type="paragraph" w:customStyle="1" w:styleId="110">
    <w:name w:val="采购(建设）机构和时间"/>
    <w:basedOn w:val="1"/>
    <w:uiPriority w:val="0"/>
    <w:pPr>
      <w:keepNext w:val="0"/>
      <w:keepLines w:val="0"/>
      <w:widowControl/>
      <w:suppressLineNumbers w:val="0"/>
      <w:tabs>
        <w:tab w:val="left" w:pos="560"/>
      </w:tabs>
      <w:spacing w:before="0" w:beforeAutospacing="0" w:after="0" w:afterAutospacing="0" w:line="660" w:lineRule="exact"/>
      <w:ind w:left="0" w:right="0" w:firstLine="0" w:firstLineChars="0"/>
      <w:jc w:val="center"/>
    </w:pPr>
    <w:rPr>
      <w:rFonts w:hint="eastAsia" w:ascii="黑体" w:hAnsi="宋体" w:eastAsia="宋体" w:cs="Times New Roman"/>
      <w:b/>
      <w:kern w:val="2"/>
      <w:sz w:val="36"/>
      <w:szCs w:val="36"/>
      <w:lang w:val="en-US" w:eastAsia="zh-CN" w:bidi="ar"/>
    </w:rPr>
  </w:style>
  <w:style w:type="character" w:customStyle="1" w:styleId="111">
    <w:name w:val="手改 Char Char5"/>
    <w:basedOn w:val="70"/>
    <w:uiPriority w:val="0"/>
    <w:rPr>
      <w:rFonts w:hint="eastAsia" w:ascii="宋体" w:hAnsi="宋体" w:eastAsia="仿宋_GB2312" w:cs="Times New Roman"/>
      <w:kern w:val="2"/>
      <w:sz w:val="28"/>
      <w:lang w:val="en-US" w:eastAsia="en-US" w:bidi="ar"/>
    </w:rPr>
  </w:style>
  <w:style w:type="character" w:customStyle="1" w:styleId="112">
    <w:name w:val="普通文字 Char Char7"/>
    <w:basedOn w:val="70"/>
    <w:uiPriority w:val="0"/>
    <w:rPr>
      <w:rFonts w:hint="eastAsia" w:ascii="宋体" w:hAnsi="宋体" w:eastAsia="宋体" w:cs="Times New Roman"/>
      <w:kern w:val="2"/>
      <w:sz w:val="28"/>
      <w:lang w:bidi="ar"/>
    </w:rPr>
  </w:style>
  <w:style w:type="character" w:customStyle="1" w:styleId="113">
    <w:name w:val="日期 字符"/>
    <w:basedOn w:val="70"/>
    <w:link w:val="18"/>
    <w:uiPriority w:val="0"/>
    <w:rPr>
      <w:rFonts w:hint="eastAsia" w:ascii="宋体" w:hAnsi="宋体" w:eastAsia="宋体" w:cs="宋体"/>
      <w:kern w:val="2"/>
      <w:sz w:val="28"/>
      <w:szCs w:val="24"/>
      <w:lang w:val="en-US" w:eastAsia="zh-CN" w:bidi="ar"/>
    </w:rPr>
  </w:style>
  <w:style w:type="character" w:customStyle="1" w:styleId="114">
    <w:name w:val="line1"/>
    <w:basedOn w:val="70"/>
    <w:uiPriority w:val="0"/>
    <w:rPr>
      <w:rFonts w:hint="default" w:ascii="Times New Roman" w:hAnsi="Times New Roman" w:eastAsia="宋体" w:cs="Times New Roman"/>
      <w:color w:val="000000"/>
      <w:sz w:val="18"/>
      <w:szCs w:val="18"/>
    </w:rPr>
  </w:style>
  <w:style w:type="character" w:customStyle="1" w:styleId="115">
    <w:name w:val="批注文字 Char"/>
    <w:basedOn w:val="70"/>
    <w:uiPriority w:val="0"/>
    <w:rPr>
      <w:rFonts w:hint="default" w:ascii="Times New Roman" w:hAnsi="Times New Roman" w:eastAsia="宋体" w:cs="Times New Roman"/>
      <w:kern w:val="2"/>
      <w:sz w:val="18"/>
      <w:lang w:val="en-US" w:eastAsia="zh-CN" w:bidi="ar"/>
    </w:rPr>
  </w:style>
  <w:style w:type="character" w:customStyle="1" w:styleId="116">
    <w:name w:val="第一层条 Char1"/>
    <w:basedOn w:val="70"/>
    <w:uiPriority w:val="0"/>
    <w:rPr>
      <w:rFonts w:hint="eastAsia" w:ascii="宋体" w:hAnsi="宋体" w:eastAsia="黑体" w:cs="Times New Roman"/>
      <w:b/>
      <w:kern w:val="2"/>
      <w:sz w:val="28"/>
      <w:szCs w:val="24"/>
      <w:lang w:val="en-US" w:eastAsia="zh-CN" w:bidi="ar"/>
    </w:rPr>
  </w:style>
  <w:style w:type="character" w:customStyle="1" w:styleId="117">
    <w:name w:val=" Char Char3"/>
    <w:basedOn w:val="70"/>
    <w:uiPriority w:val="0"/>
    <w:rPr>
      <w:rFonts w:hint="default" w:ascii="Times New Roman" w:hAnsi="Times New Roman" w:eastAsia="宋体" w:cs="Times New Roman"/>
      <w:kern w:val="2"/>
      <w:sz w:val="18"/>
      <w:lang w:val="en-US" w:eastAsia="zh-CN"/>
    </w:rPr>
  </w:style>
  <w:style w:type="character" w:customStyle="1" w:styleId="118">
    <w:name w:val="标题 6 Char"/>
    <w:basedOn w:val="70"/>
    <w:uiPriority w:val="0"/>
    <w:rPr>
      <w:rFonts w:hint="default" w:ascii="Arial" w:hAnsi="Arial" w:eastAsia="黑体" w:cs="Times New Roman"/>
      <w:b/>
      <w:kern w:val="2"/>
      <w:sz w:val="24"/>
      <w:szCs w:val="24"/>
      <w:lang w:val="en-US" w:eastAsia="zh-CN" w:bidi="ar"/>
    </w:rPr>
  </w:style>
  <w:style w:type="character" w:customStyle="1" w:styleId="119">
    <w:name w:val=" Char Char13"/>
    <w:basedOn w:val="70"/>
    <w:uiPriority w:val="0"/>
    <w:rPr>
      <w:rFonts w:hint="default" w:ascii="Times New Roman" w:hAnsi="Times New Roman" w:eastAsia="宋体" w:cs="Times New Roman"/>
      <w:kern w:val="2"/>
      <w:sz w:val="21"/>
      <w:lang w:val="en-US" w:eastAsia="zh-CN" w:bidi="ar"/>
    </w:rPr>
  </w:style>
  <w:style w:type="character" w:customStyle="1" w:styleId="120">
    <w:name w:val="政采招标大字 Char Char Char"/>
    <w:basedOn w:val="70"/>
    <w:uiPriority w:val="0"/>
    <w:rPr>
      <w:rFonts w:hint="eastAsia" w:ascii="黑体" w:hAnsi="宋体" w:eastAsia="方正黑体_GBK" w:cs="Times New Roman"/>
      <w:b/>
      <w:kern w:val="2"/>
      <w:sz w:val="72"/>
      <w:szCs w:val="90"/>
      <w:lang w:val="en-US" w:eastAsia="zh-CN" w:bidi="ar"/>
    </w:rPr>
  </w:style>
  <w:style w:type="character" w:customStyle="1" w:styleId="121">
    <w:name w:val="标题 4(正文加粗） Char"/>
    <w:basedOn w:val="70"/>
    <w:uiPriority w:val="0"/>
    <w:rPr>
      <w:rFonts w:hint="default" w:ascii="Arial" w:hAnsi="Arial" w:eastAsia="黑体" w:cs="Times New Roman"/>
      <w:b/>
      <w:kern w:val="2"/>
      <w:sz w:val="24"/>
      <w:szCs w:val="24"/>
      <w:lang w:val="en-US" w:eastAsia="zh-CN" w:bidi="ar"/>
    </w:rPr>
  </w:style>
  <w:style w:type="character" w:customStyle="1" w:styleId="122">
    <w:name w:val="手改 Char Char1"/>
    <w:basedOn w:val="70"/>
    <w:uiPriority w:val="0"/>
    <w:rPr>
      <w:rFonts w:hint="eastAsia" w:ascii="宋体" w:hAnsi="宋体" w:eastAsia="宋体" w:cs="Times New Roman"/>
      <w:kern w:val="2"/>
      <w:sz w:val="28"/>
      <w:lang w:bidi="ar"/>
    </w:rPr>
  </w:style>
  <w:style w:type="character" w:customStyle="1" w:styleId="123">
    <w:name w:val="style31"/>
    <w:basedOn w:val="70"/>
    <w:uiPriority w:val="0"/>
    <w:rPr>
      <w:rFonts w:hint="default" w:ascii="Verdana" w:hAnsi="Verdana" w:eastAsia="仿宋_GB2312" w:cs="Times New Roman"/>
      <w:sz w:val="10"/>
      <w:szCs w:val="10"/>
      <w:lang w:val="en-US" w:eastAsia="en-US" w:bidi="ar"/>
    </w:rPr>
  </w:style>
  <w:style w:type="character" w:customStyle="1" w:styleId="124">
    <w:name w:val="标题 4(正文加粗） Char2"/>
    <w:basedOn w:val="70"/>
    <w:uiPriority w:val="0"/>
    <w:rPr>
      <w:rFonts w:hint="default" w:ascii="Arial" w:hAnsi="Arial" w:eastAsia="黑体" w:cs="Times New Roman"/>
      <w:b/>
      <w:kern w:val="2"/>
      <w:sz w:val="25"/>
      <w:szCs w:val="24"/>
      <w:lang w:val="en-US" w:eastAsia="zh-CN" w:bidi="ar"/>
    </w:rPr>
  </w:style>
  <w:style w:type="character" w:customStyle="1" w:styleId="125">
    <w:name w:val="正文首行缩进两字符 Char"/>
    <w:basedOn w:val="70"/>
    <w:uiPriority w:val="0"/>
    <w:rPr>
      <w:rFonts w:hint="default" w:ascii="Times New Roman" w:hAnsi="Times New Roman" w:eastAsia="仿宋_GB2312" w:cs="Times New Roman"/>
      <w:kern w:val="2"/>
      <w:sz w:val="21"/>
      <w:lang w:val="en-US" w:eastAsia="zh-CN" w:bidi="ar"/>
    </w:rPr>
  </w:style>
  <w:style w:type="character" w:customStyle="1" w:styleId="126">
    <w:name w:val="未命名11"/>
    <w:basedOn w:val="70"/>
    <w:uiPriority w:val="0"/>
    <w:rPr>
      <w:rFonts w:hint="default" w:ascii="Times New Roman" w:hAnsi="Times New Roman" w:eastAsia="宋体" w:cs="Times New Roman"/>
      <w:color w:val="77FFFF"/>
      <w:sz w:val="24"/>
    </w:rPr>
  </w:style>
  <w:style w:type="paragraph" w:customStyle="1" w:styleId="127">
    <w:name w:val="项目编号、项目名称"/>
    <w:basedOn w:val="1"/>
    <w:uiPriority w:val="0"/>
    <w:pPr>
      <w:keepNext w:val="0"/>
      <w:keepLines w:val="0"/>
      <w:widowControl/>
      <w:suppressLineNumbers w:val="0"/>
      <w:tabs>
        <w:tab w:val="left" w:pos="560"/>
      </w:tabs>
      <w:spacing w:before="0" w:beforeAutospacing="0" w:after="0" w:afterAutospacing="0" w:line="660" w:lineRule="exact"/>
      <w:ind w:left="0" w:right="0" w:firstLine="0" w:firstLineChars="0"/>
      <w:jc w:val="center"/>
    </w:pPr>
    <w:rPr>
      <w:rFonts w:hint="eastAsia" w:ascii="黑体" w:hAnsi="宋体" w:eastAsia="宋体" w:cs="Times New Roman"/>
      <w:b/>
      <w:kern w:val="2"/>
      <w:sz w:val="32"/>
      <w:szCs w:val="36"/>
      <w:lang w:val="en-US" w:eastAsia="zh-CN" w:bidi="ar"/>
    </w:rPr>
  </w:style>
  <w:style w:type="character" w:customStyle="1" w:styleId="128">
    <w:name w:val="crowed11"/>
    <w:basedOn w:val="70"/>
    <w:uiPriority w:val="0"/>
    <w:rPr>
      <w:rFonts w:hint="default" w:ascii="_x000B__x000C_" w:hAnsi="_x000B__x000C_" w:eastAsia="宋体" w:cs="Times New Roman"/>
      <w:sz w:val="24"/>
    </w:rPr>
  </w:style>
  <w:style w:type="character" w:customStyle="1" w:styleId="129">
    <w:name w:val=" Char Char Char Char Char Char Char Char Char Char Char Char Char Char Char"/>
    <w:basedOn w:val="70"/>
    <w:qFormat/>
    <w:uiPriority w:val="0"/>
    <w:rPr>
      <w:rFonts w:hint="eastAsia" w:ascii="宋体" w:hAnsi="宋体" w:eastAsia="宋体" w:cs="Times New Roman"/>
      <w:kern w:val="2"/>
      <w:sz w:val="24"/>
      <w:lang w:val="en-US" w:eastAsia="zh-CN" w:bidi="ar"/>
    </w:rPr>
  </w:style>
  <w:style w:type="character" w:customStyle="1" w:styleId="130">
    <w:name w:val="标题 3 Char"/>
    <w:basedOn w:val="70"/>
    <w:uiPriority w:val="0"/>
    <w:rPr>
      <w:rFonts w:hint="default" w:ascii="Verdana" w:hAnsi="Verdana" w:eastAsia="仿宋_GB2312" w:cs="Times New Roman"/>
      <w:b/>
      <w:kern w:val="2"/>
      <w:sz w:val="28"/>
      <w:lang w:val="en-US" w:eastAsia="zh-CN" w:bidi="ar"/>
    </w:rPr>
  </w:style>
  <w:style w:type="character" w:customStyle="1" w:styleId="131">
    <w:name w:val=" Char Char43"/>
    <w:basedOn w:val="70"/>
    <w:uiPriority w:val="0"/>
    <w:rPr>
      <w:rFonts w:hint="eastAsia" w:ascii="宋体" w:hAnsi="宋体" w:eastAsia="黑体" w:cs="Times New Roman"/>
      <w:b/>
      <w:kern w:val="2"/>
      <w:sz w:val="28"/>
      <w:szCs w:val="24"/>
      <w:lang w:val="en-US" w:eastAsia="zh-CN" w:bidi="ar"/>
    </w:rPr>
  </w:style>
  <w:style w:type="character" w:customStyle="1" w:styleId="132">
    <w:name w:val="批注主题 字符"/>
    <w:basedOn w:val="70"/>
    <w:link w:val="25"/>
    <w:uiPriority w:val="0"/>
    <w:rPr>
      <w:rFonts w:hint="default" w:ascii="Verdana" w:hAnsi="Verdana" w:eastAsia="仿宋_GB2312" w:cs="Verdana"/>
      <w:b/>
      <w:kern w:val="2"/>
      <w:sz w:val="28"/>
      <w:szCs w:val="24"/>
      <w:lang w:val="en-US" w:eastAsia="zh-CN" w:bidi="ar"/>
    </w:rPr>
  </w:style>
  <w:style w:type="character" w:customStyle="1" w:styleId="133">
    <w:name w:val="样品清单 Char Char"/>
    <w:basedOn w:val="70"/>
    <w:uiPriority w:val="0"/>
    <w:rPr>
      <w:rFonts w:hint="eastAsia" w:ascii="宋体" w:hAnsi="宋体" w:eastAsia="宋体" w:cs="宋体"/>
      <w:b/>
      <w:kern w:val="2"/>
      <w:sz w:val="28"/>
      <w:szCs w:val="24"/>
      <w:lang w:val="en-US" w:eastAsia="zh-CN" w:bidi="ar"/>
    </w:rPr>
  </w:style>
  <w:style w:type="character" w:customStyle="1" w:styleId="134">
    <w:name w:val="正文（GB2312加粗） Char"/>
    <w:basedOn w:val="70"/>
    <w:qFormat/>
    <w:uiPriority w:val="0"/>
    <w:rPr>
      <w:rFonts w:hint="default" w:ascii="Times New Roman" w:hAnsi="Times New Roman" w:eastAsia="仿宋_GB2312" w:cs="Times New Roman"/>
      <w:b/>
      <w:kern w:val="2"/>
      <w:sz w:val="24"/>
      <w:szCs w:val="24"/>
      <w:lang w:val="en-US" w:eastAsia="zh-CN" w:bidi="ar"/>
    </w:rPr>
  </w:style>
  <w:style w:type="paragraph" w:customStyle="1" w:styleId="135">
    <w:name w:val="授权书和信息卡行距"/>
    <w:basedOn w:val="1"/>
    <w:uiPriority w:val="0"/>
    <w:pPr>
      <w:keepNext w:val="0"/>
      <w:keepLines w:val="0"/>
      <w:widowControl/>
      <w:suppressLineNumbers w:val="0"/>
      <w:spacing w:before="0" w:beforeAutospacing="0" w:after="0" w:afterAutospacing="0" w:line="560" w:lineRule="exact"/>
      <w:ind w:left="200" w:right="0" w:hanging="200" w:hangingChars="200"/>
      <w:jc w:val="left"/>
    </w:pPr>
    <w:rPr>
      <w:rFonts w:hint="default" w:ascii="Times New Roman" w:hAnsi="Times New Roman" w:eastAsia="仿宋_GB2312" w:cs="Times New Roman"/>
      <w:kern w:val="2"/>
      <w:sz w:val="24"/>
      <w:szCs w:val="24"/>
      <w:lang w:val="en-US" w:eastAsia="zh-CN" w:bidi="ar"/>
    </w:rPr>
  </w:style>
  <w:style w:type="character" w:customStyle="1" w:styleId="136">
    <w:name w:val="文档结构图 Char"/>
    <w:basedOn w:val="70"/>
    <w:uiPriority w:val="0"/>
    <w:rPr>
      <w:rFonts w:hint="default" w:ascii="Times New Roman" w:hAnsi="Times New Roman" w:eastAsia="仿宋_GB2312" w:cs="Times New Roman"/>
      <w:kern w:val="2"/>
      <w:sz w:val="28"/>
      <w:szCs w:val="24"/>
      <w:lang w:val="en-US" w:eastAsia="zh-CN" w:bidi="ar"/>
    </w:rPr>
  </w:style>
  <w:style w:type="character" w:customStyle="1" w:styleId="137">
    <w:name w:val="正文文字4 Char Char2"/>
    <w:basedOn w:val="70"/>
    <w:qFormat/>
    <w:uiPriority w:val="0"/>
    <w:rPr>
      <w:rFonts w:hint="default" w:ascii="Arial" w:hAnsi="Arial" w:eastAsia="宋体" w:cs="Times New Roman"/>
      <w:b/>
      <w:smallCaps/>
      <w:kern w:val="28"/>
      <w:sz w:val="36"/>
      <w:lang w:val="en-US" w:eastAsia="en-US" w:bidi="ar"/>
    </w:rPr>
  </w:style>
  <w:style w:type="character" w:customStyle="1" w:styleId="138">
    <w:name w:val="政采招标大字 Char"/>
    <w:basedOn w:val="70"/>
    <w:link w:val="139"/>
    <w:uiPriority w:val="0"/>
    <w:rPr>
      <w:rFonts w:hint="eastAsia" w:ascii="黑体" w:hAnsi="宋体" w:eastAsia="方正黑体_GBK" w:cs="黑体"/>
      <w:b/>
      <w:kern w:val="2"/>
      <w:sz w:val="72"/>
      <w:szCs w:val="90"/>
      <w:lang w:val="en-US" w:eastAsia="zh-CN" w:bidi="ar"/>
    </w:rPr>
  </w:style>
  <w:style w:type="paragraph" w:customStyle="1" w:styleId="139">
    <w:name w:val="政采招标大字"/>
    <w:basedOn w:val="1"/>
    <w:link w:val="138"/>
    <w:uiPriority w:val="0"/>
    <w:pPr>
      <w:keepNext w:val="0"/>
      <w:keepLines w:val="0"/>
      <w:widowControl/>
      <w:suppressLineNumbers w:val="0"/>
      <w:spacing w:before="0" w:beforeAutospacing="0" w:after="0" w:afterAutospacing="0" w:line="1600" w:lineRule="exact"/>
      <w:ind w:left="0" w:right="0" w:firstLine="0" w:firstLineChars="0"/>
      <w:jc w:val="center"/>
    </w:pPr>
    <w:rPr>
      <w:rFonts w:hint="eastAsia" w:ascii="黑体" w:hAnsi="宋体" w:eastAsia="方正黑体_GBK" w:cs="Times New Roman"/>
      <w:b/>
      <w:kern w:val="2"/>
      <w:sz w:val="72"/>
      <w:szCs w:val="90"/>
      <w:lang w:val="en-US" w:eastAsia="zh-CN" w:bidi="ar"/>
    </w:rPr>
  </w:style>
  <w:style w:type="character" w:customStyle="1" w:styleId="140">
    <w:name w:val="正文文本首行缩进 字符"/>
    <w:basedOn w:val="70"/>
    <w:link w:val="26"/>
    <w:uiPriority w:val="0"/>
    <w:rPr>
      <w:rFonts w:hint="eastAsia" w:ascii="宋体" w:hAnsi="宋体" w:eastAsia="仿宋_GB2312" w:cs="Times New Roman"/>
      <w:kern w:val="2"/>
      <w:sz w:val="24"/>
      <w:szCs w:val="24"/>
      <w:lang w:val="en-US" w:eastAsia="zh-CN" w:bidi="ar"/>
    </w:rPr>
  </w:style>
  <w:style w:type="character" w:customStyle="1" w:styleId="141">
    <w:name w:val="开评标用项目名称 Char"/>
    <w:basedOn w:val="107"/>
    <w:uiPriority w:val="0"/>
    <w:rPr>
      <w:rFonts w:hint="default" w:ascii="Times New Roman" w:hAnsi="Times New Roman" w:eastAsia="宋体" w:cs="Times New Roman"/>
      <w:kern w:val="44"/>
      <w:sz w:val="32"/>
      <w:szCs w:val="44"/>
      <w:lang w:val="en-US" w:eastAsia="zh-CN" w:bidi="ar"/>
    </w:rPr>
  </w:style>
  <w:style w:type="character" w:customStyle="1" w:styleId="142">
    <w:name w:val="0d1471"/>
    <w:basedOn w:val="70"/>
    <w:uiPriority w:val="0"/>
    <w:rPr>
      <w:rFonts w:hint="default" w:ascii="Verdana" w:hAnsi="Verdana" w:eastAsia="仿宋_GB2312" w:cs="Times New Roman"/>
      <w:color w:val="000000"/>
      <w:sz w:val="11"/>
      <w:szCs w:val="11"/>
      <w:u w:val="none"/>
      <w:lang w:val="en-US" w:eastAsia="en-US" w:bidi="ar"/>
    </w:rPr>
  </w:style>
  <w:style w:type="character" w:customStyle="1" w:styleId="143">
    <w:name w:val="文档结构图 字符"/>
    <w:basedOn w:val="70"/>
    <w:link w:val="12"/>
    <w:uiPriority w:val="0"/>
    <w:rPr>
      <w:rFonts w:hint="eastAsia" w:ascii="宋体" w:hAnsi="宋体" w:eastAsia="宋体" w:cs="宋体"/>
      <w:kern w:val="2"/>
      <w:sz w:val="28"/>
      <w:szCs w:val="24"/>
      <w:lang w:val="en-US" w:eastAsia="zh-CN" w:bidi="ar"/>
    </w:rPr>
  </w:style>
  <w:style w:type="character" w:customStyle="1" w:styleId="144">
    <w:name w:val="style21"/>
    <w:basedOn w:val="70"/>
    <w:qFormat/>
    <w:uiPriority w:val="0"/>
    <w:rPr>
      <w:rFonts w:hint="default" w:ascii="Verdana" w:hAnsi="Verdana" w:eastAsia="仿宋_GB2312" w:cs="Times New Roman"/>
      <w:b/>
      <w:sz w:val="28"/>
      <w:szCs w:val="28"/>
      <w:lang w:val="en-US" w:eastAsia="en-US" w:bidi="ar"/>
    </w:rPr>
  </w:style>
  <w:style w:type="character" w:customStyle="1" w:styleId="145">
    <w:name w:val="标题 8 字符"/>
    <w:basedOn w:val="70"/>
    <w:link w:val="9"/>
    <w:uiPriority w:val="0"/>
    <w:rPr>
      <w:rFonts w:hint="default" w:ascii="Arial" w:hAnsi="Arial" w:eastAsia="黑体" w:cs="Arial"/>
      <w:b/>
      <w:kern w:val="2"/>
      <w:sz w:val="24"/>
      <w:szCs w:val="24"/>
      <w:lang w:val="en-US" w:eastAsia="zh-CN" w:bidi="ar"/>
    </w:rPr>
  </w:style>
  <w:style w:type="character" w:customStyle="1" w:styleId="146">
    <w:name w:val="ss16"/>
    <w:basedOn w:val="70"/>
    <w:qFormat/>
    <w:uiPriority w:val="0"/>
    <w:rPr>
      <w:rFonts w:hint="eastAsia" w:ascii="宋体" w:hAnsi="宋体" w:eastAsia="宋体" w:cs="Times New Roman"/>
      <w:color w:val="000000"/>
      <w:sz w:val="9"/>
      <w:szCs w:val="9"/>
      <w:lang w:val="en-US" w:eastAsia="en-US" w:bidi="ar"/>
    </w:rPr>
  </w:style>
  <w:style w:type="character" w:customStyle="1" w:styleId="147">
    <w:name w:val="正文缩进 字符"/>
    <w:basedOn w:val="70"/>
    <w:link w:val="11"/>
    <w:uiPriority w:val="0"/>
    <w:rPr>
      <w:rFonts w:hint="eastAsia" w:ascii="宋体" w:hAnsi="宋体" w:eastAsia="宋体" w:cs="宋体"/>
      <w:kern w:val="2"/>
      <w:sz w:val="24"/>
      <w:szCs w:val="24"/>
      <w:lang w:val="en-US" w:eastAsia="zh-CN" w:bidi="ar"/>
    </w:rPr>
  </w:style>
  <w:style w:type="character" w:customStyle="1" w:styleId="148">
    <w:name w:val="docpro"/>
    <w:basedOn w:val="70"/>
    <w:uiPriority w:val="0"/>
    <w:rPr>
      <w:rFonts w:hint="default" w:ascii="Times New Roman" w:hAnsi="Times New Roman" w:eastAsia="宋体" w:cs="Times New Roman"/>
      <w:sz w:val="24"/>
      <w:lang w:val="en-US" w:eastAsia="en-US" w:bidi="ar"/>
    </w:rPr>
  </w:style>
  <w:style w:type="character" w:customStyle="1" w:styleId="149">
    <w:name w:val="Table Heading Char Char"/>
    <w:basedOn w:val="70"/>
    <w:uiPriority w:val="0"/>
    <w:rPr>
      <w:rFonts w:hint="default" w:ascii="Arial" w:hAnsi="Arial" w:eastAsia="黑体" w:cs="Times New Roman"/>
      <w:kern w:val="2"/>
      <w:sz w:val="18"/>
      <w:lang w:val="en-US" w:eastAsia="zh-CN"/>
    </w:rPr>
  </w:style>
  <w:style w:type="character" w:customStyle="1" w:styleId="150">
    <w:name w:val=" Char Char22"/>
    <w:basedOn w:val="70"/>
    <w:uiPriority w:val="0"/>
    <w:rPr>
      <w:rFonts w:hint="default" w:ascii="Times New Roman" w:hAnsi="Times New Roman" w:eastAsia="宋体" w:cs="Times New Roman"/>
      <w:kern w:val="2"/>
      <w:sz w:val="18"/>
      <w:szCs w:val="18"/>
    </w:rPr>
  </w:style>
  <w:style w:type="character" w:customStyle="1" w:styleId="151">
    <w:name w:val="l1"/>
    <w:basedOn w:val="70"/>
    <w:uiPriority w:val="0"/>
    <w:rPr>
      <w:rFonts w:hint="default" w:ascii="Times New Roman" w:hAnsi="Times New Roman" w:eastAsia="宋体" w:cs="Times New Roman"/>
      <w:sz w:val="24"/>
      <w:lang w:val="en-US" w:eastAsia="en-US" w:bidi="ar"/>
    </w:rPr>
  </w:style>
  <w:style w:type="character" w:customStyle="1" w:styleId="152">
    <w:name w:val="批注框文本 字符"/>
    <w:basedOn w:val="70"/>
    <w:link w:val="19"/>
    <w:uiPriority w:val="0"/>
    <w:rPr>
      <w:rFonts w:hint="eastAsia" w:ascii="宋体" w:hAnsi="宋体" w:eastAsia="宋体" w:cs="宋体"/>
      <w:kern w:val="2"/>
      <w:sz w:val="24"/>
      <w:lang w:val="en-US" w:eastAsia="zh-CN" w:bidi="ar"/>
    </w:rPr>
  </w:style>
  <w:style w:type="character" w:customStyle="1" w:styleId="153">
    <w:name w:val="正文文字4 Char Char5"/>
    <w:basedOn w:val="70"/>
    <w:uiPriority w:val="0"/>
    <w:rPr>
      <w:rFonts w:hint="default" w:ascii="Arial" w:hAnsi="Arial" w:eastAsia="宋体" w:cs="Times New Roman"/>
      <w:b/>
      <w:smallCaps/>
      <w:kern w:val="28"/>
      <w:sz w:val="36"/>
      <w:lang w:val="en-US" w:eastAsia="en-US" w:bidi="ar"/>
    </w:rPr>
  </w:style>
  <w:style w:type="character" w:customStyle="1" w:styleId="154">
    <w:name w:val="正文文本 3 Char"/>
    <w:basedOn w:val="70"/>
    <w:uiPriority w:val="0"/>
    <w:rPr>
      <w:rFonts w:hint="default" w:ascii="Times New Roman" w:hAnsi="Times New Roman" w:eastAsia="仿宋_GB2312" w:cs="Times New Roman"/>
      <w:kern w:val="2"/>
      <w:sz w:val="16"/>
      <w:szCs w:val="24"/>
      <w:lang w:val="en-US" w:eastAsia="zh-CN" w:bidi="ar"/>
    </w:rPr>
  </w:style>
  <w:style w:type="character" w:customStyle="1" w:styleId="155">
    <w:name w:val="正文文本缩进 3 Char"/>
    <w:basedOn w:val="70"/>
    <w:uiPriority w:val="0"/>
    <w:rPr>
      <w:rFonts w:hint="default" w:ascii="Times New Roman" w:hAnsi="Times New Roman" w:eastAsia="仿宋_GB2312" w:cs="Times New Roman"/>
      <w:kern w:val="2"/>
      <w:sz w:val="16"/>
      <w:szCs w:val="16"/>
      <w:lang w:val="en-US" w:eastAsia="zh-CN" w:bidi="ar"/>
    </w:rPr>
  </w:style>
  <w:style w:type="character" w:customStyle="1" w:styleId="156">
    <w:name w:val="n-grey"/>
    <w:basedOn w:val="70"/>
    <w:uiPriority w:val="0"/>
    <w:rPr>
      <w:rFonts w:hint="default" w:ascii="Times New Roman" w:hAnsi="Times New Roman" w:eastAsia="宋体" w:cs="Times New Roman"/>
      <w:sz w:val="24"/>
      <w:lang w:val="en-US" w:eastAsia="en-US" w:bidi="ar"/>
    </w:rPr>
  </w:style>
  <w:style w:type="paragraph" w:customStyle="1" w:styleId="157">
    <w:name w:val="附件"/>
    <w:basedOn w:val="1"/>
    <w:next w:val="1"/>
    <w:link w:val="178"/>
    <w:uiPriority w:val="0"/>
    <w:pPr>
      <w:keepNext w:val="0"/>
      <w:keepLines w:val="0"/>
      <w:widowControl/>
      <w:suppressLineNumbers w:val="0"/>
      <w:tabs>
        <w:tab w:val="right" w:leader="dot" w:pos="9402"/>
      </w:tabs>
      <w:spacing w:before="0" w:beforeAutospacing="0" w:after="0" w:afterAutospacing="0" w:line="400" w:lineRule="exact"/>
      <w:ind w:left="0" w:right="0" w:firstLine="0" w:firstLineChars="0"/>
      <w:jc w:val="center"/>
      <w:outlineLvl w:val="0"/>
    </w:pPr>
    <w:rPr>
      <w:rFonts w:hint="default" w:ascii="Times New Roman" w:hAnsi="Times New Roman" w:eastAsia="方正黑体_GBK" w:cs="Times New Roman"/>
      <w:b/>
      <w:smallCaps/>
      <w:kern w:val="2"/>
      <w:sz w:val="28"/>
      <w:szCs w:val="20"/>
      <w:lang w:val="en-US" w:eastAsia="zh-CN" w:bidi="ar"/>
    </w:rPr>
  </w:style>
  <w:style w:type="paragraph" w:customStyle="1" w:styleId="158">
    <w:name w:val="项目编号、名称"/>
    <w:basedOn w:val="1"/>
    <w:uiPriority w:val="0"/>
    <w:pPr>
      <w:keepNext w:val="0"/>
      <w:keepLines w:val="0"/>
      <w:widowControl/>
      <w:suppressLineNumbers w:val="0"/>
      <w:tabs>
        <w:tab w:val="left" w:pos="560"/>
      </w:tabs>
      <w:spacing w:before="0" w:beforeAutospacing="0" w:after="0" w:afterAutospacing="0" w:line="660" w:lineRule="exact"/>
      <w:ind w:left="0" w:right="0" w:firstLine="200" w:firstLineChars="200"/>
      <w:jc w:val="center"/>
    </w:pPr>
    <w:rPr>
      <w:rFonts w:hint="eastAsia" w:ascii="黑体" w:hAnsi="宋体" w:eastAsia="宋体" w:cs="Times New Roman"/>
      <w:b/>
      <w:kern w:val="2"/>
      <w:sz w:val="36"/>
      <w:szCs w:val="36"/>
      <w:lang w:val="en-US" w:eastAsia="zh-CN" w:bidi="ar"/>
    </w:rPr>
  </w:style>
  <w:style w:type="character" w:customStyle="1" w:styleId="159">
    <w:name w:val="top-det1"/>
    <w:basedOn w:val="70"/>
    <w:uiPriority w:val="0"/>
    <w:rPr>
      <w:rFonts w:hint="default" w:ascii="Times New Roman" w:hAnsi="Times New Roman" w:eastAsia="宋体" w:cs="Times New Roman"/>
      <w:b/>
      <w:color w:val="000000"/>
    </w:rPr>
  </w:style>
  <w:style w:type="character" w:customStyle="1" w:styleId="160">
    <w:name w:val="Table Text Char Char Char Char"/>
    <w:basedOn w:val="70"/>
    <w:uiPriority w:val="0"/>
    <w:rPr>
      <w:rFonts w:hint="default" w:ascii="Arial" w:hAnsi="Arial" w:cs="Arial"/>
      <w:kern w:val="2"/>
      <w:sz w:val="18"/>
      <w:lang w:val="en-US" w:eastAsia="zh-CN" w:bidi="ar"/>
    </w:rPr>
  </w:style>
  <w:style w:type="character" w:customStyle="1" w:styleId="161">
    <w:name w:val="标题 9 字符"/>
    <w:basedOn w:val="70"/>
    <w:link w:val="10"/>
    <w:uiPriority w:val="0"/>
    <w:rPr>
      <w:rFonts w:hint="default" w:ascii="Arial" w:hAnsi="Arial" w:eastAsia="黑体" w:cs="Arial"/>
      <w:b/>
      <w:kern w:val="2"/>
      <w:sz w:val="24"/>
      <w:szCs w:val="24"/>
      <w:lang w:val="en-US" w:eastAsia="zh-CN" w:bidi="ar"/>
    </w:rPr>
  </w:style>
  <w:style w:type="character" w:customStyle="1" w:styleId="162">
    <w:name w:val="标题 3 字符"/>
    <w:basedOn w:val="70"/>
    <w:link w:val="4"/>
    <w:uiPriority w:val="0"/>
    <w:rPr>
      <w:rFonts w:ascii="仿宋_GB2312" w:eastAsia="仿宋_GB2312" w:cs="仿宋_GB2312"/>
      <w:b/>
      <w:kern w:val="2"/>
      <w:sz w:val="32"/>
      <w:szCs w:val="32"/>
      <w:lang w:val="en-US" w:eastAsia="zh-CN" w:bidi="ar"/>
    </w:rPr>
  </w:style>
  <w:style w:type="character" w:customStyle="1" w:styleId="163">
    <w:name w:val="普通文字 Char Char6"/>
    <w:basedOn w:val="70"/>
    <w:uiPriority w:val="0"/>
    <w:rPr>
      <w:rFonts w:hint="eastAsia" w:ascii="宋体" w:hAnsi="宋体" w:eastAsia="宋体" w:cs="Times New Roman"/>
      <w:kern w:val="2"/>
      <w:sz w:val="28"/>
      <w:lang w:bidi="ar"/>
    </w:rPr>
  </w:style>
  <w:style w:type="character" w:customStyle="1" w:styleId="164">
    <w:name w:val="政采招标大字 Char Char"/>
    <w:basedOn w:val="70"/>
    <w:uiPriority w:val="0"/>
    <w:rPr>
      <w:rFonts w:hint="eastAsia" w:ascii="黑体" w:hAnsi="宋体" w:eastAsia="黑体" w:cs="Times New Roman"/>
      <w:b/>
      <w:kern w:val="2"/>
      <w:sz w:val="90"/>
      <w:szCs w:val="90"/>
      <w:lang w:val="en-US" w:eastAsia="zh-CN" w:bidi="ar"/>
    </w:rPr>
  </w:style>
  <w:style w:type="character" w:customStyle="1" w:styleId="165">
    <w:name w:val="页眉 字符"/>
    <w:basedOn w:val="70"/>
    <w:link w:val="21"/>
    <w:qFormat/>
    <w:uiPriority w:val="0"/>
    <w:rPr>
      <w:rFonts w:ascii="仿宋_GB2312" w:eastAsia="仿宋_GB2312" w:cs="仿宋_GB2312"/>
      <w:kern w:val="2"/>
      <w:sz w:val="32"/>
      <w:lang w:bidi="ar"/>
    </w:rPr>
  </w:style>
  <w:style w:type="character" w:customStyle="1" w:styleId="166">
    <w:name w:val="页脚 字符"/>
    <w:basedOn w:val="70"/>
    <w:link w:val="20"/>
    <w:uiPriority w:val="0"/>
    <w:rPr>
      <w:rFonts w:hint="eastAsia" w:ascii="宋体" w:hAnsi="宋体" w:eastAsia="宋体" w:cs="宋体"/>
      <w:b/>
      <w:kern w:val="2"/>
      <w:sz w:val="21"/>
      <w:lang w:val="en-US" w:eastAsia="zh-CN" w:bidi="ar"/>
    </w:rPr>
  </w:style>
  <w:style w:type="paragraph" w:customStyle="1" w:styleId="167">
    <w:name w:val="标书封面项目名称编号单位等"/>
    <w:basedOn w:val="1"/>
    <w:uiPriority w:val="0"/>
    <w:pPr>
      <w:keepNext w:val="0"/>
      <w:keepLines w:val="0"/>
      <w:widowControl/>
      <w:suppressLineNumbers w:val="0"/>
      <w:tabs>
        <w:tab w:val="left" w:pos="560"/>
      </w:tabs>
      <w:spacing w:before="0" w:beforeAutospacing="0" w:after="0" w:afterAutospacing="0" w:line="660" w:lineRule="exact"/>
      <w:ind w:left="0" w:right="0" w:firstLine="0" w:firstLineChars="0"/>
      <w:jc w:val="left"/>
    </w:pPr>
    <w:rPr>
      <w:rFonts w:hint="eastAsia" w:ascii="黑体" w:hAnsi="宋体" w:eastAsia="宋体" w:cs="Times New Roman"/>
      <w:b/>
      <w:kern w:val="2"/>
      <w:sz w:val="32"/>
      <w:szCs w:val="36"/>
      <w:lang w:val="en-US" w:eastAsia="zh-CN" w:bidi="ar"/>
    </w:rPr>
  </w:style>
  <w:style w:type="character" w:customStyle="1" w:styleId="168">
    <w:name w:val=" Char Char42"/>
    <w:basedOn w:val="70"/>
    <w:qFormat/>
    <w:uiPriority w:val="0"/>
    <w:rPr>
      <w:rFonts w:hint="default" w:ascii="Times New Roman" w:hAnsi="Times New Roman" w:eastAsia="黑体" w:cs="Times New Roman"/>
      <w:b/>
      <w:kern w:val="44"/>
      <w:sz w:val="32"/>
      <w:szCs w:val="44"/>
      <w:lang w:val="en-US" w:eastAsia="zh-CN" w:bidi="ar"/>
    </w:rPr>
  </w:style>
  <w:style w:type="character" w:customStyle="1" w:styleId="169">
    <w:name w:val="标题 1 字符"/>
    <w:basedOn w:val="70"/>
    <w:link w:val="2"/>
    <w:uiPriority w:val="0"/>
    <w:rPr>
      <w:rFonts w:hint="eastAsia" w:ascii="黑体" w:hAnsi="宋体" w:eastAsia="黑体" w:cs="黑体"/>
      <w:b/>
      <w:kern w:val="44"/>
      <w:sz w:val="32"/>
      <w:szCs w:val="44"/>
      <w:lang w:val="en-US" w:eastAsia="zh-CN" w:bidi="ar"/>
    </w:rPr>
  </w:style>
  <w:style w:type="character" w:customStyle="1" w:styleId="170">
    <w:name w:val="标题 2 字符"/>
    <w:basedOn w:val="70"/>
    <w:link w:val="3"/>
    <w:uiPriority w:val="0"/>
    <w:rPr>
      <w:rFonts w:hint="eastAsia" w:ascii="宋体" w:hAnsi="宋体" w:eastAsia="黑体" w:cs="宋体"/>
      <w:b/>
      <w:kern w:val="2"/>
      <w:sz w:val="30"/>
      <w:szCs w:val="24"/>
      <w:lang w:val="en-US" w:eastAsia="zh-CN" w:bidi="ar"/>
    </w:rPr>
  </w:style>
  <w:style w:type="character" w:customStyle="1" w:styleId="171">
    <w:name w:val="标题 8 Char"/>
    <w:basedOn w:val="70"/>
    <w:uiPriority w:val="0"/>
    <w:rPr>
      <w:rFonts w:hint="default" w:ascii="Arial" w:hAnsi="Arial" w:eastAsia="黑体" w:cs="Times New Roman"/>
      <w:b/>
      <w:kern w:val="2"/>
      <w:sz w:val="24"/>
      <w:szCs w:val="24"/>
      <w:lang w:val="en-US" w:eastAsia="zh-CN" w:bidi="ar"/>
    </w:rPr>
  </w:style>
  <w:style w:type="paragraph" w:customStyle="1" w:styleId="172">
    <w:name w:val="Body Text First Indent 2"/>
    <w:uiPriority w:val="0"/>
    <w:pPr>
      <w:keepNext w:val="0"/>
      <w:keepLines w:val="0"/>
      <w:widowControl/>
      <w:suppressLineNumbers w:val="0"/>
      <w:spacing w:before="0" w:beforeAutospacing="0" w:after="0" w:afterAutospacing="0" w:line="320" w:lineRule="exact"/>
      <w:ind w:left="0" w:right="0" w:firstLine="200" w:firstLineChars="200"/>
      <w:jc w:val="left"/>
    </w:pPr>
    <w:rPr>
      <w:rFonts w:hint="default" w:ascii="Times New Roman" w:hAnsi="Times New Roman" w:eastAsia="宋体" w:cs="Times New Roman"/>
      <w:kern w:val="2"/>
      <w:sz w:val="32"/>
      <w:szCs w:val="24"/>
      <w:lang w:val="en-US" w:eastAsia="zh-CN" w:bidi="ar"/>
    </w:rPr>
  </w:style>
  <w:style w:type="character" w:customStyle="1" w:styleId="173">
    <w:name w:val="正文文字4 Char Char1"/>
    <w:basedOn w:val="70"/>
    <w:uiPriority w:val="0"/>
    <w:rPr>
      <w:rFonts w:hint="default" w:ascii="Arial" w:hAnsi="Arial" w:eastAsia="宋体" w:cs="Times New Roman"/>
      <w:b/>
      <w:smallCaps/>
      <w:kern w:val="28"/>
      <w:sz w:val="36"/>
      <w:lang w:val="en-US" w:eastAsia="en-US" w:bidi="ar"/>
    </w:rPr>
  </w:style>
  <w:style w:type="character" w:customStyle="1" w:styleId="174">
    <w:name w:val="正文文本 字符"/>
    <w:basedOn w:val="70"/>
    <w:link w:val="15"/>
    <w:uiPriority w:val="0"/>
    <w:rPr>
      <w:rFonts w:hint="eastAsia" w:ascii="宋体" w:hAnsi="宋体" w:eastAsia="仿宋_GB2312" w:cs="宋体"/>
      <w:kern w:val="2"/>
      <w:sz w:val="28"/>
      <w:lang w:val="en-US" w:eastAsia="en-US" w:bidi="ar"/>
    </w:rPr>
  </w:style>
  <w:style w:type="character" w:customStyle="1" w:styleId="175">
    <w:name w:val="14t1"/>
    <w:basedOn w:val="70"/>
    <w:uiPriority w:val="0"/>
    <w:rPr>
      <w:rFonts w:hint="eastAsia" w:ascii="宋体" w:hAnsi="宋体" w:eastAsia="宋体" w:cs="Times New Roman"/>
      <w:sz w:val="11"/>
      <w:szCs w:val="11"/>
      <w:lang w:val="en-US" w:eastAsia="en-US" w:bidi="ar"/>
    </w:rPr>
  </w:style>
  <w:style w:type="character" w:customStyle="1" w:styleId="176">
    <w:name w:val="批注框文本 Char"/>
    <w:basedOn w:val="70"/>
    <w:uiPriority w:val="0"/>
    <w:rPr>
      <w:rFonts w:hint="eastAsia" w:ascii="宋体" w:hAnsi="宋体" w:eastAsia="宋体" w:cs="Times New Roman"/>
      <w:kern w:val="2"/>
      <w:sz w:val="24"/>
      <w:lang w:val="en-US" w:eastAsia="zh-CN" w:bidi="ar"/>
    </w:rPr>
  </w:style>
  <w:style w:type="paragraph" w:customStyle="1" w:styleId="177">
    <w:name w:val="身份证明授权委托投标函等行距"/>
    <w:basedOn w:val="1"/>
    <w:uiPriority w:val="0"/>
    <w:pPr>
      <w:keepNext w:val="0"/>
      <w:keepLines w:val="0"/>
      <w:widowControl/>
      <w:suppressLineNumbers w:val="0"/>
      <w:spacing w:before="0" w:beforeAutospacing="0" w:after="0" w:afterAutospacing="0" w:line="560" w:lineRule="exact"/>
      <w:ind w:left="0" w:right="0" w:firstLine="200" w:firstLineChars="200"/>
      <w:jc w:val="left"/>
    </w:pPr>
    <w:rPr>
      <w:rFonts w:hint="default" w:ascii="Times New Roman" w:hAnsi="Times New Roman" w:eastAsia="仿宋_GB2312" w:cs="Times New Roman"/>
      <w:kern w:val="2"/>
      <w:sz w:val="24"/>
      <w:szCs w:val="24"/>
      <w:lang w:val="en-US" w:eastAsia="zh-CN" w:bidi="ar"/>
    </w:rPr>
  </w:style>
  <w:style w:type="character" w:customStyle="1" w:styleId="178">
    <w:name w:val="附件 Char Char"/>
    <w:basedOn w:val="70"/>
    <w:link w:val="157"/>
    <w:uiPriority w:val="0"/>
    <w:rPr>
      <w:rFonts w:ascii="方正黑体_GBK" w:hAnsi="方正黑体_GBK" w:eastAsia="方正黑体_GBK" w:cs="方正黑体_GBK"/>
      <w:b/>
      <w:smallCaps/>
      <w:kern w:val="2"/>
      <w:sz w:val="28"/>
      <w:lang w:val="en-US" w:eastAsia="zh-CN" w:bidi="ar"/>
    </w:rPr>
  </w:style>
  <w:style w:type="character" w:customStyle="1" w:styleId="179">
    <w:name w:val=" Char Char18"/>
    <w:basedOn w:val="70"/>
    <w:uiPriority w:val="0"/>
    <w:rPr>
      <w:rFonts w:hint="default" w:ascii="Times New Roman" w:hAnsi="Times New Roman" w:eastAsia="宋体" w:cs="Times New Roman"/>
      <w:kern w:val="2"/>
      <w:sz w:val="28"/>
    </w:rPr>
  </w:style>
  <w:style w:type="character" w:customStyle="1" w:styleId="180">
    <w:name w:val="标题 2 Char Char"/>
    <w:basedOn w:val="70"/>
    <w:qFormat/>
    <w:uiPriority w:val="0"/>
    <w:rPr>
      <w:rFonts w:hint="default" w:ascii="Cambria" w:hAnsi="Cambria" w:eastAsia="宋体" w:cs="Times New Roman"/>
      <w:b/>
      <w:kern w:val="2"/>
      <w:sz w:val="32"/>
      <w:szCs w:val="32"/>
    </w:rPr>
  </w:style>
  <w:style w:type="paragraph" w:customStyle="1" w:styleId="181">
    <w:name w:val="保证金信息卡行距及首行不空格"/>
    <w:basedOn w:val="1"/>
    <w:uiPriority w:val="0"/>
    <w:pPr>
      <w:keepNext w:val="0"/>
      <w:keepLines w:val="0"/>
      <w:widowControl/>
      <w:suppressLineNumbers w:val="0"/>
      <w:spacing w:before="0" w:beforeAutospacing="0" w:after="0" w:afterAutospacing="0" w:line="560" w:lineRule="exact"/>
      <w:ind w:left="0" w:right="0" w:firstLine="0" w:firstLineChars="0"/>
      <w:jc w:val="left"/>
    </w:pPr>
    <w:rPr>
      <w:rFonts w:hint="eastAsia" w:ascii="黑体" w:hAnsi="宋体" w:eastAsia="仿宋_GB2312" w:cs="Times New Roman"/>
      <w:kern w:val="2"/>
      <w:sz w:val="24"/>
      <w:szCs w:val="90"/>
      <w:lang w:val="en-US" w:eastAsia="zh-CN" w:bidi="ar"/>
    </w:rPr>
  </w:style>
  <w:style w:type="character" w:customStyle="1" w:styleId="182">
    <w:name w:val="content-white1"/>
    <w:basedOn w:val="70"/>
    <w:uiPriority w:val="0"/>
    <w:rPr>
      <w:rFonts w:hint="default" w:ascii="_x000B__x000C_" w:hAnsi="_x000B__x000C_" w:eastAsia="宋体" w:cs="Times New Roman"/>
      <w:color w:val="auto"/>
      <w:sz w:val="18"/>
      <w:u w:val="none"/>
    </w:rPr>
  </w:style>
  <w:style w:type="character" w:customStyle="1" w:styleId="183">
    <w:name w:val="标题 6 字符"/>
    <w:basedOn w:val="70"/>
    <w:link w:val="7"/>
    <w:uiPriority w:val="0"/>
    <w:rPr>
      <w:rFonts w:hint="default" w:ascii="Arial" w:hAnsi="Arial" w:eastAsia="黑体" w:cs="Arial"/>
      <w:b/>
      <w:kern w:val="2"/>
      <w:sz w:val="24"/>
      <w:szCs w:val="24"/>
      <w:lang w:val="en-US" w:eastAsia="zh-CN" w:bidi="ar"/>
    </w:rPr>
  </w:style>
  <w:style w:type="character" w:customStyle="1" w:styleId="184">
    <w:name w:val="标题 7 字符"/>
    <w:basedOn w:val="70"/>
    <w:link w:val="8"/>
    <w:uiPriority w:val="0"/>
    <w:rPr>
      <w:rFonts w:hint="default" w:ascii="Arial" w:hAnsi="Arial" w:eastAsia="黑体" w:cs="Arial"/>
      <w:b/>
      <w:kern w:val="2"/>
      <w:sz w:val="24"/>
      <w:szCs w:val="24"/>
      <w:lang w:val="en-US" w:eastAsia="zh-CN" w:bidi="ar"/>
    </w:rPr>
  </w:style>
  <w:style w:type="character" w:customStyle="1" w:styleId="185">
    <w:name w:val="正文首行缩进 Char"/>
    <w:basedOn w:val="70"/>
    <w:uiPriority w:val="0"/>
    <w:rPr>
      <w:rFonts w:hint="eastAsia" w:ascii="宋体" w:hAnsi="宋体" w:eastAsia="仿宋_GB2312" w:cs="Times New Roman"/>
      <w:kern w:val="2"/>
      <w:sz w:val="24"/>
      <w:szCs w:val="24"/>
      <w:lang w:val="en-US" w:eastAsia="zh-CN" w:bidi="ar"/>
    </w:rPr>
  </w:style>
  <w:style w:type="character" w:customStyle="1" w:styleId="186">
    <w:name w:val="color_red1"/>
    <w:basedOn w:val="70"/>
    <w:uiPriority w:val="0"/>
    <w:rPr>
      <w:rFonts w:hint="default" w:ascii="Verdana" w:hAnsi="Verdana" w:eastAsia="仿宋_GB2312" w:cs="Times New Roman"/>
      <w:color w:val="FA0004"/>
      <w:sz w:val="24"/>
      <w:lang w:val="en-US" w:eastAsia="en-US" w:bidi="ar"/>
    </w:rPr>
  </w:style>
  <w:style w:type="character" w:customStyle="1" w:styleId="187">
    <w:name w:val="ht1"/>
    <w:basedOn w:val="70"/>
    <w:uiPriority w:val="0"/>
    <w:rPr>
      <w:rFonts w:hint="eastAsia" w:ascii="黑体" w:hAnsi="Verdana" w:eastAsia="黑体" w:cs="Times New Roman"/>
      <w:b/>
      <w:sz w:val="24"/>
      <w:lang w:val="en-US" w:eastAsia="en-US" w:bidi="ar"/>
    </w:rPr>
  </w:style>
  <w:style w:type="character" w:customStyle="1" w:styleId="188">
    <w:name w:val="font1"/>
    <w:basedOn w:val="70"/>
    <w:uiPriority w:val="0"/>
    <w:rPr>
      <w:rFonts w:hint="default" w:ascii="Times New Roman" w:hAnsi="Times New Roman" w:eastAsia="宋体" w:cs="Times New Roman"/>
      <w:color w:val="000000"/>
      <w:sz w:val="18"/>
    </w:rPr>
  </w:style>
  <w:style w:type="character" w:customStyle="1" w:styleId="189">
    <w:name w:val="手改 Char Char3"/>
    <w:basedOn w:val="70"/>
    <w:uiPriority w:val="0"/>
    <w:rPr>
      <w:rFonts w:hint="eastAsia" w:ascii="宋体" w:hAnsi="宋体" w:eastAsia="仿宋_GB2312" w:cs="Times New Roman"/>
      <w:kern w:val="2"/>
      <w:sz w:val="28"/>
      <w:lang w:val="en-US" w:eastAsia="en-US" w:bidi="ar"/>
    </w:rPr>
  </w:style>
  <w:style w:type="character" w:customStyle="1" w:styleId="190">
    <w:name w:val="标题1. 2. Char Char2"/>
    <w:basedOn w:val="70"/>
    <w:uiPriority w:val="0"/>
    <w:rPr>
      <w:rFonts w:hint="default" w:ascii="Arial" w:hAnsi="Arial" w:eastAsia="黑体" w:cs="Times New Roman"/>
      <w:b/>
      <w:kern w:val="2"/>
      <w:sz w:val="25"/>
      <w:szCs w:val="24"/>
      <w:lang w:val="en-US" w:eastAsia="zh-CN" w:bidi="ar"/>
    </w:rPr>
  </w:style>
  <w:style w:type="character" w:customStyle="1" w:styleId="191">
    <w:name w:val=" Char Char19"/>
    <w:basedOn w:val="70"/>
    <w:uiPriority w:val="0"/>
    <w:rPr>
      <w:rFonts w:hint="eastAsia" w:ascii="宋体" w:hAnsi="Courier New" w:eastAsia="仿宋_GB2312" w:cs="Times New Roman"/>
      <w:kern w:val="2"/>
      <w:sz w:val="21"/>
      <w:lang w:val="en-US" w:eastAsia="zh-CN" w:bidi="ar"/>
    </w:rPr>
  </w:style>
  <w:style w:type="character" w:customStyle="1" w:styleId="192">
    <w:name w:val="标书正文:  0.74 厘米 Char1"/>
    <w:basedOn w:val="70"/>
    <w:uiPriority w:val="0"/>
    <w:rPr>
      <w:rFonts w:hint="default" w:ascii="Times New Roman" w:hAnsi="Times New Roman" w:eastAsia="宋体" w:cs="Times New Roman"/>
      <w:kern w:val="2"/>
      <w:sz w:val="24"/>
      <w:lang w:val="en-US" w:eastAsia="zh-CN"/>
    </w:rPr>
  </w:style>
  <w:style w:type="character" w:customStyle="1" w:styleId="193">
    <w:name w:val="正文文字4 Char Char3"/>
    <w:basedOn w:val="70"/>
    <w:uiPriority w:val="0"/>
    <w:rPr>
      <w:rFonts w:hint="default" w:ascii="Arial" w:hAnsi="Arial" w:eastAsia="宋体" w:cs="Times New Roman"/>
      <w:b/>
      <w:smallCaps/>
      <w:kern w:val="28"/>
      <w:sz w:val="36"/>
      <w:lang w:val="en-US" w:eastAsia="en-US" w:bidi="ar"/>
    </w:rPr>
  </w:style>
  <w:style w:type="character" w:customStyle="1" w:styleId="194">
    <w:name w:val="标题 4 Char Char"/>
    <w:basedOn w:val="70"/>
    <w:uiPriority w:val="0"/>
    <w:rPr>
      <w:rFonts w:hint="default" w:ascii="Arial" w:hAnsi="Arial" w:eastAsia="黑体" w:cs="Times New Roman"/>
      <w:b/>
      <w:kern w:val="2"/>
      <w:sz w:val="28"/>
      <w:szCs w:val="28"/>
      <w:lang w:val="en-US" w:eastAsia="zh-CN" w:bidi="ar"/>
    </w:rPr>
  </w:style>
  <w:style w:type="character" w:customStyle="1" w:styleId="195">
    <w:name w:val="附件 Char"/>
    <w:basedOn w:val="70"/>
    <w:uiPriority w:val="0"/>
    <w:rPr>
      <w:rFonts w:hint="default" w:ascii="Verdana" w:hAnsi="Verdana" w:eastAsia="黑体" w:cs="Times New Roman"/>
      <w:b/>
      <w:smallCaps/>
      <w:kern w:val="2"/>
      <w:sz w:val="30"/>
      <w:lang w:eastAsia="zh-CN" w:bidi="ar"/>
    </w:rPr>
  </w:style>
  <w:style w:type="character" w:customStyle="1" w:styleId="196">
    <w:name w:val="正文文字首行缩进 Char"/>
    <w:basedOn w:val="70"/>
    <w:uiPriority w:val="0"/>
    <w:rPr>
      <w:rFonts w:ascii="仿宋_GB2312" w:hAnsi="Times New Roman" w:eastAsia="仿宋_GB2312" w:cs="Times New Roman"/>
      <w:kern w:val="2"/>
      <w:sz w:val="32"/>
      <w:lang w:val="en-US" w:eastAsia="zh-CN" w:bidi="ar"/>
    </w:rPr>
  </w:style>
  <w:style w:type="character" w:customStyle="1" w:styleId="197">
    <w:name w:val="H2 Char"/>
    <w:basedOn w:val="70"/>
    <w:uiPriority w:val="0"/>
    <w:rPr>
      <w:rFonts w:hint="eastAsia" w:ascii="宋体" w:hAnsi="宋体" w:eastAsia="宋体" w:cs="Times New Roman"/>
      <w:kern w:val="2"/>
      <w:sz w:val="28"/>
      <w:lang w:val="en-US" w:eastAsia="zh-CN" w:bidi="ar"/>
    </w:rPr>
  </w:style>
  <w:style w:type="character" w:customStyle="1" w:styleId="198">
    <w:name w:val=" Char Char8"/>
    <w:basedOn w:val="70"/>
    <w:uiPriority w:val="0"/>
    <w:rPr>
      <w:rFonts w:hint="default" w:ascii="Times New Roman" w:hAnsi="Times New Roman" w:eastAsia="仿宋_GB2312" w:cs="Times New Roman"/>
      <w:kern w:val="2"/>
      <w:sz w:val="28"/>
      <w:lang w:bidi="ar"/>
    </w:rPr>
  </w:style>
  <w:style w:type="character" w:customStyle="1" w:styleId="199">
    <w:name w:val="normaltext1"/>
    <w:basedOn w:val="70"/>
    <w:qFormat/>
    <w:uiPriority w:val="0"/>
    <w:rPr>
      <w:rFonts w:hint="default" w:ascii="ˎ̥" w:hAnsi="ˎ̥" w:eastAsia="仿宋_GB2312" w:cs="Times New Roman"/>
      <w:sz w:val="9"/>
      <w:szCs w:val="9"/>
      <w:lang w:val="en-US" w:eastAsia="en-US" w:bidi="ar"/>
    </w:rPr>
  </w:style>
  <w:style w:type="character" w:customStyle="1" w:styleId="200">
    <w:name w:val="Table Text Char1 Char Char"/>
    <w:basedOn w:val="70"/>
    <w:uiPriority w:val="0"/>
    <w:rPr>
      <w:rFonts w:hint="default" w:ascii="Arial" w:hAnsi="Arial" w:cs="Arial"/>
      <w:kern w:val="2"/>
      <w:sz w:val="18"/>
      <w:lang w:val="en-US" w:eastAsia="zh-CN" w:bidi="ar"/>
    </w:rPr>
  </w:style>
  <w:style w:type="character" w:customStyle="1" w:styleId="201">
    <w:name w:val="标题 Char"/>
    <w:basedOn w:val="70"/>
    <w:uiPriority w:val="0"/>
    <w:rPr>
      <w:rFonts w:hint="default" w:ascii="Arial" w:hAnsi="Arial" w:eastAsia="仿宋_GB2312" w:cs="Arial"/>
      <w:b/>
      <w:kern w:val="2"/>
      <w:sz w:val="32"/>
      <w:szCs w:val="32"/>
      <w:lang w:val="en-US" w:eastAsia="zh-CN" w:bidi="ar"/>
    </w:rPr>
  </w:style>
  <w:style w:type="character" w:customStyle="1" w:styleId="202">
    <w:name w:val="正文首行缩进 2 Char"/>
    <w:basedOn w:val="70"/>
    <w:uiPriority w:val="0"/>
    <w:rPr>
      <w:rFonts w:hint="default" w:ascii="Arial" w:hAnsi="Arial" w:eastAsia="宋体" w:cs="Times New Roman"/>
      <w:b/>
      <w:smallCaps/>
      <w:kern w:val="28"/>
      <w:sz w:val="18"/>
      <w:szCs w:val="18"/>
      <w:lang w:bidi="ar"/>
    </w:rPr>
  </w:style>
  <w:style w:type="character" w:customStyle="1" w:styleId="203">
    <w:name w:val="正文文本 3 字符"/>
    <w:basedOn w:val="70"/>
    <w:link w:val="14"/>
    <w:uiPriority w:val="0"/>
    <w:rPr>
      <w:rFonts w:hint="eastAsia" w:ascii="宋体" w:hAnsi="宋体" w:eastAsia="宋体" w:cs="宋体"/>
      <w:kern w:val="2"/>
      <w:sz w:val="16"/>
      <w:szCs w:val="24"/>
      <w:lang w:val="en-US" w:eastAsia="zh-CN" w:bidi="ar"/>
    </w:rPr>
  </w:style>
  <w:style w:type="character" w:customStyle="1" w:styleId="204">
    <w:name w:val="标题1. 2. Char Char3"/>
    <w:basedOn w:val="70"/>
    <w:uiPriority w:val="0"/>
    <w:rPr>
      <w:rFonts w:hint="default" w:ascii="Arial" w:hAnsi="Arial" w:eastAsia="黑体" w:cs="Times New Roman"/>
      <w:b/>
      <w:kern w:val="2"/>
      <w:sz w:val="25"/>
      <w:szCs w:val="24"/>
      <w:lang w:val="en-US" w:eastAsia="zh-CN" w:bidi="ar"/>
    </w:rPr>
  </w:style>
  <w:style w:type="character" w:customStyle="1" w:styleId="205">
    <w:name w:val="普通文字 Char Char8"/>
    <w:basedOn w:val="70"/>
    <w:uiPriority w:val="0"/>
    <w:rPr>
      <w:rFonts w:hint="eastAsia" w:ascii="宋体" w:hAnsi="宋体" w:eastAsia="宋体" w:cs="Times New Roman"/>
      <w:kern w:val="2"/>
      <w:sz w:val="28"/>
      <w:lang w:bidi="ar"/>
    </w:rPr>
  </w:style>
  <w:style w:type="character" w:customStyle="1" w:styleId="206">
    <w:name w:val="标书封面采购文件大字 Char Char"/>
    <w:basedOn w:val="70"/>
    <w:uiPriority w:val="0"/>
    <w:rPr>
      <w:rFonts w:hint="eastAsia" w:ascii="黑体" w:hAnsi="宋体" w:eastAsia="方正黑体_GBK" w:cs="黑体"/>
      <w:b/>
      <w:kern w:val="2"/>
      <w:sz w:val="72"/>
      <w:szCs w:val="90"/>
      <w:lang w:val="en-US" w:eastAsia="zh-CN" w:bidi="ar"/>
    </w:rPr>
  </w:style>
  <w:style w:type="character" w:customStyle="1" w:styleId="207">
    <w:name w:val="Table Text Char Char Char Char Char Char Char"/>
    <w:basedOn w:val="70"/>
    <w:uiPriority w:val="0"/>
    <w:rPr>
      <w:rFonts w:hint="default" w:ascii="Arial" w:hAnsi="Arial" w:eastAsia="宋体" w:cs="Times New Roman"/>
      <w:kern w:val="2"/>
      <w:sz w:val="18"/>
      <w:lang w:val="en-US" w:eastAsia="zh-CN" w:bidi="ar"/>
    </w:rPr>
  </w:style>
  <w:style w:type="character" w:customStyle="1" w:styleId="208">
    <w:name w:val="unnamed1"/>
    <w:basedOn w:val="70"/>
    <w:uiPriority w:val="0"/>
    <w:rPr>
      <w:rFonts w:hint="default" w:ascii="Times New Roman" w:hAnsi="Times New Roman" w:eastAsia="宋体" w:cs="Times New Roman"/>
      <w:sz w:val="24"/>
      <w:lang w:val="en-US" w:eastAsia="en-US" w:bidi="ar"/>
    </w:rPr>
  </w:style>
  <w:style w:type="character" w:customStyle="1" w:styleId="209">
    <w:name w:val="style121"/>
    <w:basedOn w:val="70"/>
    <w:uiPriority w:val="0"/>
    <w:rPr>
      <w:rFonts w:hint="eastAsia" w:ascii="宋体" w:hAnsi="宋体" w:eastAsia="宋体" w:cs="Times New Roman"/>
      <w:sz w:val="18"/>
      <w:szCs w:val="18"/>
      <w:lang w:val="en-US" w:eastAsia="en-US" w:bidi="ar"/>
    </w:rPr>
  </w:style>
  <w:style w:type="character" w:customStyle="1" w:styleId="210">
    <w:name w:val="手改 Char Char4"/>
    <w:basedOn w:val="70"/>
    <w:uiPriority w:val="0"/>
    <w:rPr>
      <w:rFonts w:hint="eastAsia" w:ascii="宋体" w:hAnsi="宋体" w:eastAsia="仿宋_GB2312" w:cs="Times New Roman"/>
      <w:kern w:val="2"/>
      <w:sz w:val="28"/>
      <w:lang w:val="en-US" w:eastAsia="en-US" w:bidi="ar"/>
    </w:rPr>
  </w:style>
  <w:style w:type="character" w:customStyle="1" w:styleId="211">
    <w:name w:val="日期 Char"/>
    <w:basedOn w:val="70"/>
    <w:uiPriority w:val="0"/>
    <w:rPr>
      <w:rFonts w:hint="default" w:ascii="Times New Roman" w:hAnsi="Times New Roman" w:eastAsia="仿宋_GB2312" w:cs="Times New Roman"/>
      <w:kern w:val="2"/>
      <w:sz w:val="28"/>
      <w:szCs w:val="24"/>
      <w:lang w:val="en-US" w:eastAsia="zh-CN" w:bidi="ar"/>
    </w:rPr>
  </w:style>
  <w:style w:type="character" w:customStyle="1" w:styleId="212">
    <w:name w:val="Char Char11"/>
    <w:basedOn w:val="70"/>
    <w:uiPriority w:val="0"/>
    <w:rPr>
      <w:rFonts w:hint="default" w:ascii="Verdana" w:hAnsi="Verdana" w:eastAsia="黑体" w:cs="Times New Roman"/>
      <w:kern w:val="2"/>
      <w:sz w:val="44"/>
      <w:lang w:val="en-US" w:eastAsia="zh-CN" w:bidi="ar"/>
    </w:rPr>
  </w:style>
  <w:style w:type="character" w:customStyle="1" w:styleId="213">
    <w:name w:val="intel3"/>
    <w:basedOn w:val="70"/>
    <w:uiPriority w:val="0"/>
    <w:rPr>
      <w:rFonts w:hint="default" w:ascii="Times New Roman" w:hAnsi="Times New Roman" w:eastAsia="宋体" w:cs="Times New Roman"/>
      <w:sz w:val="24"/>
      <w:lang w:val="en-US" w:eastAsia="en-US" w:bidi="ar"/>
    </w:rPr>
  </w:style>
  <w:style w:type="character" w:customStyle="1" w:styleId="214">
    <w:name w:val="Table Text Char1 Char"/>
    <w:basedOn w:val="70"/>
    <w:uiPriority w:val="0"/>
    <w:rPr>
      <w:rFonts w:hint="default" w:ascii="Arial" w:hAnsi="Arial" w:eastAsia="宋体" w:cs="Times New Roman"/>
      <w:kern w:val="2"/>
      <w:sz w:val="18"/>
      <w:lang w:val="en-US" w:eastAsia="zh-CN" w:bidi="ar"/>
    </w:rPr>
  </w:style>
  <w:style w:type="character" w:customStyle="1" w:styleId="215">
    <w:name w:val="标题 4 Char"/>
    <w:basedOn w:val="70"/>
    <w:uiPriority w:val="0"/>
    <w:rPr>
      <w:rFonts w:hint="default" w:ascii="Arial" w:hAnsi="Arial" w:eastAsia="黑体" w:cs="Times New Roman"/>
      <w:b/>
      <w:kern w:val="2"/>
      <w:sz w:val="28"/>
      <w:szCs w:val="28"/>
      <w:lang w:val="en-US" w:eastAsia="zh-CN" w:bidi="ar"/>
    </w:rPr>
  </w:style>
  <w:style w:type="character" w:customStyle="1" w:styleId="216">
    <w:name w:val=" Char Char23"/>
    <w:basedOn w:val="70"/>
    <w:uiPriority w:val="0"/>
    <w:rPr>
      <w:rFonts w:hint="default" w:ascii="Times New Roman" w:hAnsi="Times New Roman" w:eastAsia="宋体" w:cs="Times New Roman"/>
      <w:kern w:val="2"/>
      <w:sz w:val="18"/>
      <w:szCs w:val="18"/>
    </w:rPr>
  </w:style>
  <w:style w:type="character" w:customStyle="1" w:styleId="217">
    <w:name w:val="main_tdbg_7601"/>
    <w:basedOn w:val="70"/>
    <w:uiPriority w:val="0"/>
    <w:rPr>
      <w:rFonts w:hint="default" w:ascii="Verdana" w:hAnsi="Verdana" w:eastAsia="仿宋_GB2312" w:cs="Times New Roman"/>
      <w:sz w:val="14"/>
      <w:szCs w:val="14"/>
      <w:lang w:val="en-US" w:eastAsia="en-US" w:bidi="ar"/>
    </w:rPr>
  </w:style>
  <w:style w:type="character" w:customStyle="1" w:styleId="218">
    <w:name w:val="px121"/>
    <w:basedOn w:val="70"/>
    <w:uiPriority w:val="0"/>
    <w:rPr>
      <w:rFonts w:hint="default" w:ascii="Times New Roman" w:hAnsi="Times New Roman" w:eastAsia="宋体" w:cs="Times New Roman"/>
      <w:sz w:val="24"/>
      <w:lang w:val="en-US" w:eastAsia="en-US" w:bidi="ar"/>
    </w:rPr>
  </w:style>
  <w:style w:type="character" w:customStyle="1" w:styleId="219">
    <w:name w:val="纯文本 Char"/>
    <w:basedOn w:val="70"/>
    <w:uiPriority w:val="0"/>
    <w:rPr>
      <w:rFonts w:hint="eastAsia" w:ascii="宋体" w:hAnsi="宋体" w:eastAsia="宋体" w:cs="Times New Roman"/>
      <w:kern w:val="2"/>
      <w:sz w:val="28"/>
      <w:lang w:bidi="ar"/>
    </w:rPr>
  </w:style>
  <w:style w:type="character" w:customStyle="1" w:styleId="220">
    <w:name w:val="手改 Char Char2"/>
    <w:basedOn w:val="70"/>
    <w:uiPriority w:val="0"/>
    <w:rPr>
      <w:rFonts w:hint="eastAsia" w:ascii="宋体" w:hAnsi="宋体" w:eastAsia="宋体" w:cs="Times New Roman"/>
      <w:kern w:val="2"/>
      <w:sz w:val="28"/>
      <w:lang w:bidi="ar"/>
    </w:rPr>
  </w:style>
  <w:style w:type="character" w:customStyle="1" w:styleId="221">
    <w:name w:val="Char Char3"/>
    <w:basedOn w:val="70"/>
    <w:uiPriority w:val="0"/>
    <w:rPr>
      <w:rFonts w:hint="eastAsia" w:ascii="宋体" w:hAnsi="Courier New" w:eastAsia="宋体" w:cs="Courier New"/>
      <w:kern w:val="2"/>
      <w:sz w:val="21"/>
      <w:szCs w:val="21"/>
      <w:lang w:val="en-US" w:eastAsia="zh-CN" w:bidi="ar"/>
    </w:rPr>
  </w:style>
  <w:style w:type="character" w:customStyle="1" w:styleId="222">
    <w:name w:val="NormalCharacter"/>
    <w:basedOn w:val="70"/>
    <w:uiPriority w:val="0"/>
    <w:rPr>
      <w:rFonts w:hint="default" w:ascii="Times New Roman" w:hAnsi="Times New Roman" w:eastAsia="宋体" w:cs="Times New Roman"/>
    </w:rPr>
  </w:style>
  <w:style w:type="character" w:customStyle="1" w:styleId="223">
    <w:name w:val="ca-141"/>
    <w:basedOn w:val="70"/>
    <w:uiPriority w:val="0"/>
    <w:rPr>
      <w:rFonts w:ascii="仿宋_GB2312" w:hAnsi="Verdana" w:eastAsia="仿宋_GB2312" w:cs="Times New Roman"/>
      <w:sz w:val="21"/>
      <w:szCs w:val="21"/>
      <w:lang w:val="en-US" w:eastAsia="en-US" w:bidi="ar"/>
    </w:rPr>
  </w:style>
  <w:style w:type="character" w:customStyle="1" w:styleId="224">
    <w:name w:val="标题 3 Char Char"/>
    <w:basedOn w:val="70"/>
    <w:uiPriority w:val="0"/>
    <w:rPr>
      <w:rFonts w:hint="default" w:ascii="Times New Roman" w:hAnsi="Times New Roman" w:eastAsia="黑体" w:cs="Times New Roman"/>
      <w:b/>
      <w:kern w:val="2"/>
      <w:sz w:val="24"/>
      <w:szCs w:val="32"/>
      <w:lang w:val="en-US" w:eastAsia="zh-CN" w:bidi="ar"/>
    </w:rPr>
  </w:style>
  <w:style w:type="character" w:customStyle="1" w:styleId="225">
    <w:name w:val="纯文本 字符"/>
    <w:basedOn w:val="70"/>
    <w:link w:val="17"/>
    <w:uiPriority w:val="0"/>
    <w:rPr>
      <w:rFonts w:hint="eastAsia" w:ascii="宋体" w:hAnsi="宋体" w:eastAsia="宋体" w:cs="宋体"/>
      <w:kern w:val="2"/>
      <w:sz w:val="28"/>
      <w:lang w:val="en-US" w:eastAsia="zh-CN" w:bidi="ar"/>
    </w:rPr>
  </w:style>
  <w:style w:type="character" w:customStyle="1" w:styleId="226">
    <w:name w:val="style161"/>
    <w:basedOn w:val="70"/>
    <w:uiPriority w:val="0"/>
    <w:rPr>
      <w:rFonts w:hint="default" w:ascii="Verdana" w:hAnsi="Verdana" w:eastAsia="仿宋_GB2312" w:cs="Times New Roman"/>
      <w:b/>
      <w:color w:val="333333"/>
      <w:sz w:val="24"/>
      <w:lang w:val="en-US" w:eastAsia="en-US" w:bidi="ar"/>
    </w:rPr>
  </w:style>
  <w:style w:type="character" w:customStyle="1" w:styleId="227">
    <w:name w:val=" Char Char38"/>
    <w:basedOn w:val="70"/>
    <w:uiPriority w:val="0"/>
    <w:rPr>
      <w:rFonts w:hint="default" w:ascii="Times New Roman" w:hAnsi="Times New Roman" w:eastAsia="仿宋_GB2312" w:cs="Times New Roman"/>
      <w:b/>
      <w:kern w:val="2"/>
      <w:sz w:val="24"/>
      <w:szCs w:val="32"/>
      <w:lang w:val="en-US" w:eastAsia="zh-CN" w:bidi="ar"/>
    </w:rPr>
  </w:style>
  <w:style w:type="character" w:customStyle="1" w:styleId="228">
    <w:name w:val="普通文字 Char Char4"/>
    <w:basedOn w:val="70"/>
    <w:qFormat/>
    <w:uiPriority w:val="0"/>
    <w:rPr>
      <w:rFonts w:hint="eastAsia" w:ascii="宋体" w:hAnsi="宋体" w:eastAsia="宋体" w:cs="Times New Roman"/>
      <w:kern w:val="2"/>
      <w:sz w:val="28"/>
      <w:lang w:bidi="ar"/>
    </w:rPr>
  </w:style>
  <w:style w:type="character" w:customStyle="1" w:styleId="229">
    <w:name w:val="批注主题 Char1"/>
    <w:basedOn w:val="70"/>
    <w:uiPriority w:val="0"/>
    <w:rPr>
      <w:rFonts w:hint="default" w:ascii="Verdana" w:hAnsi="Verdana" w:eastAsia="仿宋_GB2312" w:cs="Times New Roman"/>
      <w:b/>
      <w:kern w:val="2"/>
      <w:sz w:val="28"/>
      <w:szCs w:val="24"/>
      <w:lang w:val="en-US" w:eastAsia="zh-CN" w:bidi="ar"/>
    </w:rPr>
  </w:style>
  <w:style w:type="character" w:customStyle="1" w:styleId="230">
    <w:name w:val=" Char Char41"/>
    <w:basedOn w:val="70"/>
    <w:qFormat/>
    <w:uiPriority w:val="0"/>
    <w:rPr>
      <w:rFonts w:hint="eastAsia" w:ascii="宋体" w:hAnsi="宋体" w:eastAsia="黑体" w:cs="Times New Roman"/>
      <w:b/>
      <w:kern w:val="2"/>
      <w:sz w:val="28"/>
      <w:szCs w:val="24"/>
      <w:lang w:val="en-US" w:eastAsia="zh-CN" w:bidi="ar"/>
    </w:rPr>
  </w:style>
  <w:style w:type="character" w:customStyle="1" w:styleId="231">
    <w:name w:val="正文（GB2312加粗） Char Char"/>
    <w:basedOn w:val="70"/>
    <w:uiPriority w:val="0"/>
    <w:rPr>
      <w:rFonts w:hint="default" w:ascii="Times New Roman" w:hAnsi="Times New Roman" w:eastAsia="仿宋_GB2312" w:cs="Times New Roman"/>
      <w:b/>
      <w:kern w:val="2"/>
      <w:sz w:val="24"/>
      <w:szCs w:val="24"/>
      <w:lang w:val="en-US" w:eastAsia="zh-CN" w:bidi="ar"/>
    </w:rPr>
  </w:style>
  <w:style w:type="character" w:customStyle="1" w:styleId="232">
    <w:name w:val="mod-title_view"/>
    <w:basedOn w:val="70"/>
    <w:uiPriority w:val="0"/>
    <w:rPr>
      <w:rFonts w:hint="default" w:ascii="Times New Roman" w:hAnsi="Times New Roman" w:eastAsia="宋体" w:cs="Times New Roman"/>
      <w:sz w:val="24"/>
      <w:lang w:val="en-US" w:eastAsia="en-US" w:bidi="ar"/>
    </w:rPr>
  </w:style>
  <w:style w:type="character" w:customStyle="1" w:styleId="233">
    <w:name w:val="批注主题 Char"/>
    <w:basedOn w:val="70"/>
    <w:uiPriority w:val="0"/>
    <w:rPr>
      <w:rFonts w:hint="default" w:ascii="Verdana" w:hAnsi="Verdana" w:eastAsia="仿宋_GB2312" w:cs="Times New Roman"/>
      <w:b/>
      <w:kern w:val="2"/>
      <w:sz w:val="28"/>
      <w:lang w:val="en-US" w:eastAsia="en-US" w:bidi="ar"/>
    </w:rPr>
  </w:style>
  <w:style w:type="character" w:customStyle="1" w:styleId="234">
    <w:name w:val="正文缩进 Char"/>
    <w:basedOn w:val="70"/>
    <w:uiPriority w:val="0"/>
    <w:rPr>
      <w:rFonts w:hint="default" w:ascii="Times New Roman" w:hAnsi="Times New Roman" w:eastAsia="仿宋_GB2312" w:cs="Times New Roman"/>
      <w:kern w:val="2"/>
      <w:sz w:val="24"/>
      <w:szCs w:val="24"/>
      <w:lang w:val="en-US" w:eastAsia="zh-CN" w:bidi="ar"/>
    </w:rPr>
  </w:style>
  <w:style w:type="character" w:customStyle="1" w:styleId="235">
    <w:name w:val="标题 9 Char"/>
    <w:basedOn w:val="70"/>
    <w:uiPriority w:val="0"/>
    <w:rPr>
      <w:rFonts w:hint="default" w:ascii="Arial" w:hAnsi="Arial" w:eastAsia="黑体" w:cs="Times New Roman"/>
      <w:b/>
      <w:kern w:val="2"/>
      <w:sz w:val="24"/>
      <w:szCs w:val="24"/>
      <w:lang w:val="en-US" w:eastAsia="zh-CN" w:bidi="ar"/>
    </w:rPr>
  </w:style>
  <w:style w:type="character" w:customStyle="1" w:styleId="236">
    <w:name w:val="普通文字 Char Char5"/>
    <w:basedOn w:val="70"/>
    <w:uiPriority w:val="0"/>
    <w:rPr>
      <w:rFonts w:hint="eastAsia" w:ascii="宋体" w:hAnsi="宋体" w:eastAsia="宋体" w:cs="Times New Roman"/>
      <w:kern w:val="2"/>
      <w:sz w:val="28"/>
      <w:lang w:bidi="ar"/>
    </w:rPr>
  </w:style>
  <w:style w:type="character" w:customStyle="1" w:styleId="237">
    <w:name w:val=" Char Char37"/>
    <w:basedOn w:val="70"/>
    <w:uiPriority w:val="0"/>
    <w:rPr>
      <w:rFonts w:hint="default" w:ascii="Times New Roman" w:hAnsi="Times New Roman" w:eastAsia="仿宋_GB2312" w:cs="Times New Roman"/>
      <w:b/>
      <w:kern w:val="2"/>
      <w:sz w:val="24"/>
      <w:szCs w:val="32"/>
      <w:lang w:val="en-US" w:eastAsia="zh-CN" w:bidi="ar"/>
    </w:rPr>
  </w:style>
  <w:style w:type="character" w:customStyle="1" w:styleId="238">
    <w:name w:val=" Char Char33"/>
    <w:basedOn w:val="70"/>
    <w:uiPriority w:val="0"/>
    <w:rPr>
      <w:rFonts w:hint="default" w:ascii="Times New Roman" w:hAnsi="Times New Roman" w:eastAsia="黑体" w:cs="Times New Roman"/>
      <w:b/>
      <w:kern w:val="2"/>
      <w:sz w:val="32"/>
      <w:lang w:val="en-US" w:eastAsia="zh-CN" w:bidi="ar"/>
    </w:rPr>
  </w:style>
  <w:style w:type="character" w:customStyle="1" w:styleId="239">
    <w:name w:val="样式 宋体"/>
    <w:basedOn w:val="70"/>
    <w:uiPriority w:val="0"/>
    <w:rPr>
      <w:rFonts w:hint="eastAsia" w:ascii="宋体" w:hAnsi="宋体" w:eastAsia="宋体" w:cs="Times New Roman"/>
      <w:sz w:val="28"/>
    </w:rPr>
  </w:style>
  <w:style w:type="character" w:customStyle="1" w:styleId="240">
    <w:name w:val=" Char Char44"/>
    <w:basedOn w:val="70"/>
    <w:qFormat/>
    <w:uiPriority w:val="0"/>
    <w:rPr>
      <w:rFonts w:hint="default" w:ascii="Times New Roman" w:hAnsi="Times New Roman" w:eastAsia="黑体" w:cs="Times New Roman"/>
      <w:b/>
      <w:kern w:val="44"/>
      <w:sz w:val="32"/>
      <w:szCs w:val="44"/>
      <w:lang w:val="en-US" w:eastAsia="zh-CN" w:bidi="ar"/>
    </w:rPr>
  </w:style>
  <w:style w:type="character" w:customStyle="1" w:styleId="241">
    <w:name w:val="Table Text Char Char Char Char Char"/>
    <w:basedOn w:val="70"/>
    <w:uiPriority w:val="0"/>
    <w:rPr>
      <w:rFonts w:hint="default" w:ascii="Arial" w:hAnsi="Arial" w:eastAsia="宋体" w:cs="Times New Roman"/>
      <w:kern w:val="2"/>
      <w:sz w:val="18"/>
      <w:lang w:val="en-US" w:eastAsia="zh-CN" w:bidi="ar"/>
    </w:rPr>
  </w:style>
  <w:style w:type="character" w:customStyle="1" w:styleId="242">
    <w:name w:val="文字 Char"/>
    <w:basedOn w:val="70"/>
    <w:qFormat/>
    <w:uiPriority w:val="0"/>
    <w:rPr>
      <w:rFonts w:hint="eastAsia" w:ascii="宋体" w:hAnsi="宋体" w:eastAsia="宋体" w:cs="宋体"/>
      <w:kern w:val="2"/>
      <w:sz w:val="28"/>
      <w:lang w:val="en-US" w:eastAsia="zh-CN" w:bidi="ar"/>
    </w:rPr>
  </w:style>
  <w:style w:type="character" w:customStyle="1" w:styleId="243">
    <w:name w:val=" Char Char21"/>
    <w:basedOn w:val="70"/>
    <w:qFormat/>
    <w:uiPriority w:val="0"/>
    <w:rPr>
      <w:rFonts w:hint="default" w:ascii="Times New Roman" w:hAnsi="Times New Roman" w:eastAsia="仿宋_GB2312" w:cs="Times New Roman"/>
      <w:kern w:val="2"/>
      <w:sz w:val="28"/>
      <w:lang w:val="en-US" w:eastAsia="zh-CN" w:bidi="ar"/>
    </w:rPr>
  </w:style>
  <w:style w:type="character" w:customStyle="1" w:styleId="244">
    <w:name w:val="v151"/>
    <w:basedOn w:val="70"/>
    <w:uiPriority w:val="0"/>
    <w:rPr>
      <w:rFonts w:hint="default" w:ascii="Times New Roman" w:hAnsi="Times New Roman" w:eastAsia="宋体" w:cs="Times New Roman"/>
      <w:sz w:val="18"/>
    </w:rPr>
  </w:style>
  <w:style w:type="character" w:customStyle="1" w:styleId="245">
    <w:name w:val="正文首行缩进两字符 Char Char"/>
    <w:basedOn w:val="70"/>
    <w:uiPriority w:val="0"/>
    <w:rPr>
      <w:rFonts w:hint="eastAsia" w:ascii="宋体" w:hAnsi="宋体" w:eastAsia="宋体" w:cs="宋体"/>
      <w:kern w:val="2"/>
      <w:sz w:val="28"/>
      <w:szCs w:val="24"/>
      <w:lang w:val="en-US" w:eastAsia="zh-CN" w:bidi="ar"/>
    </w:rPr>
  </w:style>
  <w:style w:type="character" w:customStyle="1" w:styleId="246">
    <w:name w:val="Table Text Char1 Char Char Char"/>
    <w:basedOn w:val="70"/>
    <w:uiPriority w:val="0"/>
    <w:rPr>
      <w:rFonts w:hint="default" w:ascii="Arial" w:hAnsi="Arial" w:eastAsia="宋体" w:cs="Times New Roman"/>
      <w:kern w:val="2"/>
      <w:sz w:val="18"/>
      <w:lang w:val="en-US" w:eastAsia="zh-CN" w:bidi="ar"/>
    </w:rPr>
  </w:style>
  <w:style w:type="character" w:customStyle="1" w:styleId="247">
    <w:name w:val="页脚 Char"/>
    <w:basedOn w:val="70"/>
    <w:uiPriority w:val="0"/>
    <w:rPr>
      <w:rFonts w:hint="default" w:ascii="Times New Roman" w:hAnsi="Times New Roman" w:eastAsia="宋体" w:cs="Times New Roman"/>
      <w:b/>
      <w:kern w:val="2"/>
      <w:sz w:val="21"/>
      <w:lang w:val="en-US" w:eastAsia="zh-CN" w:bidi="ar"/>
    </w:rPr>
  </w:style>
  <w:style w:type="character" w:customStyle="1" w:styleId="248">
    <w:name w:val="title11"/>
    <w:basedOn w:val="70"/>
    <w:uiPriority w:val="0"/>
    <w:rPr>
      <w:rFonts w:hint="default" w:ascii="Verdana" w:hAnsi="Verdana" w:eastAsia="仿宋_GB2312" w:cs="Times New Roman"/>
      <w:b/>
      <w:color w:val="FFFFFF"/>
      <w:sz w:val="11"/>
      <w:szCs w:val="11"/>
      <w:lang w:val="en-US" w:eastAsia="en-US" w:bidi="ar"/>
    </w:rPr>
  </w:style>
  <w:style w:type="character" w:customStyle="1" w:styleId="249">
    <w:name w:val="H1 Char"/>
    <w:basedOn w:val="70"/>
    <w:uiPriority w:val="0"/>
    <w:rPr>
      <w:rFonts w:hint="default" w:ascii="Times New Roman" w:hAnsi="Times New Roman" w:eastAsia="黑体" w:cs="Times New Roman"/>
      <w:kern w:val="2"/>
      <w:sz w:val="44"/>
      <w:lang w:val="en-US" w:eastAsia="zh-CN" w:bidi="ar"/>
    </w:rPr>
  </w:style>
  <w:style w:type="character" w:customStyle="1" w:styleId="250">
    <w:name w:val=" Char Char36"/>
    <w:basedOn w:val="70"/>
    <w:uiPriority w:val="0"/>
    <w:rPr>
      <w:rFonts w:hint="default" w:ascii="Times New Roman" w:hAnsi="Times New Roman" w:eastAsia="黑体" w:cs="Times New Roman"/>
      <w:b/>
      <w:kern w:val="44"/>
      <w:sz w:val="32"/>
      <w:szCs w:val="44"/>
      <w:lang w:val="en-US" w:eastAsia="zh-CN" w:bidi="ar"/>
    </w:rPr>
  </w:style>
  <w:style w:type="character" w:customStyle="1" w:styleId="251">
    <w:name w:val="项目编号名称单位地点等 Char"/>
    <w:basedOn w:val="70"/>
    <w:uiPriority w:val="0"/>
    <w:rPr>
      <w:rFonts w:hint="eastAsia" w:ascii="黑体" w:hAnsi="宋体" w:eastAsia="宋体" w:cs="黑体"/>
      <w:b/>
      <w:kern w:val="2"/>
      <w:sz w:val="32"/>
      <w:szCs w:val="36"/>
      <w:lang w:val="en-US" w:eastAsia="zh-CN" w:bidi="ar"/>
    </w:rPr>
  </w:style>
  <w:style w:type="character" w:customStyle="1" w:styleId="252">
    <w:name w:val=" Char Char30"/>
    <w:basedOn w:val="70"/>
    <w:uiPriority w:val="0"/>
    <w:rPr>
      <w:rFonts w:hint="default" w:ascii="Times New Roman" w:hAnsi="Times New Roman" w:eastAsia="宋体" w:cs="Times New Roman"/>
      <w:b/>
      <w:kern w:val="2"/>
      <w:sz w:val="44"/>
    </w:rPr>
  </w:style>
  <w:style w:type="character" w:customStyle="1" w:styleId="253">
    <w:name w:val=" Char Char20"/>
    <w:basedOn w:val="70"/>
    <w:uiPriority w:val="0"/>
    <w:rPr>
      <w:rFonts w:hint="default" w:ascii="Times New Roman" w:hAnsi="Times New Roman" w:eastAsia="仿宋_GB2312" w:cs="Times New Roman"/>
      <w:b/>
      <w:kern w:val="2"/>
      <w:sz w:val="28"/>
      <w:lang w:bidi="ar"/>
    </w:rPr>
  </w:style>
  <w:style w:type="character" w:customStyle="1" w:styleId="254">
    <w:name w:val=" Char Char39"/>
    <w:basedOn w:val="70"/>
    <w:uiPriority w:val="0"/>
    <w:rPr>
      <w:rFonts w:hint="eastAsia" w:ascii="宋体" w:hAnsi="宋体" w:eastAsia="黑体" w:cs="Times New Roman"/>
      <w:b/>
      <w:kern w:val="2"/>
      <w:sz w:val="28"/>
      <w:szCs w:val="24"/>
      <w:lang w:val="en-US" w:eastAsia="zh-CN" w:bidi="ar"/>
    </w:rPr>
  </w:style>
  <w:style w:type="character" w:customStyle="1" w:styleId="255">
    <w:name w:val="正文 + 三号 Char"/>
    <w:basedOn w:val="70"/>
    <w:qFormat/>
    <w:uiPriority w:val="0"/>
    <w:rPr>
      <w:rFonts w:hint="default" w:ascii="Times New Roman" w:hAnsi="Times New Roman" w:eastAsia="宋体" w:cs="Times New Roman"/>
      <w:kern w:val="2"/>
      <w:sz w:val="21"/>
      <w:lang w:val="en-US" w:eastAsia="zh-CN"/>
    </w:rPr>
  </w:style>
  <w:style w:type="character" w:customStyle="1" w:styleId="256">
    <w:name w:val="title_emph1"/>
    <w:basedOn w:val="70"/>
    <w:uiPriority w:val="0"/>
    <w:rPr>
      <w:rFonts w:hint="default" w:ascii="Arial" w:hAnsi="Arial" w:eastAsia="宋体" w:cs="Times New Roman"/>
      <w:b/>
      <w:sz w:val="20"/>
    </w:rPr>
  </w:style>
  <w:style w:type="character" w:customStyle="1" w:styleId="257">
    <w:name w:val=" Char Char32"/>
    <w:basedOn w:val="70"/>
    <w:uiPriority w:val="0"/>
    <w:rPr>
      <w:rFonts w:hint="default" w:ascii="Arial" w:hAnsi="Arial" w:eastAsia="黑体" w:cs="Times New Roman"/>
      <w:kern w:val="2"/>
      <w:sz w:val="24"/>
      <w:szCs w:val="24"/>
      <w:lang w:val="en-US" w:eastAsia="zh-CN" w:bidi="ar"/>
    </w:rPr>
  </w:style>
  <w:style w:type="character" w:customStyle="1" w:styleId="258">
    <w:name w:val="正文文本 Char"/>
    <w:basedOn w:val="70"/>
    <w:uiPriority w:val="0"/>
    <w:rPr>
      <w:rFonts w:hint="eastAsia" w:ascii="宋体" w:hAnsi="宋体" w:eastAsia="仿宋_GB2312" w:cs="Times New Roman"/>
      <w:kern w:val="2"/>
      <w:sz w:val="28"/>
      <w:lang w:val="en-US" w:eastAsia="en-US" w:bidi="ar"/>
    </w:rPr>
  </w:style>
  <w:style w:type="character" w:customStyle="1" w:styleId="259">
    <w:name w:val="普通文字 Char Char2"/>
    <w:basedOn w:val="70"/>
    <w:uiPriority w:val="0"/>
    <w:rPr>
      <w:rFonts w:hint="eastAsia" w:ascii="宋体" w:hAnsi="Courier New" w:eastAsia="仿宋_GB2312" w:cs="Times New Roman"/>
      <w:kern w:val="2"/>
      <w:sz w:val="21"/>
      <w:lang w:val="en-US" w:eastAsia="zh-CN" w:bidi="ar"/>
    </w:rPr>
  </w:style>
  <w:style w:type="character" w:customStyle="1" w:styleId="260">
    <w:name w:val=" Char Char35"/>
    <w:basedOn w:val="70"/>
    <w:uiPriority w:val="0"/>
    <w:rPr>
      <w:rFonts w:hint="default" w:ascii="Times New Roman" w:hAnsi="Times New Roman" w:eastAsia="黑体" w:cs="Times New Roman"/>
      <w:b/>
      <w:kern w:val="2"/>
      <w:sz w:val="30"/>
      <w:lang w:val="en-US" w:eastAsia="zh-CN" w:bidi="ar"/>
    </w:rPr>
  </w:style>
  <w:style w:type="character" w:customStyle="1" w:styleId="261">
    <w:name w:val="标题 字符"/>
    <w:basedOn w:val="70"/>
    <w:link w:val="24"/>
    <w:uiPriority w:val="0"/>
    <w:rPr>
      <w:rFonts w:hint="default" w:ascii="Arial" w:hAnsi="Arial" w:eastAsia="宋体" w:cs="Arial"/>
      <w:b/>
      <w:kern w:val="2"/>
      <w:sz w:val="32"/>
      <w:szCs w:val="32"/>
      <w:lang w:val="en-US" w:eastAsia="zh-CN" w:bidi="ar"/>
    </w:rPr>
  </w:style>
  <w:style w:type="character" w:customStyle="1" w:styleId="262">
    <w:name w:val="标题1. 2. Char Char"/>
    <w:basedOn w:val="70"/>
    <w:uiPriority w:val="0"/>
    <w:rPr>
      <w:rFonts w:hint="default" w:ascii="Arial" w:hAnsi="Arial" w:eastAsia="黑体" w:cs="Times New Roman"/>
      <w:b/>
      <w:kern w:val="2"/>
      <w:sz w:val="27"/>
      <w:szCs w:val="24"/>
      <w:lang w:val="en-US" w:eastAsia="zh-CN" w:bidi="ar"/>
    </w:rPr>
  </w:style>
  <w:style w:type="character" w:customStyle="1" w:styleId="263">
    <w:name w:val=" Char Char34"/>
    <w:basedOn w:val="70"/>
    <w:uiPriority w:val="0"/>
    <w:rPr>
      <w:rFonts w:hint="default" w:ascii="Times New Roman" w:hAnsi="Times New Roman" w:eastAsia="仿宋_GB2312" w:cs="Times New Roman"/>
      <w:b/>
      <w:kern w:val="2"/>
      <w:sz w:val="28"/>
      <w:lang w:val="en-US" w:eastAsia="zh-CN" w:bidi="ar"/>
    </w:rPr>
  </w:style>
  <w:style w:type="character" w:customStyle="1" w:styleId="264">
    <w:name w:val="font161"/>
    <w:basedOn w:val="70"/>
    <w:uiPriority w:val="0"/>
    <w:rPr>
      <w:rFonts w:hint="default" w:ascii="Verdana" w:hAnsi="Verdana" w:eastAsia="仿宋_GB2312" w:cs="Times New Roman"/>
      <w:b/>
      <w:sz w:val="32"/>
      <w:szCs w:val="32"/>
      <w:lang w:val="en-US" w:eastAsia="en-US" w:bidi="ar"/>
    </w:rPr>
  </w:style>
  <w:style w:type="character" w:customStyle="1" w:styleId="265">
    <w:name w:val="style61"/>
    <w:basedOn w:val="70"/>
    <w:uiPriority w:val="0"/>
    <w:rPr>
      <w:rFonts w:hint="default" w:ascii="Times New Roman" w:hAnsi="Times New Roman" w:eastAsia="宋体" w:cs="Times New Roman"/>
      <w:sz w:val="20"/>
      <w:szCs w:val="20"/>
    </w:rPr>
  </w:style>
  <w:style w:type="character" w:customStyle="1" w:styleId="266">
    <w:name w:val=" Char Char31"/>
    <w:basedOn w:val="70"/>
    <w:uiPriority w:val="0"/>
    <w:rPr>
      <w:rFonts w:hint="eastAsia" w:ascii="宋体" w:hAnsi="宋体" w:eastAsia="宋体" w:cs="Times New Roman"/>
      <w:kern w:val="2"/>
      <w:sz w:val="28"/>
    </w:rPr>
  </w:style>
  <w:style w:type="character" w:customStyle="1" w:styleId="267">
    <w:name w:val="标题1. 2. Char Char1"/>
    <w:basedOn w:val="70"/>
    <w:uiPriority w:val="0"/>
    <w:rPr>
      <w:rFonts w:hint="default" w:ascii="Arial" w:hAnsi="Arial" w:eastAsia="黑体" w:cs="Times New Roman"/>
      <w:b/>
      <w:kern w:val="2"/>
      <w:sz w:val="27"/>
      <w:szCs w:val="24"/>
      <w:lang w:val="en-US" w:eastAsia="zh-CN" w:bidi="ar"/>
    </w:rPr>
  </w:style>
  <w:style w:type="character" w:customStyle="1" w:styleId="268">
    <w:name w:val="手改 Char Char"/>
    <w:basedOn w:val="70"/>
    <w:uiPriority w:val="0"/>
    <w:rPr>
      <w:rFonts w:hint="default" w:ascii="Verdana" w:hAnsi="Verdana" w:eastAsia="仿宋_GB2312" w:cs="Times New Roman"/>
      <w:kern w:val="2"/>
      <w:sz w:val="21"/>
      <w:szCs w:val="24"/>
      <w:lang w:val="en-US" w:eastAsia="en-US" w:bidi="ar"/>
    </w:rPr>
  </w:style>
  <w:style w:type="character" w:customStyle="1" w:styleId="269">
    <w:name w:val="标题 5 Char"/>
    <w:basedOn w:val="70"/>
    <w:uiPriority w:val="0"/>
    <w:rPr>
      <w:rFonts w:hint="default" w:ascii="Times New Roman" w:hAnsi="Times New Roman" w:eastAsia="仿宋_GB2312" w:cs="Times New Roman"/>
      <w:b/>
      <w:kern w:val="2"/>
      <w:sz w:val="24"/>
      <w:szCs w:val="24"/>
      <w:lang w:val="en-US" w:eastAsia="zh-CN" w:bidi="ar"/>
    </w:rPr>
  </w:style>
  <w:style w:type="character" w:customStyle="1" w:styleId="270">
    <w:name w:val="标题 3 Char Char Char"/>
    <w:basedOn w:val="70"/>
    <w:uiPriority w:val="0"/>
    <w:rPr>
      <w:rFonts w:hint="default" w:ascii="Times New Roman" w:hAnsi="Times New Roman" w:eastAsia="仿宋_GB2312" w:cs="Times New Roman"/>
      <w:b/>
      <w:kern w:val="2"/>
      <w:sz w:val="28"/>
      <w:lang w:val="en-US" w:eastAsia="zh-CN" w:bidi="ar"/>
    </w:rPr>
  </w:style>
  <w:style w:type="character" w:customStyle="1" w:styleId="271">
    <w:name w:val="样品清单 Char"/>
    <w:basedOn w:val="70"/>
    <w:uiPriority w:val="0"/>
    <w:rPr>
      <w:rFonts w:hint="default" w:ascii="Arial" w:hAnsi="Arial" w:eastAsia="黑体" w:cs="宋体"/>
      <w:b/>
      <w:kern w:val="2"/>
      <w:sz w:val="28"/>
      <w:szCs w:val="28"/>
      <w:lang w:val="en-US" w:eastAsia="zh-CN" w:bidi="ar"/>
    </w:rPr>
  </w:style>
  <w:style w:type="character" w:customStyle="1" w:styleId="272">
    <w:name w:val="正文首行缩进两字符 Char Char Char"/>
    <w:basedOn w:val="70"/>
    <w:uiPriority w:val="0"/>
    <w:rPr>
      <w:rFonts w:hint="default" w:ascii="Times New Roman" w:hAnsi="Times New Roman" w:eastAsia="仿宋_GB2312" w:cs="Times New Roman"/>
      <w:kern w:val="2"/>
      <w:sz w:val="21"/>
      <w:lang w:val="en-US" w:eastAsia="zh-CN" w:bidi="ar"/>
    </w:rPr>
  </w:style>
  <w:style w:type="character" w:customStyle="1" w:styleId="273">
    <w:name w:val="Table Text Char"/>
    <w:basedOn w:val="70"/>
    <w:uiPriority w:val="0"/>
    <w:rPr>
      <w:rFonts w:hint="default" w:ascii="Arial" w:hAnsi="Arial" w:cs="Arial"/>
      <w:kern w:val="2"/>
      <w:sz w:val="18"/>
      <w:lang w:val="en-US" w:eastAsia="zh-CN" w:bidi="ar"/>
    </w:rPr>
  </w:style>
  <w:style w:type="character" w:customStyle="1" w:styleId="274">
    <w:name w:val="正文文字4 Char Char4"/>
    <w:basedOn w:val="70"/>
    <w:uiPriority w:val="0"/>
    <w:rPr>
      <w:rFonts w:hint="default" w:ascii="Arial" w:hAnsi="Arial" w:eastAsia="宋体" w:cs="Times New Roman"/>
      <w:b/>
      <w:smallCaps/>
      <w:kern w:val="28"/>
      <w:sz w:val="36"/>
      <w:lang w:val="en-US" w:eastAsia="en-US" w:bidi="ar"/>
    </w:rPr>
  </w:style>
  <w:style w:type="character" w:customStyle="1" w:styleId="275">
    <w:name w:val="批注主题 Char Char Char"/>
    <w:basedOn w:val="70"/>
    <w:uiPriority w:val="0"/>
    <w:rPr>
      <w:rFonts w:hint="default" w:ascii="Times New Roman" w:hAnsi="Times New Roman" w:eastAsia="仿宋_GB2312" w:cs="Times New Roman"/>
      <w:b/>
      <w:kern w:val="2"/>
      <w:sz w:val="28"/>
      <w:lang w:bidi="ar"/>
    </w:rPr>
  </w:style>
  <w:style w:type="table" w:customStyle="1" w:styleId="276">
    <w:name w:val="表格样式1"/>
    <w:basedOn w:val="29"/>
    <w:uiPriority w:val="0"/>
    <w:pPr>
      <w:keepNext w:val="0"/>
      <w:keepLines w:val="0"/>
      <w:widowControl w:val="0"/>
      <w:suppressLineNumbers w:val="0"/>
      <w:spacing w:before="0" w:beforeAutospacing="0" w:after="0" w:afterAutospacing="0"/>
      <w:ind w:left="0" w:right="0"/>
      <w:jc w:val="center"/>
    </w:pPr>
    <w:rPr>
      <w:rFonts w:hint="default" w:ascii="Times New Roman" w:hAnsi="Times New Roman" w:cs="Times New Roman"/>
      <w:kern w:val="2"/>
      <w:sz w:val="7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vAlign w:val="center"/>
    </w:tcPr>
  </w:style>
  <w:style w:type="table" w:customStyle="1" w:styleId="277">
    <w:name w:val="表格内文字上下左右居中"/>
    <w:basedOn w:val="28"/>
    <w:uiPriority w:val="0"/>
    <w:pPr>
      <w:keepNext w:val="0"/>
      <w:keepLines w:val="0"/>
      <w:widowControl/>
      <w:suppressLineNumbers w:val="0"/>
      <w:spacing w:before="0" w:beforeAutospacing="0" w:after="0" w:afterAutospacing="0"/>
      <w:ind w:left="0" w:right="0"/>
      <w:jc w:val="center"/>
    </w:pPr>
    <w:rPr>
      <w:rFonts w:hint="default" w:ascii="Times New Roman" w:hAnsi="Times New Roman"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vAlign w:val="center"/>
    </w:tc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12274</Words>
  <Characters>12624</Characters>
  <Lines>0</Lines>
  <Paragraphs>0</Paragraphs>
  <TotalTime>9</TotalTime>
  <ScaleCrop>false</ScaleCrop>
  <LinksUpToDate>false</LinksUpToDate>
  <CharactersWithSpaces>13993</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2021-09-06T05:40:00Z</dcterms:created>
  <dc:creator>吴远明</dc:creator>
  <cp:lastModifiedBy>admin</cp:lastModifiedBy>
  <cp:lastPrinted>2022-07-20T06:35:43Z</cp:lastPrinted>
  <dcterms:modified xsi:type="dcterms:W3CDTF">2022-07-20T06:36:02Z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CB6F7D80F53E42A8B0A16CF0E71634B3</vt:lpwstr>
  </property>
</Properties>
</file>